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2849D6D8" w14:textId="77777777" w:rsidTr="00387CD4">
        <w:trPr>
          <w:trHeight w:hRule="exact" w:val="851"/>
        </w:trPr>
        <w:tc>
          <w:tcPr>
            <w:tcW w:w="142" w:type="dxa"/>
            <w:tcBorders>
              <w:bottom w:val="single" w:sz="4" w:space="0" w:color="auto"/>
            </w:tcBorders>
          </w:tcPr>
          <w:p w14:paraId="450D570D" w14:textId="77777777" w:rsidR="002D5AAC" w:rsidRDefault="002D5AAC" w:rsidP="003B4C24">
            <w:pPr>
              <w:kinsoku w:val="0"/>
              <w:overflowPunct w:val="0"/>
              <w:autoSpaceDE w:val="0"/>
              <w:autoSpaceDN w:val="0"/>
              <w:adjustRightInd w:val="0"/>
              <w:snapToGrid w:val="0"/>
            </w:pPr>
          </w:p>
        </w:tc>
        <w:tc>
          <w:tcPr>
            <w:tcW w:w="4536" w:type="dxa"/>
            <w:gridSpan w:val="2"/>
            <w:tcBorders>
              <w:bottom w:val="single" w:sz="4" w:space="0" w:color="auto"/>
            </w:tcBorders>
            <w:vAlign w:val="bottom"/>
          </w:tcPr>
          <w:p w14:paraId="2BD16384"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1AE397F8" w14:textId="3C9B94FE" w:rsidR="002D5AAC" w:rsidRDefault="003B4C24" w:rsidP="003B4C24">
            <w:pPr>
              <w:jc w:val="right"/>
            </w:pPr>
            <w:r w:rsidRPr="003B4C24">
              <w:rPr>
                <w:sz w:val="40"/>
              </w:rPr>
              <w:t>ECE</w:t>
            </w:r>
            <w:r>
              <w:t>/TRANS/WP.29/2024/21</w:t>
            </w:r>
          </w:p>
        </w:tc>
      </w:tr>
      <w:tr w:rsidR="002D5AAC" w14:paraId="2EDA9CF8" w14:textId="77777777" w:rsidTr="00387CD4">
        <w:trPr>
          <w:trHeight w:hRule="exact" w:val="2835"/>
        </w:trPr>
        <w:tc>
          <w:tcPr>
            <w:tcW w:w="1280" w:type="dxa"/>
            <w:gridSpan w:val="2"/>
            <w:tcBorders>
              <w:top w:val="single" w:sz="4" w:space="0" w:color="auto"/>
              <w:bottom w:val="single" w:sz="12" w:space="0" w:color="auto"/>
            </w:tcBorders>
          </w:tcPr>
          <w:p w14:paraId="33C3D677" w14:textId="77777777" w:rsidR="002D5AAC" w:rsidRDefault="002E5067" w:rsidP="00387CD4">
            <w:pPr>
              <w:spacing w:before="120"/>
              <w:jc w:val="center"/>
            </w:pPr>
            <w:r>
              <w:rPr>
                <w:noProof/>
                <w:lang w:val="fr-CH" w:eastAsia="fr-CH"/>
              </w:rPr>
              <w:drawing>
                <wp:inline distT="0" distB="0" distL="0" distR="0" wp14:anchorId="07AE4452" wp14:editId="437FAE9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7B075D55"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E8B6E9C" w14:textId="77777777" w:rsidR="002D5AAC" w:rsidRDefault="003B4C24" w:rsidP="00387CD4">
            <w:pPr>
              <w:spacing w:before="240"/>
              <w:rPr>
                <w:lang w:val="en-US"/>
              </w:rPr>
            </w:pPr>
            <w:r>
              <w:rPr>
                <w:lang w:val="en-US"/>
              </w:rPr>
              <w:t>Distr.: General</w:t>
            </w:r>
          </w:p>
          <w:p w14:paraId="02E4D047" w14:textId="77777777" w:rsidR="003B4C24" w:rsidRDefault="003B4C24" w:rsidP="003B4C24">
            <w:pPr>
              <w:spacing w:line="240" w:lineRule="exact"/>
              <w:rPr>
                <w:lang w:val="en-US"/>
              </w:rPr>
            </w:pPr>
            <w:r>
              <w:rPr>
                <w:lang w:val="en-US"/>
              </w:rPr>
              <w:t>19 December 2023</w:t>
            </w:r>
          </w:p>
          <w:p w14:paraId="385620BE" w14:textId="77777777" w:rsidR="003B4C24" w:rsidRDefault="003B4C24" w:rsidP="003B4C24">
            <w:pPr>
              <w:spacing w:line="240" w:lineRule="exact"/>
              <w:rPr>
                <w:lang w:val="en-US"/>
              </w:rPr>
            </w:pPr>
            <w:r>
              <w:rPr>
                <w:lang w:val="en-US"/>
              </w:rPr>
              <w:t>Russian</w:t>
            </w:r>
          </w:p>
          <w:p w14:paraId="6494785E" w14:textId="4A2EF5E4" w:rsidR="003B4C24" w:rsidRPr="008D53B6" w:rsidRDefault="003B4C24" w:rsidP="003B4C24">
            <w:pPr>
              <w:spacing w:line="240" w:lineRule="exact"/>
              <w:rPr>
                <w:lang w:val="en-US"/>
              </w:rPr>
            </w:pPr>
            <w:r>
              <w:rPr>
                <w:lang w:val="en-US"/>
              </w:rPr>
              <w:t>Original: English</w:t>
            </w:r>
          </w:p>
        </w:tc>
      </w:tr>
    </w:tbl>
    <w:p w14:paraId="13C4A260" w14:textId="77777777" w:rsidR="008A37C8" w:rsidRDefault="008A37C8" w:rsidP="00255343">
      <w:pPr>
        <w:spacing w:before="120"/>
        <w:rPr>
          <w:b/>
          <w:sz w:val="28"/>
          <w:szCs w:val="28"/>
        </w:rPr>
      </w:pPr>
      <w:r w:rsidRPr="00245892">
        <w:rPr>
          <w:b/>
          <w:sz w:val="28"/>
          <w:szCs w:val="28"/>
        </w:rPr>
        <w:t>Европейская экономическая комиссия</w:t>
      </w:r>
    </w:p>
    <w:p w14:paraId="409A9E1B" w14:textId="77777777" w:rsidR="003B4C24" w:rsidRPr="008676DA" w:rsidRDefault="003B4C24" w:rsidP="003B4C24">
      <w:pPr>
        <w:spacing w:before="120"/>
        <w:rPr>
          <w:sz w:val="28"/>
          <w:szCs w:val="28"/>
        </w:rPr>
      </w:pPr>
      <w:r w:rsidRPr="008676DA">
        <w:rPr>
          <w:sz w:val="28"/>
          <w:szCs w:val="28"/>
        </w:rPr>
        <w:t>Комитет по внутреннему транспорту</w:t>
      </w:r>
    </w:p>
    <w:p w14:paraId="33A678BD" w14:textId="0D769A07" w:rsidR="003B4C24" w:rsidRPr="003B4C24" w:rsidRDefault="003B4C24" w:rsidP="003B4C24">
      <w:pPr>
        <w:spacing w:before="120"/>
        <w:rPr>
          <w:b/>
          <w:bCs/>
          <w:sz w:val="24"/>
          <w:szCs w:val="24"/>
        </w:rPr>
      </w:pPr>
      <w:r w:rsidRPr="003B4C24">
        <w:rPr>
          <w:b/>
          <w:bCs/>
          <w:sz w:val="24"/>
          <w:szCs w:val="24"/>
        </w:rPr>
        <w:t xml:space="preserve">Всемирный форум для согласования </w:t>
      </w:r>
      <w:r w:rsidRPr="003B4C24">
        <w:rPr>
          <w:b/>
          <w:bCs/>
          <w:sz w:val="24"/>
          <w:szCs w:val="24"/>
        </w:rPr>
        <w:br/>
      </w:r>
      <w:r w:rsidRPr="003B4C24">
        <w:rPr>
          <w:b/>
          <w:bCs/>
          <w:sz w:val="24"/>
          <w:szCs w:val="24"/>
        </w:rPr>
        <w:t>правил в области транспортных средств</w:t>
      </w:r>
    </w:p>
    <w:p w14:paraId="1472AEC6" w14:textId="5E62168F" w:rsidR="003B4C24" w:rsidRPr="008676DA" w:rsidRDefault="003B4C24" w:rsidP="003B4C24">
      <w:pPr>
        <w:spacing w:before="120"/>
        <w:rPr>
          <w:b/>
        </w:rPr>
      </w:pPr>
      <w:r>
        <w:rPr>
          <w:b/>
          <w:bCs/>
        </w:rPr>
        <w:t>Сто девяносто втора</w:t>
      </w:r>
      <w:r>
        <w:rPr>
          <w:b/>
          <w:bCs/>
        </w:rPr>
        <w:t>я сессия</w:t>
      </w:r>
    </w:p>
    <w:p w14:paraId="0EA799AE" w14:textId="0101D32A" w:rsidR="003B4C24" w:rsidRPr="008676DA" w:rsidRDefault="003B4C24" w:rsidP="003B4C24">
      <w:r>
        <w:t>Женева, 5</w:t>
      </w:r>
      <w:r>
        <w:t>–</w:t>
      </w:r>
      <w:r>
        <w:t>8 марта 2024 года</w:t>
      </w:r>
    </w:p>
    <w:p w14:paraId="4EBF6115" w14:textId="77777777" w:rsidR="003B4C24" w:rsidRPr="008676DA" w:rsidRDefault="003B4C24" w:rsidP="003B4C24">
      <w:r>
        <w:t>Пункт 4.9.6 предварительной повестки дня</w:t>
      </w:r>
    </w:p>
    <w:p w14:paraId="1EFC374D" w14:textId="77777777" w:rsidR="003B4C24" w:rsidRDefault="003B4C24" w:rsidP="003B4C24">
      <w:pPr>
        <w:rPr>
          <w:b/>
          <w:bCs/>
        </w:rPr>
      </w:pPr>
      <w:r>
        <w:rPr>
          <w:b/>
          <w:bCs/>
        </w:rPr>
        <w:t>Соглашение 1958 года:</w:t>
      </w:r>
    </w:p>
    <w:p w14:paraId="1F1214A4" w14:textId="46A18159" w:rsidR="003B4C24" w:rsidRPr="008676DA" w:rsidRDefault="003B4C24" w:rsidP="003B4C24">
      <w:pPr>
        <w:rPr>
          <w:b/>
          <w:bCs/>
        </w:rPr>
      </w:pPr>
      <w:r>
        <w:rPr>
          <w:b/>
          <w:bCs/>
        </w:rPr>
        <w:t xml:space="preserve">Рассмотрение проектов поправок </w:t>
      </w:r>
      <w:r>
        <w:rPr>
          <w:b/>
          <w:bCs/>
        </w:rPr>
        <w:br/>
      </w:r>
      <w:r>
        <w:rPr>
          <w:b/>
          <w:bCs/>
        </w:rPr>
        <w:t>к существующим</w:t>
      </w:r>
      <w:r>
        <w:rPr>
          <w:b/>
          <w:bCs/>
        </w:rPr>
        <w:t xml:space="preserve"> </w:t>
      </w:r>
      <w:r>
        <w:rPr>
          <w:b/>
          <w:bCs/>
        </w:rPr>
        <w:t xml:space="preserve">правилам ООН, </w:t>
      </w:r>
      <w:r>
        <w:rPr>
          <w:b/>
          <w:bCs/>
        </w:rPr>
        <w:br/>
      </w:r>
      <w:r>
        <w:rPr>
          <w:b/>
          <w:bCs/>
        </w:rPr>
        <w:t>представленных GRE</w:t>
      </w:r>
    </w:p>
    <w:p w14:paraId="13AE8BF5" w14:textId="1A45269C" w:rsidR="003B4C24" w:rsidRPr="008676DA" w:rsidRDefault="003B4C24" w:rsidP="003B4C24">
      <w:pPr>
        <w:pStyle w:val="HChG"/>
      </w:pPr>
      <w:r>
        <w:tab/>
      </w:r>
      <w:r>
        <w:tab/>
      </w:r>
      <w:r>
        <w:t xml:space="preserve">Предложение по дополнению 5 к поправкам серии 08 </w:t>
      </w:r>
      <w:r>
        <w:br/>
      </w:r>
      <w:r>
        <w:t>к Правилам № 48 ООН (установка устройств освещения и световой сигнализации)</w:t>
      </w:r>
    </w:p>
    <w:p w14:paraId="2A3BE835" w14:textId="69E6DFAC" w:rsidR="003B4C24" w:rsidRPr="008676DA" w:rsidRDefault="003B4C24" w:rsidP="003B4C24">
      <w:pPr>
        <w:pStyle w:val="H1G"/>
        <w:rPr>
          <w:szCs w:val="24"/>
        </w:rPr>
      </w:pPr>
      <w:r>
        <w:tab/>
      </w:r>
      <w:r>
        <w:tab/>
      </w:r>
      <w:r>
        <w:rPr>
          <w:bCs/>
        </w:rPr>
        <w:t>Представлено Рабочей группой по вопросам освещения и световой сигнализации</w:t>
      </w:r>
      <w:r w:rsidRPr="003B4C24">
        <w:rPr>
          <w:b w:val="0"/>
          <w:sz w:val="20"/>
        </w:rPr>
        <w:t>*</w:t>
      </w:r>
    </w:p>
    <w:p w14:paraId="3846819D" w14:textId="1747FB3B" w:rsidR="003B4C24" w:rsidRDefault="003B4C24" w:rsidP="003B4C24">
      <w:pPr>
        <w:pStyle w:val="SingleTxtG"/>
      </w:pPr>
      <w:r>
        <w:tab/>
      </w:r>
      <w:r>
        <w:footnoteReference w:customMarkFollows="1" w:id="1"/>
        <w:t xml:space="preserve">Воспроизведенный ниже текст был принят Рабочей группой по вопросам освещения и световой сигнализации (GRE) на ее восемьдесят девятой сессии (ECE/TRANS/WP.29/GRE/89, </w:t>
      </w:r>
      <w:proofErr w:type="spellStart"/>
      <w:r>
        <w:t>пп</w:t>
      </w:r>
      <w:proofErr w:type="spellEnd"/>
      <w:r>
        <w:t>. 8, 15 и 16). В его основу положены документы ECE/TRANS/WP.29/GRE/2023/13, ECE/TRANS/WP.29/GRE/2023/19 и ECE/TRANS/</w:t>
      </w:r>
      <w:r>
        <w:t xml:space="preserve"> </w:t>
      </w:r>
      <w:r>
        <w:t xml:space="preserve">WP.29/GRE/2023/20. Этот текст представлен Всемирному форуму для согласования правил в области транспортных средств (WP.29) и Административному </w:t>
      </w:r>
      <w:r w:rsidR="004A2CE5">
        <w:br/>
      </w:r>
      <w:r>
        <w:t>комитету (AC.1) для рассмотрения на их сессиях в марте 2024 года.</w:t>
      </w:r>
    </w:p>
    <w:p w14:paraId="5748078E" w14:textId="0422709A" w:rsidR="003B4C24" w:rsidRPr="008676DA" w:rsidRDefault="003B4C24" w:rsidP="003B4C24">
      <w:pPr>
        <w:pStyle w:val="SingleTxtG"/>
      </w:pPr>
      <w:r w:rsidRPr="008676DA">
        <w:br w:type="page"/>
      </w:r>
    </w:p>
    <w:p w14:paraId="0156A550" w14:textId="77777777" w:rsidR="003B4C24" w:rsidRPr="008676DA" w:rsidRDefault="003B4C24" w:rsidP="003B4C24">
      <w:pPr>
        <w:pStyle w:val="SingleTxtG"/>
      </w:pPr>
      <w:r>
        <w:rPr>
          <w:i/>
          <w:iCs/>
        </w:rPr>
        <w:lastRenderedPageBreak/>
        <w:t>Пункт 2.10.8</w:t>
      </w:r>
      <w:r>
        <w:t xml:space="preserve"> изменить следующим образом:</w:t>
      </w:r>
    </w:p>
    <w:p w14:paraId="74108F8D" w14:textId="2272E119" w:rsidR="003B4C24" w:rsidRPr="008676DA" w:rsidRDefault="003B4C24" w:rsidP="003B4C24">
      <w:pPr>
        <w:pStyle w:val="4Para4thlevel"/>
        <w:rPr>
          <w:i/>
          <w:iCs/>
          <w:lang w:val="ru-RU"/>
        </w:rPr>
      </w:pPr>
      <w:r>
        <w:rPr>
          <w:lang w:val="ru-RU"/>
        </w:rPr>
        <w:t>«2.10.8</w:t>
      </w:r>
      <w:r>
        <w:rPr>
          <w:lang w:val="ru-RU"/>
        </w:rPr>
        <w:tab/>
      </w:r>
      <w:r w:rsidRPr="00C7275A">
        <w:rPr>
          <w:i/>
          <w:iCs/>
          <w:lang w:val="ru-RU"/>
        </w:rPr>
        <w:t>“Стабилизация фотометрических характеристик”</w:t>
      </w:r>
      <w:r>
        <w:rPr>
          <w:lang w:val="ru-RU"/>
        </w:rPr>
        <w:t xml:space="preserve"> означает, что изменение силы света в конкретной испытательной точке составляет менее 3</w:t>
      </w:r>
      <w:r w:rsidR="004A2CE5">
        <w:rPr>
          <w:lang w:val="ru-RU"/>
        </w:rPr>
        <w:t> </w:t>
      </w:r>
      <w:r>
        <w:rPr>
          <w:lang w:val="ru-RU"/>
        </w:rPr>
        <w:t>% в течение любого 15-минутного периода либо в качестве альтернативы менее 1</w:t>
      </w:r>
      <w:r w:rsidR="004A2CE5">
        <w:rPr>
          <w:lang w:val="ru-RU"/>
        </w:rPr>
        <w:t> </w:t>
      </w:r>
      <w:r>
        <w:rPr>
          <w:lang w:val="ru-RU"/>
        </w:rPr>
        <w:t>% в течение любого 5-минутного периода».</w:t>
      </w:r>
    </w:p>
    <w:p w14:paraId="3A601BD8" w14:textId="77777777" w:rsidR="003B4C24" w:rsidRPr="008676DA" w:rsidRDefault="003B4C24" w:rsidP="003B4C24">
      <w:pPr>
        <w:pStyle w:val="para"/>
        <w:ind w:right="709"/>
        <w:rPr>
          <w:lang w:val="ru-RU"/>
        </w:rPr>
      </w:pPr>
      <w:r>
        <w:rPr>
          <w:i/>
          <w:iCs/>
          <w:lang w:val="ru-RU"/>
        </w:rPr>
        <w:t>Пункт 6.5.8</w:t>
      </w:r>
      <w:r>
        <w:rPr>
          <w:lang w:val="ru-RU"/>
        </w:rPr>
        <w:t xml:space="preserve"> изменить следующим образом:</w:t>
      </w:r>
    </w:p>
    <w:p w14:paraId="14190A02" w14:textId="77777777" w:rsidR="003B4C24" w:rsidRPr="008676DA" w:rsidRDefault="003B4C24" w:rsidP="003B4C24">
      <w:pPr>
        <w:pStyle w:val="para"/>
        <w:rPr>
          <w:lang w:val="ru-RU"/>
        </w:rPr>
      </w:pPr>
      <w:r>
        <w:rPr>
          <w:lang w:val="ru-RU"/>
        </w:rPr>
        <w:t>«6.5.8</w:t>
      </w:r>
      <w:r>
        <w:rPr>
          <w:lang w:val="ru-RU"/>
        </w:rPr>
        <w:tab/>
        <w:t>Контрольный сигнал</w:t>
      </w:r>
    </w:p>
    <w:p w14:paraId="1FA1AEB8" w14:textId="77777777" w:rsidR="003B4C24" w:rsidRPr="008676DA" w:rsidRDefault="003B4C24" w:rsidP="003B4C24">
      <w:pPr>
        <w:pStyle w:val="para"/>
        <w:ind w:firstLine="0"/>
        <w:rPr>
          <w:lang w:val="ru-RU"/>
        </w:rPr>
      </w:pPr>
      <w:r>
        <w:rPr>
          <w:lang w:val="ru-RU"/>
        </w:rPr>
        <w:t>Контрольный сигнал функционирования является обязательным для указателей поворота категорий 1, 1a, 1b, 2a и 2b. Он может быть визуальным, звуковым или визуально-звуковым. Если он является визуальным, то он должен быть мигающим и, по крайней мере в случае неисправности любого из этих указателей поворота, должен отключаться или оставаться включенным и не мигать или заметно менять установленную частоту мигания. Если он является полностью звуковым, то он должен быть отчетливо слышен и должен заметно менять установленную частоту подачи звукового сигнала, по крайней мере в случае неисправности любого из этих указателей поворота.</w:t>
      </w:r>
    </w:p>
    <w:p w14:paraId="18B880F8" w14:textId="77777777" w:rsidR="003B4C24" w:rsidRPr="008676DA" w:rsidRDefault="003B4C24" w:rsidP="003B4C24">
      <w:pPr>
        <w:pStyle w:val="para"/>
        <w:ind w:firstLine="0"/>
        <w:rPr>
          <w:lang w:val="ru-RU"/>
        </w:rPr>
      </w:pPr>
      <w:r>
        <w:rPr>
          <w:lang w:val="ru-RU"/>
        </w:rPr>
        <w:t>Он должен включаться сигналом, генерируемым в соответствии с:</w:t>
      </w:r>
    </w:p>
    <w:p w14:paraId="79385F71" w14:textId="781282E0" w:rsidR="003B4C24" w:rsidRPr="008676DA" w:rsidRDefault="004A2CE5" w:rsidP="003B4C24">
      <w:pPr>
        <w:pStyle w:val="para"/>
        <w:ind w:left="2835" w:hanging="567"/>
        <w:rPr>
          <w:lang w:val="ru-RU"/>
        </w:rPr>
      </w:pPr>
      <w:r>
        <w:rPr>
          <w:lang w:val="ru-RU"/>
        </w:rPr>
        <w:t>–</w:t>
      </w:r>
      <w:r>
        <w:rPr>
          <w:lang w:val="ru-RU"/>
        </w:rPr>
        <w:tab/>
      </w:r>
      <w:r w:rsidR="003B4C24">
        <w:rPr>
          <w:lang w:val="ru-RU"/>
        </w:rPr>
        <w:t>пунктом 6.2.2 Правил № 6 ООН, либо</w:t>
      </w:r>
    </w:p>
    <w:p w14:paraId="02B2587B" w14:textId="39E98584" w:rsidR="003B4C24" w:rsidRPr="008676DA" w:rsidRDefault="004A2CE5" w:rsidP="003B4C24">
      <w:pPr>
        <w:pStyle w:val="para"/>
        <w:ind w:left="2835" w:hanging="567"/>
        <w:rPr>
          <w:lang w:val="ru-RU"/>
        </w:rPr>
      </w:pPr>
      <w:r>
        <w:rPr>
          <w:lang w:val="ru-RU"/>
        </w:rPr>
        <w:t>–</w:t>
      </w:r>
      <w:r>
        <w:rPr>
          <w:lang w:val="ru-RU"/>
        </w:rPr>
        <w:tab/>
      </w:r>
      <w:r w:rsidR="003B4C24">
        <w:rPr>
          <w:lang w:val="ru-RU"/>
        </w:rPr>
        <w:t>пунктом 5.6.3 поправок серии 00 к Правилам № 148 ООН, либо</w:t>
      </w:r>
    </w:p>
    <w:p w14:paraId="0EF925DA" w14:textId="56E5BC50" w:rsidR="003B4C24" w:rsidRPr="008676DA" w:rsidRDefault="004A2CE5" w:rsidP="003B4C24">
      <w:pPr>
        <w:pStyle w:val="para"/>
        <w:ind w:left="2835" w:hanging="567"/>
        <w:rPr>
          <w:lang w:val="ru-RU"/>
        </w:rPr>
      </w:pPr>
      <w:r>
        <w:rPr>
          <w:lang w:val="ru-RU"/>
        </w:rPr>
        <w:t>–</w:t>
      </w:r>
      <w:r>
        <w:rPr>
          <w:lang w:val="ru-RU"/>
        </w:rPr>
        <w:tab/>
      </w:r>
      <w:r w:rsidR="003B4C24">
        <w:rPr>
          <w:lang w:val="ru-RU"/>
        </w:rPr>
        <w:t xml:space="preserve">пунктом 4.6.1.4 поправок серии 01 к Правилам № 148 ООН, либо </w:t>
      </w:r>
    </w:p>
    <w:p w14:paraId="072DD466" w14:textId="4B9E1527" w:rsidR="003B4C24" w:rsidRPr="008676DA" w:rsidRDefault="004A2CE5" w:rsidP="003B4C24">
      <w:pPr>
        <w:pStyle w:val="para"/>
        <w:ind w:left="2835" w:hanging="567"/>
        <w:rPr>
          <w:lang w:val="ru-RU"/>
        </w:rPr>
      </w:pPr>
      <w:r>
        <w:rPr>
          <w:lang w:val="ru-RU"/>
        </w:rPr>
        <w:t>–</w:t>
      </w:r>
      <w:r>
        <w:rPr>
          <w:lang w:val="ru-RU"/>
        </w:rPr>
        <w:tab/>
      </w:r>
      <w:r w:rsidR="003B4C24">
        <w:rPr>
          <w:lang w:val="ru-RU"/>
        </w:rPr>
        <w:t>иным подходящим способом.</w:t>
      </w:r>
    </w:p>
    <w:p w14:paraId="0439FA04" w14:textId="77777777" w:rsidR="003B4C24" w:rsidRPr="008676DA" w:rsidRDefault="003B4C24" w:rsidP="003B4C24">
      <w:pPr>
        <w:pStyle w:val="para"/>
        <w:ind w:firstLine="0"/>
        <w:rPr>
          <w:lang w:val="ru-RU"/>
        </w:rPr>
      </w:pPr>
      <w:r>
        <w:rPr>
          <w:lang w:val="ru-RU"/>
        </w:rPr>
        <w:t xml:space="preserve">Если автотранспортное средство оборудовано для буксировки прицепа, то в тех случаях, когда с помощью контрольного сигнала на тягаче невозможно определить выход из строя любого из указателей поворота на данном составе транспортных средств, на нем должен быть установлен специальный визуальный контрольный сигнал функционирования для указателей поворота, установленных на прицепе. </w:t>
      </w:r>
    </w:p>
    <w:p w14:paraId="3F391E54" w14:textId="77777777" w:rsidR="003B4C24" w:rsidRPr="008676DA" w:rsidRDefault="003B4C24" w:rsidP="003B4C24">
      <w:pPr>
        <w:pStyle w:val="para"/>
        <w:ind w:firstLine="0"/>
        <w:rPr>
          <w:lang w:val="ru-RU"/>
        </w:rPr>
      </w:pPr>
      <w:r>
        <w:rPr>
          <w:lang w:val="ru-RU"/>
        </w:rPr>
        <w:t>Для факультативных указателей поворота на механических транспортных средствах и прицепах функционирующий контрольный сигнал является необязательным».</w:t>
      </w:r>
    </w:p>
    <w:p w14:paraId="0D4D632C" w14:textId="77777777" w:rsidR="003B4C24" w:rsidRPr="008676DA" w:rsidRDefault="003B4C24" w:rsidP="003B4C24">
      <w:pPr>
        <w:pStyle w:val="SingleTxtG"/>
      </w:pPr>
      <w:r>
        <w:rPr>
          <w:i/>
          <w:iCs/>
        </w:rPr>
        <w:t>Пункт 6.19.7.5</w:t>
      </w:r>
      <w:r>
        <w:t xml:space="preserve"> изменить следующим образом:</w:t>
      </w:r>
    </w:p>
    <w:p w14:paraId="6CE23C9D" w14:textId="77777777" w:rsidR="003B4C24" w:rsidRPr="008676DA" w:rsidRDefault="003B4C24" w:rsidP="003B4C24">
      <w:pPr>
        <w:pStyle w:val="4Para4thlevel"/>
        <w:rPr>
          <w:bCs/>
          <w:color w:val="000000"/>
          <w:lang w:val="ru-RU"/>
        </w:rPr>
      </w:pPr>
      <w:r>
        <w:rPr>
          <w:lang w:val="ru-RU"/>
        </w:rPr>
        <w:t>«6.19.7.5</w:t>
      </w:r>
      <w:r>
        <w:rPr>
          <w:lang w:val="ru-RU"/>
        </w:rPr>
        <w:tab/>
        <w:t>Когда включены дневные ходовые огни, могут быть включены задние габаритные огни. Кроме того, может (могут) быть включен(ы) любой другой огонь (любые другие огни), указанный(</w:t>
      </w:r>
      <w:proofErr w:type="spellStart"/>
      <w:r>
        <w:rPr>
          <w:lang w:val="ru-RU"/>
        </w:rPr>
        <w:t>ые</w:t>
      </w:r>
      <w:proofErr w:type="spellEnd"/>
      <w:r>
        <w:rPr>
          <w:lang w:val="ru-RU"/>
        </w:rPr>
        <w:t>) в пункте 5.11.</w:t>
      </w:r>
    </w:p>
    <w:p w14:paraId="3E3C44A0" w14:textId="0A9E5CD4" w:rsidR="003B4C24" w:rsidRPr="008676DA" w:rsidRDefault="003B4C24" w:rsidP="003B4C24">
      <w:pPr>
        <w:pStyle w:val="af3"/>
        <w:spacing w:after="120"/>
        <w:ind w:left="2268" w:right="1134"/>
        <w:jc w:val="both"/>
        <w:rPr>
          <w:lang w:val="ru-RU"/>
        </w:rPr>
      </w:pPr>
      <w:r>
        <w:rPr>
          <w:lang w:val="ru-RU"/>
        </w:rPr>
        <w:t>Однако задние габаритные огни и другой(</w:t>
      </w:r>
      <w:proofErr w:type="spellStart"/>
      <w:r>
        <w:rPr>
          <w:lang w:val="ru-RU"/>
        </w:rPr>
        <w:t>ие</w:t>
      </w:r>
      <w:proofErr w:type="spellEnd"/>
      <w:r>
        <w:rPr>
          <w:lang w:val="ru-RU"/>
        </w:rPr>
        <w:t>) огонь(и), упомянутый(е) в пункте 5.11, могут быть выключены при включенных дневных ходовых огнях и могут оставаться выключенными до тех пор, пока показатель окружающих условий освещенности за пределами транспортного средства (измеряемый в соответствии с требованиями приложения 13) превышает 7000 люкс».</w:t>
      </w:r>
    </w:p>
    <w:p w14:paraId="2921960D" w14:textId="77777777" w:rsidR="003B4C24" w:rsidRPr="008676DA" w:rsidRDefault="003B4C24" w:rsidP="003B4C24">
      <w:pPr>
        <w:spacing w:before="240"/>
        <w:jc w:val="center"/>
        <w:rPr>
          <w:u w:val="single"/>
        </w:rPr>
      </w:pPr>
      <w:r w:rsidRPr="008676DA">
        <w:rPr>
          <w:u w:val="single"/>
        </w:rPr>
        <w:tab/>
      </w:r>
      <w:r w:rsidRPr="008676DA">
        <w:rPr>
          <w:u w:val="single"/>
        </w:rPr>
        <w:tab/>
      </w:r>
      <w:r w:rsidRPr="008676DA">
        <w:rPr>
          <w:u w:val="single"/>
        </w:rPr>
        <w:tab/>
      </w:r>
    </w:p>
    <w:p w14:paraId="7003883D" w14:textId="77777777" w:rsidR="00E12C5F" w:rsidRPr="008D53B6" w:rsidRDefault="00E12C5F" w:rsidP="00D9145B"/>
    <w:sectPr w:rsidR="00E12C5F" w:rsidRPr="008D53B6" w:rsidSect="003B4C24">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79854" w14:textId="77777777" w:rsidR="00113B07" w:rsidRPr="00A312BC" w:rsidRDefault="00113B07" w:rsidP="00A312BC"/>
  </w:endnote>
  <w:endnote w:type="continuationSeparator" w:id="0">
    <w:p w14:paraId="42E962C1" w14:textId="77777777" w:rsidR="00113B07" w:rsidRPr="00A312BC" w:rsidRDefault="00113B0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78310" w14:textId="24A63B31" w:rsidR="003B4C24" w:rsidRPr="003B4C24" w:rsidRDefault="003B4C24">
    <w:pPr>
      <w:pStyle w:val="a8"/>
    </w:pPr>
    <w:r w:rsidRPr="003B4C24">
      <w:rPr>
        <w:b/>
        <w:sz w:val="18"/>
      </w:rPr>
      <w:fldChar w:fldCharType="begin"/>
    </w:r>
    <w:r w:rsidRPr="003B4C24">
      <w:rPr>
        <w:b/>
        <w:sz w:val="18"/>
      </w:rPr>
      <w:instrText xml:space="preserve"> PAGE  \* MERGEFORMAT </w:instrText>
    </w:r>
    <w:r w:rsidRPr="003B4C24">
      <w:rPr>
        <w:b/>
        <w:sz w:val="18"/>
      </w:rPr>
      <w:fldChar w:fldCharType="separate"/>
    </w:r>
    <w:r w:rsidRPr="003B4C24">
      <w:rPr>
        <w:b/>
        <w:noProof/>
        <w:sz w:val="18"/>
      </w:rPr>
      <w:t>2</w:t>
    </w:r>
    <w:r w:rsidRPr="003B4C24">
      <w:rPr>
        <w:b/>
        <w:sz w:val="18"/>
      </w:rPr>
      <w:fldChar w:fldCharType="end"/>
    </w:r>
    <w:r>
      <w:rPr>
        <w:b/>
        <w:sz w:val="18"/>
      </w:rPr>
      <w:tab/>
    </w:r>
    <w:r>
      <w:t>GE.23-25631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2685" w14:textId="56885111" w:rsidR="003B4C24" w:rsidRPr="003B4C24" w:rsidRDefault="003B4C24" w:rsidP="003B4C24">
    <w:pPr>
      <w:pStyle w:val="a8"/>
      <w:tabs>
        <w:tab w:val="clear" w:pos="9639"/>
        <w:tab w:val="right" w:pos="9638"/>
      </w:tabs>
      <w:rPr>
        <w:b/>
        <w:sz w:val="18"/>
      </w:rPr>
    </w:pPr>
    <w:r>
      <w:t>GE.23-25631</w:t>
    </w:r>
    <w:r>
      <w:tab/>
    </w:r>
    <w:r w:rsidRPr="003B4C24">
      <w:rPr>
        <w:b/>
        <w:sz w:val="18"/>
      </w:rPr>
      <w:fldChar w:fldCharType="begin"/>
    </w:r>
    <w:r w:rsidRPr="003B4C24">
      <w:rPr>
        <w:b/>
        <w:sz w:val="18"/>
      </w:rPr>
      <w:instrText xml:space="preserve"> PAGE  \* MERGEFORMAT </w:instrText>
    </w:r>
    <w:r w:rsidRPr="003B4C24">
      <w:rPr>
        <w:b/>
        <w:sz w:val="18"/>
      </w:rPr>
      <w:fldChar w:fldCharType="separate"/>
    </w:r>
    <w:r w:rsidRPr="003B4C24">
      <w:rPr>
        <w:b/>
        <w:noProof/>
        <w:sz w:val="18"/>
      </w:rPr>
      <w:t>3</w:t>
    </w:r>
    <w:r w:rsidRPr="003B4C24">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81C4" w14:textId="490DB413" w:rsidR="00042B72" w:rsidRPr="003B4C24" w:rsidRDefault="003B4C24" w:rsidP="003B4C24">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7462BBB8" wp14:editId="51F586D5">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23-25631  (R)</w:t>
    </w:r>
    <w:r>
      <w:rPr>
        <w:noProof/>
      </w:rPr>
      <w:drawing>
        <wp:anchor distT="0" distB="0" distL="114300" distR="114300" simplePos="0" relativeHeight="251659264" behindDoc="0" locked="0" layoutInCell="1" allowOverlap="1" wp14:anchorId="3E7264DC" wp14:editId="7DFBBE89">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291223  020124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8D409" w14:textId="77777777" w:rsidR="00113B07" w:rsidRPr="001075E9" w:rsidRDefault="00113B07" w:rsidP="001075E9">
      <w:pPr>
        <w:tabs>
          <w:tab w:val="right" w:pos="2155"/>
        </w:tabs>
        <w:spacing w:after="80" w:line="240" w:lineRule="auto"/>
        <w:ind w:left="680"/>
        <w:rPr>
          <w:u w:val="single"/>
        </w:rPr>
      </w:pPr>
      <w:r>
        <w:rPr>
          <w:u w:val="single"/>
        </w:rPr>
        <w:tab/>
      </w:r>
    </w:p>
  </w:footnote>
  <w:footnote w:type="continuationSeparator" w:id="0">
    <w:p w14:paraId="3E798AA1" w14:textId="77777777" w:rsidR="00113B07" w:rsidRDefault="00113B07" w:rsidP="00407B78">
      <w:pPr>
        <w:tabs>
          <w:tab w:val="right" w:pos="2155"/>
        </w:tabs>
        <w:spacing w:after="80"/>
        <w:ind w:left="680"/>
        <w:rPr>
          <w:u w:val="single"/>
        </w:rPr>
      </w:pPr>
      <w:r>
        <w:rPr>
          <w:u w:val="single"/>
        </w:rPr>
        <w:tab/>
      </w:r>
    </w:p>
  </w:footnote>
  <w:footnote w:id="1">
    <w:p w14:paraId="08864818" w14:textId="2568955D" w:rsidR="003B4C24" w:rsidRPr="00EA370C" w:rsidRDefault="003B4C24" w:rsidP="003B4C24">
      <w:pPr>
        <w:pStyle w:val="ad"/>
      </w:pPr>
      <w:r>
        <w:tab/>
      </w:r>
      <w:r w:rsidRPr="003B4C24">
        <w:rPr>
          <w:sz w:val="20"/>
        </w:rPr>
        <w:t>*</w:t>
      </w:r>
      <w:r>
        <w:tab/>
        <w:t xml:space="preserve">В соответствии с программой работы Комитета по внутреннему транспорту на 2024 год, изложенной в предлагаемом бюджете по программам на 2024 год (A/78/6 (разд. 20), </w:t>
      </w:r>
      <w:r w:rsidR="004A2CE5">
        <w:br/>
      </w:r>
      <w:r>
        <w:t>таблица 20.5), Всемирный форум будет разрабатывать, согласовывать и обновлять правила</w:t>
      </w:r>
      <w:r w:rsidR="004A2CE5">
        <w:t> </w:t>
      </w:r>
      <w:r>
        <w:t>ООН в целях улучшения характеристик транспортных средств. Настоящий документ представлен в соответствии с этим мандатом.</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4D354" w14:textId="7FA0C6A8" w:rsidR="003B4C24" w:rsidRPr="003B4C24" w:rsidRDefault="003B4C24">
    <w:pPr>
      <w:pStyle w:val="a5"/>
    </w:pPr>
    <w:fldSimple w:instr=" TITLE  \* MERGEFORMAT ">
      <w:r w:rsidR="007E2436">
        <w:t>ECE/TRANS/WP.29/2024/21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35D8" w14:textId="424E1284" w:rsidR="003B4C24" w:rsidRPr="003B4C24" w:rsidRDefault="003B4C24" w:rsidP="003B4C24">
    <w:pPr>
      <w:pStyle w:val="a5"/>
      <w:jc w:val="right"/>
    </w:pPr>
    <w:fldSimple w:instr=" TITLE  \* MERGEFORMAT ">
      <w:r w:rsidR="007E2436">
        <w:t>ECE/TRANS/WP.29/2024/21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56733885">
    <w:abstractNumId w:val="16"/>
  </w:num>
  <w:num w:numId="2" w16cid:durableId="966817556">
    <w:abstractNumId w:val="11"/>
  </w:num>
  <w:num w:numId="3" w16cid:durableId="1816291531">
    <w:abstractNumId w:val="10"/>
  </w:num>
  <w:num w:numId="4" w16cid:durableId="1492480875">
    <w:abstractNumId w:val="17"/>
  </w:num>
  <w:num w:numId="5" w16cid:durableId="1298685170">
    <w:abstractNumId w:val="13"/>
  </w:num>
  <w:num w:numId="6" w16cid:durableId="1283070902">
    <w:abstractNumId w:val="8"/>
  </w:num>
  <w:num w:numId="7" w16cid:durableId="1699626965">
    <w:abstractNumId w:val="3"/>
  </w:num>
  <w:num w:numId="8" w16cid:durableId="1329138966">
    <w:abstractNumId w:val="2"/>
  </w:num>
  <w:num w:numId="9" w16cid:durableId="972639926">
    <w:abstractNumId w:val="1"/>
  </w:num>
  <w:num w:numId="10" w16cid:durableId="1379890997">
    <w:abstractNumId w:val="0"/>
  </w:num>
  <w:num w:numId="11" w16cid:durableId="395789326">
    <w:abstractNumId w:val="9"/>
  </w:num>
  <w:num w:numId="12" w16cid:durableId="767236370">
    <w:abstractNumId w:val="7"/>
  </w:num>
  <w:num w:numId="13" w16cid:durableId="1427002435">
    <w:abstractNumId w:val="6"/>
  </w:num>
  <w:num w:numId="14" w16cid:durableId="731152056">
    <w:abstractNumId w:val="5"/>
  </w:num>
  <w:num w:numId="15" w16cid:durableId="2099473488">
    <w:abstractNumId w:val="4"/>
  </w:num>
  <w:num w:numId="16" w16cid:durableId="746810400">
    <w:abstractNumId w:val="15"/>
  </w:num>
  <w:num w:numId="17" w16cid:durableId="53941411">
    <w:abstractNumId w:val="12"/>
  </w:num>
  <w:num w:numId="18" w16cid:durableId="961153681">
    <w:abstractNumId w:val="14"/>
  </w:num>
  <w:num w:numId="19" w16cid:durableId="1272468768">
    <w:abstractNumId w:val="15"/>
  </w:num>
  <w:num w:numId="20" w16cid:durableId="807743971">
    <w:abstractNumId w:val="12"/>
  </w:num>
  <w:num w:numId="21" w16cid:durableId="15911621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07"/>
    <w:rsid w:val="00033EE1"/>
    <w:rsid w:val="00042B72"/>
    <w:rsid w:val="000558BD"/>
    <w:rsid w:val="000B57E7"/>
    <w:rsid w:val="000B6373"/>
    <w:rsid w:val="000E4E5B"/>
    <w:rsid w:val="000F09DF"/>
    <w:rsid w:val="000F61B2"/>
    <w:rsid w:val="001075E9"/>
    <w:rsid w:val="00113B07"/>
    <w:rsid w:val="0014152F"/>
    <w:rsid w:val="00180183"/>
    <w:rsid w:val="0018024D"/>
    <w:rsid w:val="0018649F"/>
    <w:rsid w:val="00196389"/>
    <w:rsid w:val="001B3EF6"/>
    <w:rsid w:val="001C7A89"/>
    <w:rsid w:val="00253B18"/>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B4C24"/>
    <w:rsid w:val="003E0B46"/>
    <w:rsid w:val="00407B78"/>
    <w:rsid w:val="00424203"/>
    <w:rsid w:val="00452493"/>
    <w:rsid w:val="00453318"/>
    <w:rsid w:val="00454AF2"/>
    <w:rsid w:val="00454E07"/>
    <w:rsid w:val="00472C5C"/>
    <w:rsid w:val="00485F8A"/>
    <w:rsid w:val="004A2CE5"/>
    <w:rsid w:val="004E05B7"/>
    <w:rsid w:val="0050108D"/>
    <w:rsid w:val="00513081"/>
    <w:rsid w:val="00517901"/>
    <w:rsid w:val="00526683"/>
    <w:rsid w:val="00526DB8"/>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2895"/>
    <w:rsid w:val="00734ACB"/>
    <w:rsid w:val="00757357"/>
    <w:rsid w:val="00792497"/>
    <w:rsid w:val="007E2436"/>
    <w:rsid w:val="00806737"/>
    <w:rsid w:val="00825F8D"/>
    <w:rsid w:val="00834B71"/>
    <w:rsid w:val="0086445C"/>
    <w:rsid w:val="00894693"/>
    <w:rsid w:val="008A08D7"/>
    <w:rsid w:val="008A37C8"/>
    <w:rsid w:val="008B6909"/>
    <w:rsid w:val="008D53B6"/>
    <w:rsid w:val="008F7609"/>
    <w:rsid w:val="00906890"/>
    <w:rsid w:val="00911BE4"/>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07489"/>
    <w:rsid w:val="00D33D63"/>
    <w:rsid w:val="00D5253A"/>
    <w:rsid w:val="00D873A8"/>
    <w:rsid w:val="00D90028"/>
    <w:rsid w:val="00D90138"/>
    <w:rsid w:val="00D9145B"/>
    <w:rsid w:val="00DD78D1"/>
    <w:rsid w:val="00DE32CD"/>
    <w:rsid w:val="00DF5767"/>
    <w:rsid w:val="00DF71B9"/>
    <w:rsid w:val="00E12C5F"/>
    <w:rsid w:val="00E73F76"/>
    <w:rsid w:val="00E91A4A"/>
    <w:rsid w:val="00EA2C9F"/>
    <w:rsid w:val="00EA420E"/>
    <w:rsid w:val="00ED0BDA"/>
    <w:rsid w:val="00EE142A"/>
    <w:rsid w:val="00EF1360"/>
    <w:rsid w:val="00EF3220"/>
    <w:rsid w:val="00F2523A"/>
    <w:rsid w:val="00F40488"/>
    <w:rsid w:val="00F43903"/>
    <w:rsid w:val="00F73C9D"/>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777D15"/>
  <w15:docId w15:val="{BC152C21-B578-41F6-852E-7FCCB86B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145B"/>
    <w:pPr>
      <w:suppressAutoHyphens/>
      <w:spacing w:line="240" w:lineRule="atLeast"/>
    </w:pPr>
    <w:rPr>
      <w:rFonts w:eastAsiaTheme="minorHAnsi" w:cstheme="minorBidi"/>
      <w:szCs w:val="22"/>
      <w:lang w:val="ru-RU" w:eastAsia="en-US"/>
    </w:rPr>
  </w:style>
  <w:style w:type="paragraph" w:styleId="1">
    <w:name w:val="heading 1"/>
    <w:aliases w:val="Table_G"/>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1"/>
    <w:semiHidden/>
    <w:rsid w:val="009C6FE6"/>
    <w:pPr>
      <w:spacing w:line="240" w:lineRule="auto"/>
    </w:pPr>
    <w:rPr>
      <w:rFonts w:ascii="Tahoma" w:hAnsi="Tahoma" w:cs="Tahoma"/>
      <w:sz w:val="16"/>
      <w:szCs w:val="16"/>
    </w:rPr>
  </w:style>
  <w:style w:type="character" w:customStyle="1" w:styleId="a4">
    <w:name w:val="Текст выноски Знак"/>
    <w:basedOn w:val="a0"/>
    <w:link w:val="a3"/>
    <w:uiPriority w:val="1"/>
    <w:semiHidden/>
    <w:rsid w:val="00C71E84"/>
    <w:rPr>
      <w:rFonts w:ascii="Tahoma" w:eastAsiaTheme="minorHAnsi" w:hAnsi="Tahoma" w:cs="Tahoma"/>
      <w:sz w:val="16"/>
      <w:szCs w:val="16"/>
      <w:lang w:val="ru-RU" w:eastAsia="en-US"/>
    </w:rPr>
  </w:style>
  <w:style w:type="paragraph" w:customStyle="1" w:styleId="HMG">
    <w:name w:val="_ H __M_G"/>
    <w:basedOn w:val="a"/>
    <w:next w:val="a"/>
    <w:qFormat/>
    <w:rsid w:val="00617A43"/>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a"/>
    <w:next w:val="a"/>
    <w:link w:val="HChGChar"/>
    <w:qFormat/>
    <w:rsid w:val="00617A43"/>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a"/>
    <w:next w:val="a"/>
    <w:link w:val="H1GChar"/>
    <w:qFormat/>
    <w:rsid w:val="00617A43"/>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a"/>
    <w:next w:val="a"/>
    <w:qFormat/>
    <w:rsid w:val="00617A43"/>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a"/>
    <w:next w:val="a"/>
    <w:qFormat/>
    <w:rsid w:val="00617A43"/>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a"/>
    <w:link w:val="SingleTxtGChar"/>
    <w:qFormat/>
    <w:rsid w:val="00C71E84"/>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a"/>
    <w:next w:val="a"/>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 Знак"/>
    <w:basedOn w:val="a0"/>
    <w:link w:val="a5"/>
    <w:rsid w:val="00617A43"/>
    <w:rPr>
      <w:b/>
      <w:sz w:val="18"/>
      <w:lang w:val="en-GB" w:eastAsia="ru-RU"/>
    </w:rPr>
  </w:style>
  <w:style w:type="character" w:styleId="a7">
    <w:name w:val="page number"/>
    <w:aliases w:val="7_G"/>
    <w:basedOn w:val="a0"/>
    <w:qFormat/>
    <w:rsid w:val="00617A43"/>
    <w:rPr>
      <w:rFonts w:ascii="Times New Roman" w:hAnsi="Times New Roman"/>
      <w:b/>
      <w:sz w:val="18"/>
    </w:rPr>
  </w:style>
  <w:style w:type="paragraph" w:styleId="a8">
    <w:name w:val="footer"/>
    <w:aliases w:val="3_G"/>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 Знак"/>
    <w:basedOn w:val="a0"/>
    <w:link w:val="a8"/>
    <w:rsid w:val="00617A43"/>
    <w:rPr>
      <w:sz w:val="16"/>
      <w:lang w:val="en-GB" w:eastAsia="ru-RU"/>
    </w:rPr>
  </w:style>
  <w:style w:type="character" w:styleId="aa">
    <w:name w:val="footnote reference"/>
    <w:aliases w:val="4_G"/>
    <w:basedOn w:val="a0"/>
    <w:qFormat/>
    <w:rsid w:val="00617A43"/>
    <w:rPr>
      <w:rFonts w:ascii="Times New Roman" w:hAnsi="Times New Roman"/>
      <w:dstrike w:val="0"/>
      <w:sz w:val="18"/>
      <w:vertAlign w:val="superscript"/>
    </w:rPr>
  </w:style>
  <w:style w:type="character" w:styleId="ab">
    <w:name w:val="endnote reference"/>
    <w:aliases w:val="1_G"/>
    <w:basedOn w:val="aa"/>
    <w:qFormat/>
    <w:rsid w:val="00617A43"/>
    <w:rPr>
      <w:rFonts w:ascii="Times New Roman" w:hAnsi="Times New Roman"/>
      <w:dstrike w:val="0"/>
      <w:sz w:val="18"/>
      <w:vertAlign w:val="superscript"/>
    </w:rPr>
  </w:style>
  <w:style w:type="table" w:styleId="ac">
    <w:name w:val="Table Grid"/>
    <w:basedOn w:val="a1"/>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d">
    <w:name w:val="footnote text"/>
    <w:aliases w:val="5_G,PP,5_G_6,5_GR,-E Fußnotentext,footnote text,Fußnotentext Ursprung,Footnote Text Char Char Char Char,Footnote Text1,Footnote Text Char Char Char,Fußnotentext Char1,Fußnotentext Char Char,Fußnotentext Char2,Fußn,Fußnotentext"/>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 Знак,PP Знак,5_G_6 Знак,5_GR Знак,-E Fußnotentext Знак,footnote text Знак,Fußnotentext Ursprung Знак,Footnote Text Char Char Char Char Знак,Footnote Text1 Знак,Footnote Text Char Char Char Знак,Fußnotentext Char1 Знак,Fußn Знак"/>
    <w:basedOn w:val="a0"/>
    <w:link w:val="ad"/>
    <w:qFormat/>
    <w:rsid w:val="00617A43"/>
    <w:rPr>
      <w:sz w:val="18"/>
      <w:lang w:val="ru-RU" w:eastAsia="ru-RU"/>
    </w:rPr>
  </w:style>
  <w:style w:type="paragraph" w:styleId="af">
    <w:name w:val="endnote text"/>
    <w:aliases w:val="2_G"/>
    <w:basedOn w:val="ad"/>
    <w:link w:val="af0"/>
    <w:qFormat/>
    <w:rsid w:val="00617A43"/>
  </w:style>
  <w:style w:type="character" w:customStyle="1" w:styleId="af0">
    <w:name w:val="Текст концевой сноски Знак"/>
    <w:aliases w:val="2_G Знак"/>
    <w:basedOn w:val="a0"/>
    <w:link w:val="af"/>
    <w:rsid w:val="00617A43"/>
    <w:rPr>
      <w:sz w:val="18"/>
      <w:lang w:val="ru-RU" w:eastAsia="ru-RU"/>
    </w:rPr>
  </w:style>
  <w:style w:type="character" w:customStyle="1" w:styleId="10">
    <w:name w:val="Заголовок 1 Знак"/>
    <w:aliases w:val="Table_G Знак"/>
    <w:basedOn w:val="a0"/>
    <w:link w:val="1"/>
    <w:rsid w:val="00617A43"/>
    <w:rPr>
      <w:rFonts w:cs="Arial"/>
      <w:b/>
      <w:bCs/>
      <w:szCs w:val="32"/>
      <w:lang w:val="ru-RU" w:eastAsia="ru-RU"/>
    </w:rPr>
  </w:style>
  <w:style w:type="character" w:styleId="af1">
    <w:name w:val="Hyperlink"/>
    <w:basedOn w:val="a0"/>
    <w:rsid w:val="00617A43"/>
    <w:rPr>
      <w:color w:val="0000FF" w:themeColor="hyperlink"/>
      <w:u w:val="none"/>
    </w:rPr>
  </w:style>
  <w:style w:type="character" w:styleId="af2">
    <w:name w:val="FollowedHyperlink"/>
    <w:basedOn w:val="a0"/>
    <w:rsid w:val="00617A43"/>
    <w:rPr>
      <w:color w:val="800080" w:themeColor="followedHyperlink"/>
      <w:u w:val="none"/>
    </w:rPr>
  </w:style>
  <w:style w:type="character" w:customStyle="1" w:styleId="SingleTxtGChar">
    <w:name w:val="_ Single Txt_G Char"/>
    <w:link w:val="SingleTxtG"/>
    <w:qFormat/>
    <w:rsid w:val="003B4C24"/>
    <w:rPr>
      <w:lang w:val="ru-RU" w:eastAsia="en-US"/>
    </w:rPr>
  </w:style>
  <w:style w:type="character" w:customStyle="1" w:styleId="HChGChar">
    <w:name w:val="_ H _Ch_G Char"/>
    <w:link w:val="HChG"/>
    <w:locked/>
    <w:rsid w:val="003B4C24"/>
    <w:rPr>
      <w:b/>
      <w:sz w:val="28"/>
      <w:lang w:val="ru-RU" w:eastAsia="ru-RU"/>
    </w:rPr>
  </w:style>
  <w:style w:type="character" w:customStyle="1" w:styleId="H1GChar">
    <w:name w:val="_ H_1_G Char"/>
    <w:link w:val="H1G"/>
    <w:locked/>
    <w:rsid w:val="003B4C24"/>
    <w:rPr>
      <w:b/>
      <w:sz w:val="24"/>
      <w:lang w:val="ru-RU" w:eastAsia="ru-RU"/>
    </w:rPr>
  </w:style>
  <w:style w:type="paragraph" w:customStyle="1" w:styleId="para">
    <w:name w:val="para"/>
    <w:basedOn w:val="a"/>
    <w:link w:val="paraChar"/>
    <w:qFormat/>
    <w:rsid w:val="003B4C24"/>
    <w:pPr>
      <w:suppressAutoHyphens w:val="0"/>
      <w:spacing w:after="120"/>
      <w:ind w:left="2268" w:right="1134" w:hanging="1134"/>
      <w:jc w:val="both"/>
    </w:pPr>
    <w:rPr>
      <w:rFonts w:eastAsia="Yu Mincho" w:cs="Times New Roman"/>
      <w:snapToGrid w:val="0"/>
      <w:szCs w:val="20"/>
      <w:lang w:val="fr-FR"/>
    </w:rPr>
  </w:style>
  <w:style w:type="character" w:customStyle="1" w:styleId="paraChar">
    <w:name w:val="para Char"/>
    <w:link w:val="para"/>
    <w:rsid w:val="003B4C24"/>
    <w:rPr>
      <w:rFonts w:eastAsia="Yu Mincho"/>
      <w:snapToGrid w:val="0"/>
      <w:lang w:val="fr-FR" w:eastAsia="en-US"/>
    </w:rPr>
  </w:style>
  <w:style w:type="paragraph" w:styleId="af3">
    <w:name w:val="Plain Text"/>
    <w:basedOn w:val="a"/>
    <w:link w:val="af4"/>
    <w:uiPriority w:val="99"/>
    <w:rsid w:val="003B4C24"/>
    <w:rPr>
      <w:rFonts w:eastAsia="Times New Roman" w:cs="Courier New"/>
      <w:szCs w:val="20"/>
      <w:lang w:val="en-GB"/>
    </w:rPr>
  </w:style>
  <w:style w:type="character" w:customStyle="1" w:styleId="af4">
    <w:name w:val="Текст Знак"/>
    <w:basedOn w:val="a0"/>
    <w:link w:val="af3"/>
    <w:uiPriority w:val="99"/>
    <w:rsid w:val="003B4C24"/>
    <w:rPr>
      <w:rFonts w:cs="Courier New"/>
      <w:lang w:val="en-GB" w:eastAsia="en-US"/>
    </w:rPr>
  </w:style>
  <w:style w:type="paragraph" w:customStyle="1" w:styleId="4Para4thlevel">
    <w:name w:val="4.Para 4th level"/>
    <w:basedOn w:val="a"/>
    <w:link w:val="4Para4thlevelCar"/>
    <w:qFormat/>
    <w:rsid w:val="003B4C24"/>
    <w:pPr>
      <w:spacing w:after="120"/>
      <w:ind w:left="2268" w:right="1134" w:hanging="1134"/>
      <w:jc w:val="both"/>
      <w:outlineLvl w:val="3"/>
    </w:pPr>
    <w:rPr>
      <w:rFonts w:eastAsiaTheme="minorEastAsia" w:cs="Times New Roman"/>
      <w:szCs w:val="20"/>
      <w:lang w:val="en-GB"/>
    </w:rPr>
  </w:style>
  <w:style w:type="character" w:customStyle="1" w:styleId="4Para4thlevelCar">
    <w:name w:val="4.Para 4th level Car"/>
    <w:basedOn w:val="a0"/>
    <w:link w:val="4Para4thlevel"/>
    <w:rsid w:val="003B4C24"/>
    <w:rPr>
      <w:rFonts w:eastAsiaTheme="minorEastAsia"/>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67C5CE-2B1B-4484-8D90-6A01D0904745}"/>
</file>

<file path=customXml/itemProps2.xml><?xml version="1.0" encoding="utf-8"?>
<ds:datastoreItem xmlns:ds="http://schemas.openxmlformats.org/officeDocument/2006/customXml" ds:itemID="{0DD62FA3-DB7E-4A9C-ABE5-24332FAC4364}"/>
</file>

<file path=docProps/app.xml><?xml version="1.0" encoding="utf-8"?>
<Properties xmlns="http://schemas.openxmlformats.org/officeDocument/2006/extended-properties" xmlns:vt="http://schemas.openxmlformats.org/officeDocument/2006/docPropsVTypes">
  <Template>ECE.dotm</Template>
  <TotalTime>0</TotalTime>
  <Pages>2</Pages>
  <Words>470</Words>
  <Characters>3102</Characters>
  <Application>Microsoft Office Word</Application>
  <DocSecurity>0</DocSecurity>
  <Lines>77</Lines>
  <Paragraphs>37</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ECE/TRANS/WP.29/2024/21</vt:lpstr>
      <vt:lpstr>A/</vt:lpstr>
      <vt:lpstr>A/</vt:lpstr>
    </vt:vector>
  </TitlesOfParts>
  <Company>DCM</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ECE/TRANS/WP.29/2024/21</dc:title>
  <dc:subject/>
  <dc:creator>Elena IZOTOVA</dc:creator>
  <cp:keywords/>
  <cp:lastModifiedBy>Elena Izotova</cp:lastModifiedBy>
  <cp:revision>3</cp:revision>
  <cp:lastPrinted>2024-01-02T07:55:00Z</cp:lastPrinted>
  <dcterms:created xsi:type="dcterms:W3CDTF">2024-01-02T07:55:00Z</dcterms:created>
  <dcterms:modified xsi:type="dcterms:W3CDTF">2024-01-02T07:55:00Z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