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4752C" w14:paraId="42B9DA7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504E6" w14:textId="68098F70" w:rsidR="0034752C" w:rsidRPr="0034752C" w:rsidRDefault="0034752C" w:rsidP="0034752C">
            <w:pPr>
              <w:jc w:val="right"/>
              <w:rPr>
                <w:lang w:val="en-US"/>
              </w:rPr>
            </w:pPr>
            <w:r w:rsidRPr="0034752C">
              <w:rPr>
                <w:sz w:val="40"/>
                <w:lang w:val="en-US"/>
              </w:rPr>
              <w:t>E</w:t>
            </w:r>
            <w:r w:rsidRPr="0034752C">
              <w:rPr>
                <w:lang w:val="en-US"/>
              </w:rPr>
              <w:t>/ECE/TRANS/505/Rev.3/Add.161/Amend.4</w:t>
            </w:r>
          </w:p>
        </w:tc>
      </w:tr>
      <w:tr w:rsidR="00421A10" w:rsidRPr="00DB58B5" w14:paraId="530807B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FE4105" w14:textId="77777777" w:rsidR="00421A10" w:rsidRPr="0034752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115574" w14:textId="77777777" w:rsidR="00421A10" w:rsidRPr="00DB58B5" w:rsidRDefault="0034752C" w:rsidP="00A27C92">
            <w:pPr>
              <w:spacing w:before="480" w:line="240" w:lineRule="exact"/>
            </w:pPr>
            <w:r>
              <w:t>16 juin 2023</w:t>
            </w:r>
          </w:p>
        </w:tc>
      </w:tr>
    </w:tbl>
    <w:p w14:paraId="761C3F9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4C02400" w14:textId="0E5E3A0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34752C" w:rsidRPr="0034752C">
        <w:rPr>
          <w:bCs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34752C">
        <w:rPr>
          <w:bCs/>
        </w:rPr>
        <w:br/>
      </w:r>
      <w:r w:rsidR="0034752C" w:rsidRPr="0034752C">
        <w:rPr>
          <w:bCs/>
        </w:rPr>
        <w:t>et les conditions de reconnaissance réciproque des homologations délivrées conformément à ces Règlements</w:t>
      </w:r>
      <w:r w:rsidR="00442E31" w:rsidRPr="003475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A31EAFE" w14:textId="3BA360C0" w:rsidR="00421A10" w:rsidRPr="0034752C" w:rsidRDefault="0034752C" w:rsidP="0029791D">
      <w:pPr>
        <w:pStyle w:val="SingleTxtG"/>
        <w:jc w:val="left"/>
        <w:rPr>
          <w:sz w:val="24"/>
          <w:szCs w:val="24"/>
        </w:rPr>
      </w:pPr>
      <w:r w:rsidRPr="0034752C">
        <w:t>(Révision 3, comprenant les amendements entrés en vigueur le 14 septembre 2017)</w:t>
      </w:r>
    </w:p>
    <w:p w14:paraId="7810E7B0" w14:textId="77777777" w:rsidR="00421A10" w:rsidRPr="006549FF" w:rsidRDefault="0029791D" w:rsidP="0029791D">
      <w:pPr>
        <w:jc w:val="center"/>
      </w:pPr>
      <w:r>
        <w:t>_______________</w:t>
      </w:r>
    </w:p>
    <w:p w14:paraId="3B954DD6" w14:textId="79DA9CD8" w:rsidR="00421A10" w:rsidRPr="006549FF" w:rsidRDefault="0029791D" w:rsidP="0029791D">
      <w:pPr>
        <w:pStyle w:val="HChG"/>
      </w:pPr>
      <w:r>
        <w:tab/>
      </w:r>
      <w:r>
        <w:tab/>
      </w:r>
      <w:r w:rsidR="0034752C" w:rsidRPr="0034752C">
        <w:rPr>
          <w:bCs/>
        </w:rPr>
        <w:t xml:space="preserve">Additif 161 − Règlement ONU </w:t>
      </w:r>
      <w:r w:rsidR="0034752C" w:rsidRPr="0034752C">
        <w:rPr>
          <w:rFonts w:eastAsia="MS Mincho"/>
          <w:bCs/>
        </w:rPr>
        <w:t>n</w:t>
      </w:r>
      <w:r w:rsidR="0034752C" w:rsidRPr="0034752C">
        <w:rPr>
          <w:rFonts w:eastAsia="MS Mincho"/>
          <w:bCs/>
          <w:vertAlign w:val="superscript"/>
        </w:rPr>
        <w:t>o</w:t>
      </w:r>
      <w:r w:rsidR="0034752C">
        <w:rPr>
          <w:bCs/>
        </w:rPr>
        <w:t xml:space="preserve"> </w:t>
      </w:r>
      <w:r w:rsidR="0034752C" w:rsidRPr="0034752C">
        <w:rPr>
          <w:bCs/>
        </w:rPr>
        <w:t>162</w:t>
      </w:r>
    </w:p>
    <w:p w14:paraId="69D7F12B" w14:textId="176372BD" w:rsidR="00421A10" w:rsidRPr="006549FF" w:rsidRDefault="0029791D" w:rsidP="0029791D">
      <w:pPr>
        <w:pStyle w:val="H1G"/>
      </w:pPr>
      <w:r>
        <w:tab/>
      </w:r>
      <w:r>
        <w:tab/>
      </w:r>
      <w:r w:rsidR="0034752C" w:rsidRPr="0034752C">
        <w:rPr>
          <w:bCs/>
        </w:rPr>
        <w:t>Amendement 4</w:t>
      </w:r>
    </w:p>
    <w:p w14:paraId="2679847F" w14:textId="1DEEE374" w:rsidR="00421A10" w:rsidRPr="0029791D" w:rsidRDefault="0034752C" w:rsidP="0034752C">
      <w:pPr>
        <w:pStyle w:val="SingleTxtG"/>
        <w:spacing w:after="0"/>
      </w:pPr>
      <w:r w:rsidRPr="0034752C">
        <w:rPr>
          <w:lang w:val="fr-FR"/>
        </w:rPr>
        <w:t xml:space="preserve">Complément 4 à la version originale du Règlement </w:t>
      </w:r>
      <w:r w:rsidRPr="0034752C">
        <w:t>− Date d’entrée en vigueur : 5 juin 2023</w:t>
      </w:r>
    </w:p>
    <w:p w14:paraId="1EDCBC94" w14:textId="0A44D4B7" w:rsidR="00421A10" w:rsidRDefault="0029791D" w:rsidP="0029791D">
      <w:pPr>
        <w:pStyle w:val="H1G"/>
      </w:pPr>
      <w:r>
        <w:tab/>
      </w:r>
      <w:r>
        <w:tab/>
      </w:r>
      <w:r w:rsidR="0034752C" w:rsidRPr="0034752C">
        <w:rPr>
          <w:bCs/>
        </w:rPr>
        <w:t xml:space="preserve">Prescriptions techniques uniformes relatives à l’homologation </w:t>
      </w:r>
      <w:r w:rsidR="0034752C">
        <w:rPr>
          <w:bCs/>
        </w:rPr>
        <w:br/>
      </w:r>
      <w:r w:rsidR="0034752C" w:rsidRPr="0034752C">
        <w:rPr>
          <w:bCs/>
        </w:rPr>
        <w:t xml:space="preserve">des dispositifs d’immobilisation et à l’homologation d’un véhicule </w:t>
      </w:r>
      <w:r w:rsidR="0034752C">
        <w:rPr>
          <w:bCs/>
        </w:rPr>
        <w:br/>
      </w:r>
      <w:r w:rsidR="0034752C" w:rsidRPr="0034752C">
        <w:rPr>
          <w:bCs/>
        </w:rPr>
        <w:t>en ce qui concerne son dispositif d’immobilisation</w:t>
      </w:r>
    </w:p>
    <w:p w14:paraId="1B79E73B" w14:textId="7877907C" w:rsidR="005F0207" w:rsidRDefault="0034752C" w:rsidP="0034752C">
      <w:pPr>
        <w:pStyle w:val="SingleTxtG"/>
        <w:ind w:firstLine="567"/>
      </w:pPr>
      <w:r w:rsidRPr="0034752C">
        <w:rPr>
          <w:lang w:val="fr-FR"/>
        </w:rPr>
        <w:t xml:space="preserve">Le présent document est communiqué uniquement à titre d’information. Le texte authentique, juridiquement contraignant, est celui du document </w:t>
      </w:r>
      <w:r w:rsidRPr="0034752C">
        <w:t>ECE/TRANS/WP.29/</w:t>
      </w:r>
      <w:r>
        <w:br/>
      </w:r>
      <w:r w:rsidRPr="0034752C">
        <w:t>2022/126/Rev.1 (tel que modifié par le paragraphe 68 du document ECE/TRANS/</w:t>
      </w:r>
      <w:r>
        <w:br/>
      </w:r>
      <w:r w:rsidRPr="0034752C">
        <w:t>WP.29/1168).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884BF" wp14:editId="11F963B7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7A1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C5FD95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599852A" wp14:editId="1D968E1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2699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884B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6AA87A1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C5FD95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599852A" wp14:editId="1D968E1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2699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C128F9" w14:textId="024DC81B" w:rsidR="0034752C" w:rsidRDefault="0034752C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287A0D57" w14:textId="77777777" w:rsidR="0034752C" w:rsidRPr="00AC2878" w:rsidRDefault="0034752C" w:rsidP="0034752C">
      <w:pPr>
        <w:pStyle w:val="HChG"/>
        <w:tabs>
          <w:tab w:val="left" w:pos="6134"/>
        </w:tabs>
        <w:ind w:left="2268"/>
        <w:rPr>
          <w:lang w:val="fr-FR"/>
        </w:rPr>
      </w:pPr>
      <w:r w:rsidRPr="00B2102C">
        <w:rPr>
          <w:b w:val="0"/>
          <w:bCs/>
          <w:sz w:val="20"/>
          <w:lang w:val="fr-FR"/>
        </w:rPr>
        <w:lastRenderedPageBreak/>
        <w:t>« </w:t>
      </w:r>
      <w:r w:rsidRPr="00AC2878">
        <w:rPr>
          <w:lang w:val="fr-FR"/>
        </w:rPr>
        <w:t>1.</w:t>
      </w:r>
      <w:r w:rsidRPr="00AC2878">
        <w:rPr>
          <w:lang w:val="fr-FR"/>
        </w:rPr>
        <w:tab/>
        <w:t>Champ d</w:t>
      </w:r>
      <w:r>
        <w:rPr>
          <w:lang w:val="fr-FR"/>
        </w:rPr>
        <w:t>’</w:t>
      </w:r>
      <w:r w:rsidRPr="00AC2878">
        <w:rPr>
          <w:lang w:val="fr-FR"/>
        </w:rPr>
        <w:t>application</w:t>
      </w:r>
    </w:p>
    <w:p w14:paraId="6D5E9480" w14:textId="77777777" w:rsidR="0034752C" w:rsidRPr="00AC2878" w:rsidRDefault="0034752C" w:rsidP="0034752C">
      <w:pPr>
        <w:pStyle w:val="SingleTxtG"/>
        <w:ind w:left="2268"/>
        <w:rPr>
          <w:lang w:val="fr-FR"/>
        </w:rPr>
      </w:pPr>
      <w:r w:rsidRPr="00AC2878">
        <w:rPr>
          <w:lang w:val="fr-FR"/>
        </w:rPr>
        <w:t xml:space="preserve">Le présent Règlement </w:t>
      </w:r>
      <w:r>
        <w:rPr>
          <w:lang w:val="fr-FR"/>
        </w:rPr>
        <w:t xml:space="preserve">ONU </w:t>
      </w:r>
      <w:r w:rsidRPr="00AC2878">
        <w:rPr>
          <w:lang w:val="fr-FR"/>
        </w:rPr>
        <w:t>s</w:t>
      </w:r>
      <w:r>
        <w:rPr>
          <w:lang w:val="fr-FR"/>
        </w:rPr>
        <w:t>’</w:t>
      </w:r>
      <w:r w:rsidRPr="00AC2878">
        <w:rPr>
          <w:lang w:val="fr-FR"/>
        </w:rPr>
        <w:t>applique :</w:t>
      </w:r>
    </w:p>
    <w:p w14:paraId="6073E0CB" w14:textId="77777777" w:rsidR="0034752C" w:rsidRPr="00AC2878" w:rsidRDefault="0034752C" w:rsidP="0034752C">
      <w:pPr>
        <w:pStyle w:val="SingleTxtG"/>
        <w:ind w:left="2268" w:hanging="1134"/>
        <w:rPr>
          <w:lang w:val="fr-FR"/>
        </w:rPr>
      </w:pPr>
      <w:r w:rsidRPr="00AC2878">
        <w:rPr>
          <w:lang w:val="fr-FR"/>
        </w:rPr>
        <w:t>1.1</w:t>
      </w:r>
      <w:r w:rsidRPr="00AC2878">
        <w:rPr>
          <w:lang w:val="fr-FR"/>
        </w:rPr>
        <w:tab/>
        <w:t>À l</w:t>
      </w:r>
      <w:r>
        <w:rPr>
          <w:lang w:val="fr-FR"/>
        </w:rPr>
        <w:t>’</w:t>
      </w:r>
      <w:r w:rsidRPr="00AC2878">
        <w:rPr>
          <w:lang w:val="fr-FR"/>
        </w:rPr>
        <w:t>homologation des dispositifs d</w:t>
      </w:r>
      <w:r>
        <w:rPr>
          <w:lang w:val="fr-FR"/>
        </w:rPr>
        <w:t>’</w:t>
      </w:r>
      <w:r w:rsidRPr="00AC2878">
        <w:rPr>
          <w:lang w:val="fr-FR"/>
        </w:rPr>
        <w:t>immobilisation destinés à équiper de façon permanente les véhicules de toutes catégories</w:t>
      </w:r>
      <w:r w:rsidRPr="00AC2878">
        <w:rPr>
          <w:sz w:val="18"/>
          <w:szCs w:val="18"/>
          <w:vertAlign w:val="superscript"/>
          <w:lang w:val="fr-FR"/>
        </w:rPr>
        <w:t>1, 2</w:t>
      </w:r>
      <w:r w:rsidRPr="00D96FC9">
        <w:rPr>
          <w:sz w:val="18"/>
          <w:szCs w:val="18"/>
          <w:lang w:val="fr-FR"/>
        </w:rPr>
        <w:t>.</w:t>
      </w:r>
    </w:p>
    <w:p w14:paraId="5883B3F8" w14:textId="77777777" w:rsidR="0034752C" w:rsidRPr="00D96FC9" w:rsidRDefault="0034752C" w:rsidP="0034752C">
      <w:pPr>
        <w:pStyle w:val="SingleTxtG"/>
        <w:ind w:left="2268" w:hanging="1134"/>
        <w:rPr>
          <w:lang w:val="fr-FR"/>
        </w:rPr>
      </w:pPr>
      <w:r w:rsidRPr="00AC2878">
        <w:rPr>
          <w:rFonts w:eastAsia="Calibri"/>
          <w:lang w:val="fr-FR"/>
        </w:rPr>
        <w:t>1.2</w:t>
      </w:r>
      <w:r w:rsidRPr="00AC2878">
        <w:rPr>
          <w:rFonts w:eastAsia="Calibri"/>
          <w:lang w:val="fr-FR"/>
        </w:rPr>
        <w:tab/>
        <w:t>À l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homologation des véhicules </w:t>
      </w:r>
      <w:r w:rsidRPr="00B2102C">
        <w:rPr>
          <w:lang w:val="fr-FR"/>
        </w:rPr>
        <w:t>de</w:t>
      </w:r>
      <w:r w:rsidRPr="00AC2878">
        <w:rPr>
          <w:rFonts w:eastAsia="Calibri"/>
          <w:lang w:val="fr-FR"/>
        </w:rPr>
        <w:t xml:space="preserve"> la catégorie M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et des véhicules de la catégorie N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dont la masse maximale ne dépasse pas 2 t, en ce qui concerne leurs dispositifs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</w:t>
      </w:r>
      <w:r w:rsidRPr="00AC2878">
        <w:rPr>
          <w:rFonts w:eastAsia="Calibri"/>
          <w:sz w:val="18"/>
          <w:szCs w:val="18"/>
          <w:vertAlign w:val="superscript"/>
          <w:lang w:val="fr-FR"/>
        </w:rPr>
        <w:t>2</w:t>
      </w:r>
      <w:r w:rsidRPr="00AC2878">
        <w:rPr>
          <w:rFonts w:eastAsia="Calibri"/>
          <w:lang w:val="fr-FR"/>
        </w:rPr>
        <w:t>.</w:t>
      </w:r>
    </w:p>
    <w:p w14:paraId="4F9C2455" w14:textId="77777777" w:rsidR="0034752C" w:rsidRPr="00AC2878" w:rsidRDefault="0034752C" w:rsidP="0034752C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1.3</w:t>
      </w:r>
      <w:r w:rsidRPr="00AC2878">
        <w:rPr>
          <w:rFonts w:eastAsia="Calibri"/>
          <w:lang w:val="fr-FR"/>
        </w:rPr>
        <w:tab/>
        <w:t xml:space="preserve">À la demande du constructeur, les Parties </w:t>
      </w:r>
      <w:r w:rsidRPr="00B2102C">
        <w:rPr>
          <w:lang w:val="fr-FR"/>
        </w:rPr>
        <w:t>contractantes</w:t>
      </w:r>
      <w:r w:rsidRPr="00AC2878">
        <w:rPr>
          <w:rFonts w:eastAsia="Calibri"/>
          <w:lang w:val="fr-FR"/>
        </w:rPr>
        <w:t xml:space="preserve"> peuvent délivrer des homologations à des véhicules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autres catégories en ce qui concerne leurs dispositifs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immobilisation.</w:t>
      </w:r>
    </w:p>
    <w:p w14:paraId="342AB8A8" w14:textId="77777777" w:rsidR="0034752C" w:rsidRPr="00AC2878" w:rsidRDefault="0034752C" w:rsidP="0034752C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1.4</w:t>
      </w:r>
      <w:r w:rsidRPr="00AC2878">
        <w:rPr>
          <w:rFonts w:eastAsia="Calibri"/>
          <w:lang w:val="fr-FR"/>
        </w:rPr>
        <w:tab/>
      </w:r>
      <w:r w:rsidRPr="00AC2878">
        <w:rPr>
          <w:rFonts w:eastAsia="Calibri"/>
          <w:lang w:val="fr-FR"/>
        </w:rPr>
        <w:tab/>
        <w:t xml:space="preserve">Le présent Règlement </w:t>
      </w:r>
      <w:r w:rsidRPr="00D96FC9">
        <w:rPr>
          <w:rFonts w:eastAsia="Calibri"/>
          <w:lang w:val="fr-FR"/>
        </w:rPr>
        <w:t xml:space="preserve">ONU </w:t>
      </w:r>
      <w:r w:rsidRPr="00AC2878">
        <w:rPr>
          <w:rFonts w:eastAsia="Calibri"/>
          <w:lang w:val="fr-FR"/>
        </w:rPr>
        <w:t xml:space="preserve">ne </w:t>
      </w:r>
      <w:r w:rsidRPr="00B2102C">
        <w:rPr>
          <w:lang w:val="fr-FR"/>
        </w:rPr>
        <w:t>s</w:t>
      </w:r>
      <w:r>
        <w:rPr>
          <w:lang w:val="fr-FR"/>
        </w:rPr>
        <w:t>’</w:t>
      </w:r>
      <w:r w:rsidRPr="00B2102C">
        <w:rPr>
          <w:lang w:val="fr-FR"/>
        </w:rPr>
        <w:t>applique</w:t>
      </w:r>
      <w:r w:rsidRPr="00AC2878">
        <w:rPr>
          <w:rFonts w:eastAsia="Calibri"/>
          <w:lang w:val="fr-FR"/>
        </w:rPr>
        <w:t xml:space="preserve"> pas aux fréquences de transmission radio, qu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elles soient ou non liées à la protection des véhicules automobiles contre une utilisation non autorisée. ».</w:t>
      </w:r>
    </w:p>
    <w:p w14:paraId="65FACE76" w14:textId="77777777" w:rsidR="0034752C" w:rsidRPr="00AC2878" w:rsidRDefault="0034752C" w:rsidP="0034752C">
      <w:pPr>
        <w:pStyle w:val="SingleTxtG"/>
        <w:rPr>
          <w:lang w:val="fr-FR"/>
        </w:rPr>
      </w:pPr>
      <w:r w:rsidRPr="00B2102C">
        <w:rPr>
          <w:i/>
          <w:iCs/>
          <w:lang w:val="fr-FR"/>
        </w:rPr>
        <w:t>Annexe 6, paragraphe 1</w:t>
      </w:r>
      <w:r w:rsidRPr="00AC2878">
        <w:rPr>
          <w:lang w:val="fr-FR"/>
        </w:rPr>
        <w:t>, lire :</w:t>
      </w:r>
    </w:p>
    <w:p w14:paraId="61CF5F01" w14:textId="77777777" w:rsidR="0034752C" w:rsidRPr="00AC2878" w:rsidRDefault="0034752C" w:rsidP="0034752C">
      <w:pPr>
        <w:pStyle w:val="SingleTxtG"/>
        <w:ind w:left="2268" w:hanging="1134"/>
        <w:rPr>
          <w:rFonts w:eastAsia="Calibri"/>
          <w:bCs/>
          <w:lang w:val="fr-FR"/>
        </w:rPr>
      </w:pPr>
      <w:r w:rsidRPr="00AC2878">
        <w:rPr>
          <w:rFonts w:eastAsia="Calibri"/>
          <w:lang w:val="fr-FR"/>
        </w:rPr>
        <w:t>« 1.</w:t>
      </w:r>
      <w:r w:rsidRPr="00AC2878">
        <w:rPr>
          <w:rFonts w:eastAsia="Calibri"/>
          <w:lang w:val="fr-FR"/>
        </w:rPr>
        <w:tab/>
        <w:t xml:space="preserve">Paramètres de </w:t>
      </w:r>
      <w:r w:rsidRPr="00B2102C">
        <w:rPr>
          <w:lang w:val="fr-FR"/>
        </w:rPr>
        <w:t>fonctionnement</w:t>
      </w:r>
    </w:p>
    <w:p w14:paraId="6B7C96E8" w14:textId="77777777" w:rsidR="0034752C" w:rsidRPr="00AC2878" w:rsidRDefault="0034752C" w:rsidP="0034752C">
      <w:pPr>
        <w:pStyle w:val="SingleTxtG"/>
        <w:ind w:left="2268"/>
        <w:rPr>
          <w:rFonts w:eastAsia="Calibri"/>
          <w:bCs/>
          <w:lang w:val="fr-FR"/>
        </w:rPr>
      </w:pPr>
      <w:r w:rsidRPr="00D96FC9">
        <w:rPr>
          <w:rFonts w:eastAsia="Calibri"/>
          <w:lang w:val="fr-FR"/>
        </w:rPr>
        <w:t>L</w:t>
      </w:r>
      <w:r w:rsidRPr="00AC2878">
        <w:rPr>
          <w:rFonts w:eastAsia="Calibri"/>
          <w:lang w:val="fr-FR"/>
        </w:rPr>
        <w:t xml:space="preserve">es prescriptions </w:t>
      </w:r>
      <w:r w:rsidRPr="00D96FC9">
        <w:rPr>
          <w:rFonts w:eastAsia="Calibri"/>
          <w:lang w:val="fr-FR"/>
        </w:rPr>
        <w:t xml:space="preserve">ci-après </w:t>
      </w:r>
      <w:r w:rsidRPr="00AC2878">
        <w:rPr>
          <w:rFonts w:eastAsia="Calibri"/>
          <w:lang w:val="fr-FR"/>
        </w:rPr>
        <w:t>ne s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appliquent </w:t>
      </w:r>
      <w:r w:rsidRPr="00B2102C">
        <w:rPr>
          <w:lang w:val="fr-FR"/>
        </w:rPr>
        <w:t>pas</w:t>
      </w:r>
      <w:r w:rsidRPr="00AC2878">
        <w:rPr>
          <w:rFonts w:eastAsia="Calibri"/>
          <w:lang w:val="fr-FR"/>
        </w:rPr>
        <w:t> :</w:t>
      </w:r>
    </w:p>
    <w:p w14:paraId="25B6318D" w14:textId="77777777" w:rsidR="0034752C" w:rsidRPr="00D96FC9" w:rsidRDefault="0034752C" w:rsidP="0034752C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a)</w:t>
      </w:r>
      <w:r w:rsidRPr="00AC2878">
        <w:rPr>
          <w:rFonts w:eastAsia="Calibri"/>
          <w:lang w:val="fr-FR"/>
        </w:rPr>
        <w:tab/>
      </w:r>
      <w:r w:rsidRPr="000B194C">
        <w:rPr>
          <w:rFonts w:eastAsia="Calibri"/>
          <w:spacing w:val="-2"/>
          <w:lang w:val="fr-FR"/>
        </w:rPr>
        <w:t>Aux éléments montés et mis à l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essai en tant qu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éléments du véhicule, que ce véhicule soit pourvu ou non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un dispositif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immobilisation (par exemple, lampes</w:t>
      </w:r>
      <w:r>
        <w:rPr>
          <w:rFonts w:eastAsia="Calibri"/>
          <w:spacing w:val="-2"/>
          <w:lang w:val="fr-FR"/>
        </w:rPr>
        <w:t xml:space="preserve"> ou</w:t>
      </w:r>
      <w:r w:rsidRPr="000B194C">
        <w:rPr>
          <w:rFonts w:eastAsia="Calibri"/>
          <w:spacing w:val="-2"/>
          <w:lang w:val="fr-FR"/>
        </w:rPr>
        <w:t xml:space="preserve"> système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alarme) ;</w:t>
      </w:r>
    </w:p>
    <w:p w14:paraId="5997BE05" w14:textId="77777777" w:rsidR="0034752C" w:rsidRPr="00AC2878" w:rsidRDefault="0034752C" w:rsidP="0034752C">
      <w:pPr>
        <w:pStyle w:val="SingleTxtG"/>
        <w:ind w:left="2835" w:hanging="567"/>
        <w:rPr>
          <w:rFonts w:eastAsia="Calibri"/>
          <w:b/>
          <w:lang w:val="fr-FR"/>
        </w:rPr>
      </w:pPr>
      <w:r w:rsidRPr="00AC2878">
        <w:rPr>
          <w:rFonts w:eastAsia="Calibri"/>
          <w:lang w:val="fr-FR"/>
        </w:rPr>
        <w:t>b)</w:t>
      </w:r>
      <w:r w:rsidRPr="00AC2878">
        <w:rPr>
          <w:rFonts w:eastAsia="Calibri"/>
          <w:lang w:val="fr-FR"/>
        </w:rPr>
        <w:tab/>
        <w:t xml:space="preserve">Aux éléments </w:t>
      </w:r>
      <w:r w:rsidRPr="00D96FC9">
        <w:rPr>
          <w:rFonts w:eastAsia="Calibri"/>
          <w:lang w:val="fr-FR"/>
        </w:rPr>
        <w:t>mis à l</w:t>
      </w:r>
      <w:r>
        <w:rPr>
          <w:rFonts w:eastAsia="Calibri"/>
          <w:lang w:val="fr-FR"/>
        </w:rPr>
        <w:t>’</w:t>
      </w:r>
      <w:r w:rsidRPr="00D96FC9">
        <w:rPr>
          <w:rFonts w:eastAsia="Calibri"/>
          <w:lang w:val="fr-FR"/>
        </w:rPr>
        <w:t>essai</w:t>
      </w:r>
      <w:r w:rsidRPr="00AC2878">
        <w:rPr>
          <w:rFonts w:eastAsia="Calibri"/>
          <w:lang w:val="fr-FR"/>
        </w:rPr>
        <w:t xml:space="preserve"> précédemment en tant qu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éléments du véhicule et pour lesquels des pièces justificatives ont été fournies ;</w:t>
      </w:r>
      <w:r>
        <w:rPr>
          <w:rFonts w:eastAsia="Calibri"/>
          <w:lang w:val="fr-FR"/>
        </w:rPr>
        <w:t xml:space="preserve"> ou</w:t>
      </w:r>
    </w:p>
    <w:p w14:paraId="2D61B0D1" w14:textId="77777777" w:rsidR="0034752C" w:rsidRPr="00D96FC9" w:rsidRDefault="0034752C" w:rsidP="0034752C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c)</w:t>
      </w:r>
      <w:r w:rsidRPr="00AC2878">
        <w:rPr>
          <w:rFonts w:eastAsia="Calibri"/>
          <w:lang w:val="fr-FR"/>
        </w:rPr>
        <w:tab/>
        <w:t>Aux éléments qui ne font pas partie intégrante d</w:t>
      </w:r>
      <w:r>
        <w:rPr>
          <w:rFonts w:eastAsia="Calibri"/>
          <w:lang w:val="fr-FR"/>
        </w:rPr>
        <w:t>u</w:t>
      </w:r>
      <w:r w:rsidRPr="00AC2878">
        <w:rPr>
          <w:rFonts w:eastAsia="Calibri"/>
          <w:lang w:val="fr-FR"/>
        </w:rPr>
        <w:t xml:space="preserve"> véhicule, tels que les clefs.</w:t>
      </w:r>
    </w:p>
    <w:p w14:paraId="17C90417" w14:textId="77777777" w:rsidR="0034752C" w:rsidRDefault="0034752C" w:rsidP="0034752C">
      <w:pPr>
        <w:pStyle w:val="SingleTxtG"/>
        <w:ind w:left="2268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Tous les éléments du dispositif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 doivent fonctionner sans aucune défaillance dans les conditions suivantes : ».</w:t>
      </w:r>
    </w:p>
    <w:p w14:paraId="7D0259CB" w14:textId="0CBA743A" w:rsidR="0034752C" w:rsidRPr="0034752C" w:rsidRDefault="0034752C" w:rsidP="003475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752C" w:rsidRPr="0034752C" w:rsidSect="003475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F85D" w14:textId="77777777" w:rsidR="00331BCA" w:rsidRDefault="00331BCA"/>
  </w:endnote>
  <w:endnote w:type="continuationSeparator" w:id="0">
    <w:p w14:paraId="5236DCC2" w14:textId="77777777" w:rsidR="00331BCA" w:rsidRDefault="00331BCA">
      <w:pPr>
        <w:pStyle w:val="Pieddepage"/>
      </w:pPr>
    </w:p>
  </w:endnote>
  <w:endnote w:type="continuationNotice" w:id="1">
    <w:p w14:paraId="678942AD" w14:textId="77777777" w:rsidR="00331BCA" w:rsidRPr="00C451B9" w:rsidRDefault="00331BC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79D4" w14:textId="77777777" w:rsidR="0034752C" w:rsidRPr="0034752C" w:rsidRDefault="0034752C" w:rsidP="0034752C">
    <w:pPr>
      <w:pStyle w:val="Pieddepage"/>
      <w:tabs>
        <w:tab w:val="right" w:pos="9638"/>
      </w:tabs>
    </w:pPr>
    <w:r w:rsidRPr="0034752C">
      <w:rPr>
        <w:b/>
        <w:sz w:val="18"/>
      </w:rPr>
      <w:fldChar w:fldCharType="begin"/>
    </w:r>
    <w:r w:rsidRPr="0034752C">
      <w:rPr>
        <w:b/>
        <w:sz w:val="18"/>
      </w:rPr>
      <w:instrText xml:space="preserve"> PAGE  \* MERGEFORMAT </w:instrText>
    </w:r>
    <w:r w:rsidRPr="0034752C">
      <w:rPr>
        <w:b/>
        <w:sz w:val="18"/>
      </w:rPr>
      <w:fldChar w:fldCharType="separate"/>
    </w:r>
    <w:r w:rsidRPr="0034752C">
      <w:rPr>
        <w:b/>
        <w:noProof/>
        <w:sz w:val="18"/>
      </w:rPr>
      <w:t>2</w:t>
    </w:r>
    <w:r w:rsidRPr="0034752C">
      <w:rPr>
        <w:b/>
        <w:sz w:val="18"/>
      </w:rPr>
      <w:fldChar w:fldCharType="end"/>
    </w:r>
    <w:r>
      <w:rPr>
        <w:b/>
        <w:sz w:val="18"/>
      </w:rPr>
      <w:tab/>
    </w:r>
    <w:r>
      <w:t>GE.23-11659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82A" w14:textId="77777777" w:rsidR="0034752C" w:rsidRPr="0034752C" w:rsidRDefault="0034752C" w:rsidP="0034752C">
    <w:pPr>
      <w:pStyle w:val="Pieddepage"/>
      <w:tabs>
        <w:tab w:val="right" w:pos="9638"/>
      </w:tabs>
      <w:rPr>
        <w:b/>
        <w:sz w:val="18"/>
      </w:rPr>
    </w:pPr>
    <w:r>
      <w:t>GE.23-11659</w:t>
    </w:r>
    <w:r>
      <w:tab/>
    </w:r>
    <w:r w:rsidRPr="0034752C">
      <w:rPr>
        <w:b/>
        <w:sz w:val="18"/>
      </w:rPr>
      <w:fldChar w:fldCharType="begin"/>
    </w:r>
    <w:r w:rsidRPr="0034752C">
      <w:rPr>
        <w:b/>
        <w:sz w:val="18"/>
      </w:rPr>
      <w:instrText xml:space="preserve"> PAGE  \* MERGEFORMAT </w:instrText>
    </w:r>
    <w:r w:rsidRPr="0034752C">
      <w:rPr>
        <w:b/>
        <w:sz w:val="18"/>
      </w:rPr>
      <w:fldChar w:fldCharType="separate"/>
    </w:r>
    <w:r w:rsidRPr="0034752C">
      <w:rPr>
        <w:b/>
        <w:noProof/>
        <w:sz w:val="18"/>
      </w:rPr>
      <w:t>3</w:t>
    </w:r>
    <w:r w:rsidRPr="003475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3A1F" w14:textId="0D1815E0" w:rsidR="00467F2C" w:rsidRPr="0034752C" w:rsidRDefault="0034752C" w:rsidP="0034752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C104409" wp14:editId="570EDA2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23-11659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9EF44F" wp14:editId="3D0F3D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040124    040124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2D7C" w14:textId="77777777" w:rsidR="00331BCA" w:rsidRPr="00D27D5E" w:rsidRDefault="00331B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2EDEDD" w14:textId="77777777" w:rsidR="00331BCA" w:rsidRPr="00D171D4" w:rsidRDefault="00331BC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14680C5" w14:textId="77777777" w:rsidR="00331BCA" w:rsidRPr="00C451B9" w:rsidRDefault="00331BCA" w:rsidP="00C451B9">
      <w:pPr>
        <w:spacing w:line="240" w:lineRule="auto"/>
        <w:rPr>
          <w:sz w:val="2"/>
          <w:szCs w:val="2"/>
        </w:rPr>
      </w:pPr>
    </w:p>
  </w:footnote>
  <w:footnote w:id="2">
    <w:p w14:paraId="0CB2CBC5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23FFF03" w14:textId="77777777" w:rsidR="00591072" w:rsidRPr="00591072" w:rsidRDefault="00591072" w:rsidP="00591072">
      <w:pPr>
        <w:pStyle w:val="Notedebasdepage"/>
      </w:pPr>
      <w:r w:rsidRPr="0034752C">
        <w:tab/>
      </w:r>
      <w:r w:rsidRPr="0034752C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AF7E457" w14:textId="3F5A82F1" w:rsidR="00442E31" w:rsidRPr="00442E31" w:rsidRDefault="00591072" w:rsidP="0034752C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7FB1" w14:textId="1BDB18FE" w:rsidR="0034752C" w:rsidRPr="0034752C" w:rsidRDefault="0034752C">
    <w:pPr>
      <w:pStyle w:val="En-tte"/>
      <w:rPr>
        <w:lang w:val="en-US"/>
      </w:rPr>
    </w:pPr>
    <w:r>
      <w:fldChar w:fldCharType="begin"/>
    </w:r>
    <w:r w:rsidRPr="0034752C">
      <w:rPr>
        <w:lang w:val="en-US"/>
      </w:rPr>
      <w:instrText xml:space="preserve"> TITLE  \* MERGEFORMAT </w:instrText>
    </w:r>
    <w:r>
      <w:fldChar w:fldCharType="separate"/>
    </w:r>
    <w:r w:rsidRPr="0034752C">
      <w:rPr>
        <w:lang w:val="en-US"/>
      </w:rPr>
      <w:t>E/ECE/TRANS/505/Rev.3/Add.161/Amend.4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6D4F" w14:textId="77777777" w:rsidR="0034752C" w:rsidRPr="0034752C" w:rsidRDefault="0034752C" w:rsidP="0034752C">
    <w:pPr>
      <w:pStyle w:val="En-tte"/>
      <w:jc w:val="right"/>
      <w:rPr>
        <w:lang w:val="en-US"/>
      </w:rPr>
    </w:pPr>
    <w:r>
      <w:fldChar w:fldCharType="begin"/>
    </w:r>
    <w:r w:rsidRPr="0034752C">
      <w:rPr>
        <w:lang w:val="en-US"/>
      </w:rPr>
      <w:instrText xml:space="preserve"> TITLE  \* MERGEFORMAT </w:instrText>
    </w:r>
    <w:r>
      <w:fldChar w:fldCharType="separate"/>
    </w:r>
    <w:r w:rsidRPr="0034752C">
      <w:rPr>
        <w:lang w:val="en-US"/>
      </w:rPr>
      <w:t>E/ECE/TRANS/505/Rev.3/Add.161/Amend.4</w:t>
    </w:r>
    <w:r>
      <w:fldChar w:fldCharType="end"/>
    </w:r>
    <w:r w:rsidRPr="0034752C">
      <w:rPr>
        <w:lang w:val="en-US"/>
      </w:rPr>
      <w:br/>
    </w:r>
    <w:r>
      <w:fldChar w:fldCharType="begin"/>
    </w:r>
    <w:r w:rsidRPr="0034752C">
      <w:rPr>
        <w:lang w:val="en-US"/>
      </w:rPr>
      <w:instrText xml:space="preserve"> KEYWORDS  \* MERGEFORMAT </w:instrText>
    </w:r>
    <w:r>
      <w:fldChar w:fldCharType="separate"/>
    </w:r>
    <w:r w:rsidRPr="0034752C">
      <w:rPr>
        <w:lang w:val="en-US"/>
      </w:rPr>
      <w:t>E/ECE/TRANS/505/Rev.3/Add.161/Amend.4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52636316">
    <w:abstractNumId w:val="2"/>
  </w:num>
  <w:num w:numId="2" w16cid:durableId="224679060">
    <w:abstractNumId w:val="1"/>
  </w:num>
  <w:num w:numId="3" w16cid:durableId="498152766">
    <w:abstractNumId w:val="0"/>
  </w:num>
  <w:num w:numId="4" w16cid:durableId="827554620">
    <w:abstractNumId w:val="2"/>
  </w:num>
  <w:num w:numId="5" w16cid:durableId="428933668">
    <w:abstractNumId w:val="1"/>
  </w:num>
  <w:num w:numId="6" w16cid:durableId="8373845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C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1BCA"/>
    <w:rsid w:val="0033286A"/>
    <w:rsid w:val="00333130"/>
    <w:rsid w:val="00346E32"/>
    <w:rsid w:val="0034752C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2958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D3A537"/>
  <w15:docId w15:val="{54609E11-FF1F-42F2-8CD9-FB2203C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C90A9-A7F5-4EFE-8608-C06C3172C6C3}"/>
</file>

<file path=customXml/itemProps2.xml><?xml version="1.0" encoding="utf-8"?>
<ds:datastoreItem xmlns:ds="http://schemas.openxmlformats.org/officeDocument/2006/customXml" ds:itemID="{264A86F1-7CCC-4BD6-B513-D895D134F023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328</Words>
  <Characters>2135</Characters>
  <Application>Microsoft Office Word</Application>
  <DocSecurity>0</DocSecurity>
  <Lines>213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E/ECE/TRANS/505/Rev.3/Add.161/Amend.4</dc:title>
  <dc:creator>Sandrine CLERE</dc:creator>
  <cp:keywords>E/ECE/TRANS/505/Rev.3/Add.161/Amend.4</cp:keywords>
  <cp:lastModifiedBy>Sandrine Clere</cp:lastModifiedBy>
  <cp:revision>2</cp:revision>
  <cp:lastPrinted>2008-11-04T15:54:00Z</cp:lastPrinted>
  <dcterms:created xsi:type="dcterms:W3CDTF">2024-01-04T08:33:00Z</dcterms:created>
  <dcterms:modified xsi:type="dcterms:W3CDTF">2024-01-04T08:33:00Z</dcterms:modified>
</cp:coreProperties>
</file>