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43B1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1A9941" w14:textId="77777777" w:rsidR="002D5AAC" w:rsidRDefault="002D5AAC" w:rsidP="008711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76155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1ED7A6" w14:textId="2E4A8B42" w:rsidR="002D5AAC" w:rsidRDefault="008711A3" w:rsidP="008711A3">
            <w:pPr>
              <w:jc w:val="right"/>
            </w:pPr>
            <w:r w:rsidRPr="008711A3">
              <w:rPr>
                <w:sz w:val="40"/>
              </w:rPr>
              <w:t>ECE</w:t>
            </w:r>
            <w:r>
              <w:t>/TRANS/WP.29/GRSG/2024/23</w:t>
            </w:r>
          </w:p>
        </w:tc>
      </w:tr>
      <w:tr w:rsidR="002D5AAC" w14:paraId="72C8700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023B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C0E6E4" wp14:editId="64668C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AE27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605854" w14:textId="77777777" w:rsidR="002D5AAC" w:rsidRDefault="008711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F7FA81" w14:textId="77777777" w:rsidR="008711A3" w:rsidRDefault="008711A3" w:rsidP="008711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217EFD16" w14:textId="77777777" w:rsidR="008711A3" w:rsidRDefault="008711A3" w:rsidP="008711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37CD36" w14:textId="250E9E2D" w:rsidR="008711A3" w:rsidRPr="008D53B6" w:rsidRDefault="008711A3" w:rsidP="008711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7D929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B516BE" w14:textId="77777777" w:rsidR="008711A3" w:rsidRPr="008711A3" w:rsidRDefault="008711A3" w:rsidP="008711A3">
      <w:pPr>
        <w:spacing w:before="120"/>
        <w:rPr>
          <w:sz w:val="28"/>
          <w:szCs w:val="28"/>
        </w:rPr>
      </w:pPr>
      <w:r w:rsidRPr="008711A3">
        <w:rPr>
          <w:sz w:val="28"/>
          <w:szCs w:val="28"/>
        </w:rPr>
        <w:t>Комитет по внутреннему транспорту</w:t>
      </w:r>
    </w:p>
    <w:p w14:paraId="18362BA0" w14:textId="6E70ABEE" w:rsidR="008711A3" w:rsidRPr="008711A3" w:rsidRDefault="008711A3" w:rsidP="008711A3">
      <w:pPr>
        <w:spacing w:before="120"/>
        <w:rPr>
          <w:b/>
          <w:bCs/>
          <w:sz w:val="24"/>
          <w:szCs w:val="24"/>
        </w:rPr>
      </w:pPr>
      <w:r w:rsidRPr="008711A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711A3">
        <w:rPr>
          <w:b/>
          <w:bCs/>
          <w:sz w:val="24"/>
          <w:szCs w:val="24"/>
        </w:rPr>
        <w:t>в области транспортных средств</w:t>
      </w:r>
    </w:p>
    <w:p w14:paraId="7134603B" w14:textId="7380ADF0" w:rsidR="008711A3" w:rsidRPr="00283C51" w:rsidRDefault="008711A3" w:rsidP="008711A3">
      <w:pPr>
        <w:spacing w:before="120"/>
        <w:rPr>
          <w:b/>
          <w:bCs/>
        </w:rPr>
      </w:pPr>
      <w:r w:rsidRPr="00283C51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283C51">
        <w:rPr>
          <w:b/>
          <w:bCs/>
        </w:rPr>
        <w:t>касающимся безопасности</w:t>
      </w:r>
    </w:p>
    <w:p w14:paraId="015C9FBD" w14:textId="77777777" w:rsidR="008711A3" w:rsidRPr="00283C51" w:rsidRDefault="008711A3" w:rsidP="008711A3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5968C324" w14:textId="77777777" w:rsidR="008711A3" w:rsidRPr="00283C51" w:rsidRDefault="008711A3" w:rsidP="008711A3">
      <w:r>
        <w:t>Женева, 15</w:t>
      </w:r>
      <w:r w:rsidRPr="00923EDD">
        <w:t>–</w:t>
      </w:r>
      <w:r>
        <w:t>19 апреля 2024 года</w:t>
      </w:r>
    </w:p>
    <w:p w14:paraId="23131FBC" w14:textId="77777777" w:rsidR="008711A3" w:rsidRPr="00283C51" w:rsidRDefault="008711A3" w:rsidP="008711A3">
      <w:pPr>
        <w:rPr>
          <w:bCs/>
        </w:rPr>
      </w:pPr>
      <w:r>
        <w:t>Пункт 15 предварительной повестки дня</w:t>
      </w:r>
    </w:p>
    <w:p w14:paraId="2FB54491" w14:textId="7B5A5D8E" w:rsidR="008711A3" w:rsidRPr="00283C51" w:rsidRDefault="008711A3" w:rsidP="008711A3">
      <w:pPr>
        <w:rPr>
          <w:bCs/>
        </w:rPr>
      </w:pPr>
      <w:r>
        <w:rPr>
          <w:b/>
          <w:bCs/>
        </w:rPr>
        <w:t xml:space="preserve">Правила </w:t>
      </w:r>
      <w:r>
        <w:rPr>
          <w:b/>
          <w:bCs/>
        </w:rPr>
        <w:t>№ </w:t>
      </w:r>
      <w:r>
        <w:rPr>
          <w:b/>
          <w:bCs/>
        </w:rPr>
        <w:t>125 ООН (поле обзора водителя спереди)</w:t>
      </w:r>
    </w:p>
    <w:p w14:paraId="58143D46" w14:textId="1D33D263" w:rsidR="008711A3" w:rsidRPr="00283C51" w:rsidRDefault="008711A3" w:rsidP="008711A3">
      <w:pPr>
        <w:pStyle w:val="HChG"/>
      </w:pPr>
      <w:r>
        <w:tab/>
      </w:r>
      <w:r>
        <w:tab/>
        <w:t xml:space="preserve">Предложение по поправкам серии 03 к Правилам </w:t>
      </w:r>
      <w:r>
        <w:t>№ </w:t>
      </w:r>
      <w:r>
        <w:t xml:space="preserve">125 ООН (поле обзора водителя </w:t>
      </w:r>
      <w:r w:rsidRPr="008711A3">
        <w:t>спереди</w:t>
      </w:r>
      <w:r>
        <w:t>)</w:t>
      </w:r>
    </w:p>
    <w:p w14:paraId="1B7F9507" w14:textId="568BED5E" w:rsidR="008711A3" w:rsidRPr="00283C51" w:rsidRDefault="008711A3" w:rsidP="008711A3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системам помощи для поля обзора</w:t>
      </w:r>
      <w:r w:rsidRPr="008711A3">
        <w:rPr>
          <w:b w:val="0"/>
          <w:bCs/>
          <w:sz w:val="20"/>
        </w:rPr>
        <w:t>*</w:t>
      </w:r>
    </w:p>
    <w:p w14:paraId="0884E4EB" w14:textId="350345E8" w:rsidR="008711A3" w:rsidRPr="00283C51" w:rsidRDefault="008711A3" w:rsidP="008711A3">
      <w:pPr>
        <w:pStyle w:val="SingleTxtG"/>
        <w:ind w:firstLine="567"/>
        <w:rPr>
          <w:bCs/>
          <w:color w:val="000000" w:themeColor="text1"/>
        </w:rPr>
      </w:pPr>
      <w:r>
        <w:footnoteReference w:customMarkFollows="1" w:id="1"/>
        <w:t xml:space="preserve">Воспроизведенный ниже текст был подготовлен неофициальной рабочей группой по системам помощи для поля обзора (НРГ-ФВА) в контексте разделения Правил </w:t>
      </w:r>
      <w:r>
        <w:t>№ </w:t>
      </w:r>
      <w:r>
        <w:t xml:space="preserve">125 ООН на два отдельных свода правил ООН и в целях разработки новых правил ООН о единообразных технических предписаниях, касающихся официального утверждения транспортных средств в отношении системы помощи для поля обзора. Этот документ включает обновленные ссылки на объемный механизм определения точки </w:t>
      </w:r>
      <w:r>
        <w:t>«</w:t>
      </w:r>
      <w:r>
        <w:t>H</w:t>
      </w:r>
      <w:r>
        <w:t>»</w:t>
      </w:r>
      <w:r>
        <w:t xml:space="preserve"> (механизм 3-D </w:t>
      </w:r>
      <w:r>
        <w:t>«</w:t>
      </w:r>
      <w:r>
        <w:t>H</w:t>
      </w:r>
      <w:r>
        <w:t>»</w:t>
      </w:r>
      <w:r>
        <w:t xml:space="preserve">) и процедуру его калибровки, которые в настоящее время пересматриваются и переносятся из Сводной резолюции о конструкции транспортных средств (СР.3) в Общую резолюцию </w:t>
      </w:r>
      <w:r>
        <w:t>№ </w:t>
      </w:r>
      <w:r>
        <w:t xml:space="preserve">1 (ОР.1). Изменения к нынешнему тексту Правил </w:t>
      </w:r>
      <w:r>
        <w:t>№ </w:t>
      </w:r>
      <w:r>
        <w:t>125 ООН выделены жирным шрифтом в случае новых элементов или зачеркиванием — в случае исключенных элементов.</w:t>
      </w:r>
      <w:bookmarkStart w:id="0" w:name="_Hlk46250566"/>
      <w:bookmarkStart w:id="1" w:name="_Hlk46250620"/>
      <w:bookmarkEnd w:id="0"/>
    </w:p>
    <w:bookmarkEnd w:id="1"/>
    <w:p w14:paraId="2F30D351" w14:textId="77777777" w:rsidR="008711A3" w:rsidRPr="00283C51" w:rsidRDefault="008711A3" w:rsidP="008711A3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283C51">
        <w:rPr>
          <w:rFonts w:asciiTheme="majorBidi" w:hAnsiTheme="majorBidi" w:cstheme="majorBidi"/>
        </w:rPr>
        <w:br w:type="page"/>
      </w:r>
    </w:p>
    <w:p w14:paraId="7F27A5D6" w14:textId="59559FB4" w:rsidR="008711A3" w:rsidRPr="00283C51" w:rsidRDefault="008711A3" w:rsidP="008711A3">
      <w:pPr>
        <w:pStyle w:val="HChG"/>
        <w:rPr>
          <w:rFonts w:eastAsia="MS Mincho"/>
          <w:color w:val="000000"/>
          <w:szCs w:val="28"/>
        </w:rPr>
      </w:pPr>
      <w:r>
        <w:lastRenderedPageBreak/>
        <w:tab/>
      </w:r>
      <w:r>
        <w:t>I.</w:t>
      </w:r>
      <w:r>
        <w:tab/>
        <w:t>Предложение</w:t>
      </w:r>
    </w:p>
    <w:p w14:paraId="2F120AAA" w14:textId="77777777" w:rsidR="008711A3" w:rsidRPr="00283C51" w:rsidRDefault="008711A3" w:rsidP="008711A3">
      <w:pPr>
        <w:pStyle w:val="SingleTxtG"/>
        <w:rPr>
          <w:bCs/>
        </w:rPr>
      </w:pPr>
      <w:bookmarkStart w:id="2" w:name="_Toc387935141"/>
      <w:bookmarkStart w:id="3" w:name="_Toc397517931"/>
      <w:bookmarkStart w:id="4" w:name="_Toc456777134"/>
      <w:r w:rsidRPr="008711A3">
        <w:rPr>
          <w:i/>
          <w:iCs/>
        </w:rPr>
        <w:t xml:space="preserve">Пункты </w:t>
      </w:r>
      <w:r>
        <w:rPr>
          <w:i/>
          <w:iCs/>
        </w:rPr>
        <w:t>2.3–2.10</w:t>
      </w:r>
      <w:r>
        <w:t xml:space="preserve"> изменить следующим образом:</w:t>
      </w:r>
    </w:p>
    <w:p w14:paraId="622FE26A" w14:textId="7CE5C57A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«</w:t>
      </w:r>
      <w:r>
        <w:t>2.3</w:t>
      </w:r>
      <w:r>
        <w:tab/>
      </w:r>
      <w:r>
        <w:t>"</w:t>
      </w:r>
      <w:r>
        <w:rPr>
          <w:i/>
          <w:iCs/>
        </w:rPr>
        <w:t>Трехмерная система координат</w:t>
      </w:r>
      <w:r>
        <w:t>"</w:t>
      </w:r>
      <w:r>
        <w:t xml:space="preserve"> означает систему координат, которая состоит из вертикальной продольной плоскости XZ, горизонтальной плоскости XY и вертикальной поперечной плоскости YZ </w:t>
      </w:r>
      <w:r>
        <w:rPr>
          <w:strike/>
        </w:rPr>
        <w:t>(см. рис. 6 добавления к приложению 4)</w:t>
      </w:r>
      <w:r>
        <w:t xml:space="preserve">; система координат используется для соотнесения расстояний между структурными точками на чертежах и на реальном транспортном средстве. Процедура размещения транспортного средства относительно системы координат указана в </w:t>
      </w:r>
      <w:r>
        <w:rPr>
          <w:strike/>
        </w:rPr>
        <w:t>приложении 4</w:t>
      </w:r>
      <w:r>
        <w:t xml:space="preserve"> </w:t>
      </w:r>
      <w:r>
        <w:rPr>
          <w:b/>
          <w:bCs/>
        </w:rPr>
        <w:t xml:space="preserve">в добавлении 6 к Общей резолюции </w:t>
      </w:r>
      <w:r>
        <w:rPr>
          <w:b/>
          <w:bCs/>
        </w:rPr>
        <w:t>№ </w:t>
      </w:r>
      <w:r>
        <w:rPr>
          <w:b/>
          <w:bCs/>
        </w:rPr>
        <w:t>1 (ОР.1)</w:t>
      </w:r>
      <w:r w:rsidR="005D1A60">
        <w:rPr>
          <w:rStyle w:val="aa"/>
          <w:b/>
          <w:bCs/>
        </w:rPr>
        <w:footnoteReference w:id="2"/>
      </w:r>
      <w:r>
        <w:t>; все координаты относительно нулевого уровня должны рассчитываться для транспортного средства в снаряженном состоянии</w:t>
      </w:r>
      <w:r>
        <w:rPr>
          <w:vertAlign w:val="superscript"/>
        </w:rPr>
        <w:t>2</w:t>
      </w:r>
      <w:r>
        <w:t xml:space="preserve"> с одним пассажиром на переднем сиденье, масса которого составляет 75 кг ± 1 %. </w:t>
      </w:r>
    </w:p>
    <w:p w14:paraId="620DE15C" w14:textId="77777777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2.3.1</w:t>
      </w:r>
      <w:r>
        <w:tab/>
        <w:t xml:space="preserve">Транспортные средства с подвеской, позволяющей регулировать их дорожный просвет, подвергают испытанию при нормальных условиях эксплуатации, определенных изготовителем транспортного средства. </w:t>
      </w:r>
    </w:p>
    <w:p w14:paraId="498B72FE" w14:textId="7D7A40B2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2.4</w:t>
      </w:r>
      <w:r>
        <w:tab/>
      </w:r>
      <w:r>
        <w:t>"</w:t>
      </w:r>
      <w:r>
        <w:rPr>
          <w:i/>
          <w:iCs/>
        </w:rPr>
        <w:t>Основные исходные точки</w:t>
      </w:r>
      <w:r>
        <w:t>"</w:t>
      </w:r>
      <w:r>
        <w:t xml:space="preserve"> означают отверстия, плоскости, метки и обозначения на корпусе транспортного средства. Тип используемой исходной точки и положение каждой точки относительно координат Х, Y и Z трехмерной системы координат и конструктивной опорной плоскости должны указываться изготовителем транспортного средства. Этими точками могут быть контрольные точки, используемые для целей сборки кузова. </w:t>
      </w:r>
    </w:p>
    <w:p w14:paraId="05C75BAF" w14:textId="1B97698F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2.5</w:t>
      </w:r>
      <w:r>
        <w:tab/>
      </w:r>
      <w:r>
        <w:t>"</w:t>
      </w:r>
      <w:r>
        <w:rPr>
          <w:i/>
          <w:iCs/>
        </w:rPr>
        <w:t>Угол наклона спинки сиденья</w:t>
      </w:r>
      <w:r>
        <w:t>"</w:t>
      </w:r>
      <w:r>
        <w:t xml:space="preserve"> означает угол, определенный в </w:t>
      </w:r>
      <w:r>
        <w:rPr>
          <w:strike/>
        </w:rPr>
        <w:t>пункте 2.6 или 2.7 приложения 1 к пересмотренной Сводной резолюции о конструкции транспортных средств (СР.3)</w:t>
      </w:r>
      <w:r>
        <w:rPr>
          <w:strike/>
          <w:vertAlign w:val="superscript"/>
        </w:rPr>
        <w:t>3</w:t>
      </w:r>
      <w:r>
        <w:t xml:space="preserve"> </w:t>
      </w:r>
      <w:r>
        <w:rPr>
          <w:b/>
          <w:bCs/>
        </w:rPr>
        <w:t>пункте 1.2.6 или пункте</w:t>
      </w:r>
      <w:r>
        <w:rPr>
          <w:b/>
          <w:bCs/>
        </w:rPr>
        <w:t> </w:t>
      </w:r>
      <w:r>
        <w:rPr>
          <w:b/>
          <w:bCs/>
        </w:rPr>
        <w:t xml:space="preserve">1.2.7 добавления 6 к Общей резолюции </w:t>
      </w:r>
      <w:r>
        <w:rPr>
          <w:b/>
          <w:bCs/>
        </w:rPr>
        <w:t>№ </w:t>
      </w:r>
      <w:r>
        <w:rPr>
          <w:b/>
          <w:bCs/>
        </w:rPr>
        <w:t>1 (ОР.1)</w:t>
      </w:r>
      <w:r>
        <w:t>.</w:t>
      </w:r>
    </w:p>
    <w:p w14:paraId="4C150125" w14:textId="09FEE526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2.6</w:t>
      </w:r>
      <w:r>
        <w:tab/>
      </w:r>
      <w:r>
        <w:t>"</w:t>
      </w:r>
      <w:r>
        <w:rPr>
          <w:i/>
          <w:iCs/>
        </w:rPr>
        <w:t>Фактический угол наклона спинки сиденья</w:t>
      </w:r>
      <w:r>
        <w:t>"</w:t>
      </w:r>
      <w:r>
        <w:t xml:space="preserve"> означает угол, определенный в </w:t>
      </w:r>
      <w:r>
        <w:rPr>
          <w:strike/>
        </w:rPr>
        <w:t>пункте 2.6 приложения 1 к пересмотренной СР.3</w:t>
      </w:r>
      <w:r>
        <w:t xml:space="preserve"> </w:t>
      </w:r>
      <w:r>
        <w:rPr>
          <w:b/>
          <w:bCs/>
        </w:rPr>
        <w:t>пункте</w:t>
      </w:r>
      <w:r>
        <w:rPr>
          <w:b/>
          <w:bCs/>
        </w:rPr>
        <w:t> </w:t>
      </w:r>
      <w:r>
        <w:rPr>
          <w:b/>
          <w:bCs/>
        </w:rPr>
        <w:t>1.2.6 добавления 6 к ОР.1</w:t>
      </w:r>
      <w:r>
        <w:t xml:space="preserve">. </w:t>
      </w:r>
    </w:p>
    <w:p w14:paraId="5CD9C799" w14:textId="393A52A4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2.7</w:t>
      </w:r>
      <w:r>
        <w:tab/>
      </w:r>
      <w:r>
        <w:t>"</w:t>
      </w:r>
      <w:r>
        <w:rPr>
          <w:i/>
          <w:iCs/>
        </w:rPr>
        <w:t>Конструктивный угол наклона спинки сиденья</w:t>
      </w:r>
      <w:r>
        <w:t>"</w:t>
      </w:r>
      <w:r>
        <w:t xml:space="preserve"> означает угол, определенный в </w:t>
      </w:r>
      <w:r>
        <w:rPr>
          <w:strike/>
        </w:rPr>
        <w:t>пункте 2.7 приложения 1 к пересмотренной СР.3</w:t>
      </w:r>
      <w:r>
        <w:t xml:space="preserve"> </w:t>
      </w:r>
      <w:r>
        <w:rPr>
          <w:b/>
          <w:bCs/>
        </w:rPr>
        <w:t>пункте</w:t>
      </w:r>
      <w:r>
        <w:rPr>
          <w:b/>
          <w:bCs/>
        </w:rPr>
        <w:t> </w:t>
      </w:r>
      <w:r>
        <w:rPr>
          <w:b/>
          <w:bCs/>
        </w:rPr>
        <w:t>1.2.7 добавления 6 к ОР.1</w:t>
      </w:r>
      <w:r w:rsidRPr="00680EFA">
        <w:t>.</w:t>
      </w:r>
    </w:p>
    <w:p w14:paraId="29CB2CA6" w14:textId="420CB663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2.8</w:t>
      </w:r>
      <w:r>
        <w:tab/>
      </w:r>
      <w:r>
        <w:t>"</w:t>
      </w:r>
      <w:r>
        <w:rPr>
          <w:i/>
          <w:iCs/>
        </w:rPr>
        <w:t>Точки V</w:t>
      </w:r>
      <w:r>
        <w:t>"</w:t>
      </w:r>
      <w:r>
        <w:t xml:space="preserve"> означают точки, положение которых в пассажирском салоне определяется в зависимости от вертикальных продольных плоскостей, проходящих через центры самых крайних расчетных мест для сидения на переднем сиденье, и по отношению к точке </w:t>
      </w:r>
      <w:r>
        <w:t>«</w:t>
      </w:r>
      <w:r>
        <w:t>R</w:t>
      </w:r>
      <w:r>
        <w:t>»</w:t>
      </w:r>
      <w:r>
        <w:t xml:space="preserve"> и конструктивному углу наклона спинки сиденья; эти точки используются для проверки соблюдения требований, касающихся поля обзора. </w:t>
      </w:r>
    </w:p>
    <w:p w14:paraId="727C9DA4" w14:textId="75EBCF75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2.9</w:t>
      </w:r>
      <w:r>
        <w:tab/>
      </w:r>
      <w:r>
        <w:t>«</w:t>
      </w:r>
      <w:r>
        <w:rPr>
          <w:i/>
          <w:iCs/>
        </w:rPr>
        <w:t xml:space="preserve">Точка </w:t>
      </w:r>
      <w:r>
        <w:rPr>
          <w:i/>
          <w:iCs/>
        </w:rPr>
        <w:t>"</w:t>
      </w:r>
      <w:r>
        <w:rPr>
          <w:i/>
          <w:iCs/>
        </w:rPr>
        <w:t>R</w:t>
      </w:r>
      <w:r>
        <w:rPr>
          <w:i/>
          <w:iCs/>
        </w:rPr>
        <w:t>"</w:t>
      </w:r>
      <w:r>
        <w:rPr>
          <w:i/>
          <w:iCs/>
        </w:rPr>
        <w:t xml:space="preserve">, или </w:t>
      </w:r>
      <w:r>
        <w:rPr>
          <w:i/>
          <w:iCs/>
        </w:rPr>
        <w:t>"</w:t>
      </w:r>
      <w:r>
        <w:rPr>
          <w:i/>
          <w:iCs/>
        </w:rPr>
        <w:t>контрольная точка места для сидения</w:t>
      </w:r>
      <w:r w:rsidRPr="008711A3">
        <w:rPr>
          <w:i/>
          <w:iCs/>
        </w:rPr>
        <w:t>"</w:t>
      </w:r>
      <w:r>
        <w:t>»</w:t>
      </w:r>
      <w:r>
        <w:t xml:space="preserve">, означает точку, определенную в </w:t>
      </w:r>
      <w:r>
        <w:rPr>
          <w:strike/>
        </w:rPr>
        <w:t>пункте 2.4 приложения 1 к пересмотренной СР.3</w:t>
      </w:r>
      <w:r>
        <w:t xml:space="preserve"> </w:t>
      </w:r>
      <w:r>
        <w:rPr>
          <w:b/>
          <w:bCs/>
        </w:rPr>
        <w:t>пункте</w:t>
      </w:r>
      <w:r>
        <w:rPr>
          <w:b/>
          <w:bCs/>
        </w:rPr>
        <w:t> </w:t>
      </w:r>
      <w:r>
        <w:rPr>
          <w:b/>
          <w:bCs/>
        </w:rPr>
        <w:t>1.2.4 добавления 6 к ОР.1</w:t>
      </w:r>
      <w:r>
        <w:t xml:space="preserve">. </w:t>
      </w:r>
    </w:p>
    <w:p w14:paraId="31B88567" w14:textId="02995243" w:rsidR="008711A3" w:rsidRPr="00283C51" w:rsidRDefault="008711A3" w:rsidP="008711A3">
      <w:pPr>
        <w:pStyle w:val="SingleTxtG"/>
        <w:tabs>
          <w:tab w:val="clear" w:pos="1701"/>
        </w:tabs>
        <w:ind w:left="2268" w:hanging="1134"/>
        <w:rPr>
          <w:bCs/>
        </w:rPr>
      </w:pPr>
      <w:r>
        <w:t>2.10</w:t>
      </w:r>
      <w:r>
        <w:tab/>
      </w:r>
      <w:r>
        <w:t>«</w:t>
      </w:r>
      <w:r>
        <w:rPr>
          <w:i/>
          <w:iCs/>
        </w:rPr>
        <w:t xml:space="preserve">Точка </w:t>
      </w:r>
      <w:r>
        <w:rPr>
          <w:i/>
          <w:iCs/>
        </w:rPr>
        <w:t>"</w:t>
      </w:r>
      <w:r>
        <w:rPr>
          <w:i/>
          <w:iCs/>
        </w:rPr>
        <w:t>H</w:t>
      </w:r>
      <w:r>
        <w:rPr>
          <w:i/>
          <w:iCs/>
        </w:rPr>
        <w:t>"</w:t>
      </w:r>
      <w:r w:rsidRPr="008711A3">
        <w:t>»</w:t>
      </w:r>
      <w:r>
        <w:t xml:space="preserve"> означает точку, определенную в </w:t>
      </w:r>
      <w:r>
        <w:rPr>
          <w:strike/>
        </w:rPr>
        <w:t>пункте 2.3 приложения 1 к пересмотренной СР.3</w:t>
      </w:r>
      <w:r>
        <w:t xml:space="preserve"> </w:t>
      </w:r>
      <w:r>
        <w:rPr>
          <w:b/>
          <w:bCs/>
        </w:rPr>
        <w:t>пункте 1.2.3 добавления 6 к ОР.1</w:t>
      </w:r>
      <w:r w:rsidRPr="008711A3">
        <w:t>»</w:t>
      </w:r>
      <w:r w:rsidRPr="008711A3">
        <w:t>.</w:t>
      </w:r>
    </w:p>
    <w:p w14:paraId="0EE29EC2" w14:textId="77777777" w:rsidR="008711A3" w:rsidRDefault="008711A3" w:rsidP="008711A3">
      <w:pPr>
        <w:pStyle w:val="SingleTxtG"/>
        <w:ind w:left="1287" w:hanging="153"/>
      </w:pPr>
      <w:bookmarkStart w:id="5" w:name="_Toc107305524"/>
      <w:bookmarkStart w:id="6" w:name="_Hlk107305755"/>
      <w:bookmarkEnd w:id="2"/>
      <w:bookmarkEnd w:id="3"/>
      <w:bookmarkEnd w:id="4"/>
      <w:r>
        <w:rPr>
          <w:i/>
          <w:iCs/>
        </w:rPr>
        <w:t>Пункт 5.1.3.5</w:t>
      </w:r>
      <w:r>
        <w:t xml:space="preserve"> изменить следующим образом:</w:t>
      </w:r>
    </w:p>
    <w:p w14:paraId="26F11FE4" w14:textId="0D5DC058" w:rsidR="008711A3" w:rsidRPr="00923EDD" w:rsidRDefault="008711A3" w:rsidP="005D1A60">
      <w:pPr>
        <w:pStyle w:val="SingleTxtG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923EDD">
        <w:rPr>
          <w:bCs/>
        </w:rPr>
        <w:t>5.1.3.5</w:t>
      </w:r>
      <w:r w:rsidRPr="00923EDD">
        <w:rPr>
          <w:bCs/>
        </w:rPr>
        <w:tab/>
        <w:t>На прозрачное поле обзора, определенное в пункте 5.1.1, может накладываться информация системы помощи для поля обзора</w:t>
      </w:r>
      <w:r w:rsidRPr="00923EDD">
        <w:rPr>
          <w:b/>
          <w:bCs/>
        </w:rPr>
        <w:t>, если при этом соблюдены</w:t>
      </w:r>
      <w:r w:rsidRPr="00923EDD">
        <w:rPr>
          <w:bCs/>
        </w:rPr>
        <w:t xml:space="preserve"> </w:t>
      </w:r>
      <w:r w:rsidRPr="00923EDD">
        <w:rPr>
          <w:b/>
          <w:bCs/>
        </w:rPr>
        <w:t>требования Правил [XXX] ООН</w:t>
      </w:r>
      <w:r>
        <w:rPr>
          <w:bCs/>
        </w:rPr>
        <w:t>»</w:t>
      </w:r>
      <w:r w:rsidRPr="00923EDD">
        <w:rPr>
          <w:bCs/>
        </w:rPr>
        <w:t>.</w:t>
      </w:r>
    </w:p>
    <w:p w14:paraId="0B613623" w14:textId="77777777" w:rsidR="008711A3" w:rsidRPr="00923EDD" w:rsidRDefault="008711A3" w:rsidP="008711A3">
      <w:pPr>
        <w:pStyle w:val="SingleTxtG"/>
        <w:rPr>
          <w:bCs/>
        </w:rPr>
      </w:pPr>
      <w:r w:rsidRPr="00923EDD">
        <w:rPr>
          <w:bCs/>
          <w:i/>
          <w:iCs/>
        </w:rPr>
        <w:lastRenderedPageBreak/>
        <w:t>Пункты 5.1.3.5.1–5.1.3.7</w:t>
      </w:r>
      <w:r w:rsidRPr="00923EDD">
        <w:rPr>
          <w:bCs/>
        </w:rPr>
        <w:t xml:space="preserve"> исключить.</w:t>
      </w:r>
    </w:p>
    <w:p w14:paraId="2B669B0F" w14:textId="77777777" w:rsidR="008711A3" w:rsidRPr="00923EDD" w:rsidRDefault="008711A3" w:rsidP="008711A3">
      <w:pPr>
        <w:pStyle w:val="SingleTxtG"/>
        <w:rPr>
          <w:bCs/>
        </w:rPr>
      </w:pPr>
      <w:r w:rsidRPr="00923EDD">
        <w:rPr>
          <w:bCs/>
          <w:i/>
          <w:iCs/>
        </w:rPr>
        <w:t>Пункты 6.2.2</w:t>
      </w:r>
      <w:r w:rsidRPr="00923EDD">
        <w:rPr>
          <w:bCs/>
        </w:rPr>
        <w:t xml:space="preserve"> исключить. </w:t>
      </w:r>
    </w:p>
    <w:p w14:paraId="1A5746B9" w14:textId="77777777" w:rsidR="008711A3" w:rsidRPr="00923EDD" w:rsidRDefault="008711A3" w:rsidP="008711A3">
      <w:pPr>
        <w:pStyle w:val="SingleTxtG"/>
        <w:rPr>
          <w:bCs/>
        </w:rPr>
      </w:pPr>
      <w:r w:rsidRPr="00923EDD">
        <w:rPr>
          <w:bCs/>
          <w:i/>
          <w:iCs/>
        </w:rPr>
        <w:t>Включить новые пункты 12.12–12.16</w:t>
      </w:r>
      <w:r w:rsidRPr="00923EDD">
        <w:rPr>
          <w:bCs/>
        </w:rPr>
        <w:t xml:space="preserve"> следующего содержания:</w:t>
      </w:r>
    </w:p>
    <w:p w14:paraId="2140EA7F" w14:textId="42116CE3" w:rsidR="008711A3" w:rsidRPr="00923EDD" w:rsidRDefault="008711A3" w:rsidP="005D1A6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D1A60">
        <w:t>«</w:t>
      </w:r>
      <w:r w:rsidRPr="00923EDD">
        <w:rPr>
          <w:b/>
          <w:bCs/>
        </w:rPr>
        <w:t>12.12</w:t>
      </w:r>
      <w:r w:rsidRPr="00923EDD">
        <w:rPr>
          <w:bCs/>
        </w:rPr>
        <w:tab/>
      </w:r>
      <w:r w:rsidRPr="00923EDD">
        <w:rPr>
          <w:b/>
          <w:bCs/>
        </w:rPr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</w:p>
    <w:p w14:paraId="5270C1F5" w14:textId="77777777" w:rsidR="008711A3" w:rsidRPr="00923EDD" w:rsidRDefault="008711A3" w:rsidP="005D1A6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923EDD">
        <w:rPr>
          <w:b/>
          <w:bCs/>
        </w:rPr>
        <w:t>12.13</w:t>
      </w:r>
      <w:r w:rsidRPr="00923EDD">
        <w:rPr>
          <w:bCs/>
        </w:rPr>
        <w:tab/>
      </w:r>
      <w:r w:rsidRPr="00923EDD">
        <w:rPr>
          <w:b/>
          <w:bCs/>
        </w:rPr>
        <w:t>Начиная с [1 сентября 2026 года] Договаривающиеся стороны, применяющие настоящие Правила, не обязаны признавать официальные утверждения типа, впервые выданные на основании поправок предшествующих серий после [1 сентября 2026 года].</w:t>
      </w:r>
    </w:p>
    <w:p w14:paraId="4ACDBA35" w14:textId="77777777" w:rsidR="008711A3" w:rsidRPr="00923EDD" w:rsidRDefault="008711A3" w:rsidP="005D1A6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923EDD">
        <w:rPr>
          <w:b/>
          <w:bCs/>
        </w:rPr>
        <w:t>12.14</w:t>
      </w:r>
      <w:r w:rsidRPr="00923EDD">
        <w:rPr>
          <w:bCs/>
        </w:rPr>
        <w:tab/>
      </w:r>
      <w:r w:rsidRPr="00923EDD">
        <w:rPr>
          <w:b/>
          <w:bCs/>
        </w:rPr>
        <w:t>До [1 сентября 2028 года] Договаривающиеся стороны, применяющие настоящие Правила, признают официальные утверждения типа, впервые выданные на основании поправок предшествующих серий до [1 сентября 2026 года].</w:t>
      </w:r>
    </w:p>
    <w:p w14:paraId="516D53CD" w14:textId="77777777" w:rsidR="008711A3" w:rsidRPr="00923EDD" w:rsidRDefault="008711A3" w:rsidP="005D1A6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923EDD">
        <w:rPr>
          <w:b/>
          <w:bCs/>
        </w:rPr>
        <w:t>12.15</w:t>
      </w:r>
      <w:r w:rsidRPr="00923EDD">
        <w:rPr>
          <w:bCs/>
        </w:rPr>
        <w:tab/>
      </w:r>
      <w:r w:rsidRPr="00923EDD">
        <w:rPr>
          <w:b/>
          <w:bCs/>
        </w:rPr>
        <w:t>Начиная с [1 сентября 2028 года] Договаривающиеся стороны, применяющие настоящие Правила, не обязаны признавать официальные утверждения типа, выданные на основании предшествующих серий поправок к настоящим Правилам.</w:t>
      </w:r>
    </w:p>
    <w:p w14:paraId="6A34C36D" w14:textId="7F7C73AD" w:rsidR="008711A3" w:rsidRPr="00923EDD" w:rsidRDefault="008711A3" w:rsidP="005D1A6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923EDD">
        <w:rPr>
          <w:b/>
          <w:bCs/>
        </w:rPr>
        <w:t>12.16</w:t>
      </w:r>
      <w:r w:rsidRPr="00923EDD">
        <w:rPr>
          <w:bCs/>
        </w:rPr>
        <w:tab/>
      </w:r>
      <w:r w:rsidRPr="00923EDD">
        <w:rPr>
          <w:b/>
          <w:bCs/>
        </w:rPr>
        <w:t xml:space="preserve">Независимо от пункта 12.13 Договаривающиеся стороны, применяющие настоящие Правила, продолжают признавать официальные утверждения типа, выданные на основании </w:t>
      </w:r>
      <w:r w:rsidR="005D1A60" w:rsidRPr="00923EDD">
        <w:rPr>
          <w:b/>
          <w:bCs/>
        </w:rPr>
        <w:t>предшествующих</w:t>
      </w:r>
      <w:r w:rsidRPr="00923EDD">
        <w:rPr>
          <w:b/>
          <w:bCs/>
        </w:rPr>
        <w:t xml:space="preserve"> серий поправок к настоящим Правилам и касающиеся типов транспортных средств, которые не затронуты изменениями, внесенными на основании поправок серии 03 (т.</w:t>
      </w:r>
      <w:r w:rsidR="005D1A60">
        <w:rPr>
          <w:b/>
          <w:bCs/>
        </w:rPr>
        <w:t> </w:t>
      </w:r>
      <w:r w:rsidRPr="00923EDD">
        <w:rPr>
          <w:b/>
          <w:bCs/>
        </w:rPr>
        <w:t>е.</w:t>
      </w:r>
      <w:r w:rsidR="005D1A60">
        <w:rPr>
          <w:b/>
          <w:bCs/>
        </w:rPr>
        <w:t> </w:t>
      </w:r>
      <w:r w:rsidRPr="00923EDD">
        <w:rPr>
          <w:b/>
          <w:bCs/>
        </w:rPr>
        <w:t>транспортных средств, не оснащенных АПО)</w:t>
      </w:r>
      <w:r w:rsidRPr="005D1A60">
        <w:t>»</w:t>
      </w:r>
      <w:r w:rsidRPr="00923EDD">
        <w:t>.</w:t>
      </w:r>
    </w:p>
    <w:p w14:paraId="053A1247" w14:textId="77777777" w:rsidR="008711A3" w:rsidRPr="00923EDD" w:rsidRDefault="008711A3" w:rsidP="008711A3">
      <w:pPr>
        <w:pStyle w:val="SingleTxtG"/>
        <w:rPr>
          <w:bCs/>
        </w:rPr>
      </w:pPr>
      <w:r w:rsidRPr="00923EDD">
        <w:rPr>
          <w:bCs/>
          <w:i/>
          <w:iCs/>
        </w:rPr>
        <w:t>Пункты 12.12–12.13 (прежние)</w:t>
      </w:r>
      <w:r w:rsidRPr="00923EDD">
        <w:rPr>
          <w:bCs/>
        </w:rPr>
        <w:t>, изменить нумерацию на пункты 12.17–12.18.</w:t>
      </w:r>
    </w:p>
    <w:p w14:paraId="1FDBF3EE" w14:textId="77777777" w:rsidR="008711A3" w:rsidRPr="00923EDD" w:rsidRDefault="008711A3" w:rsidP="008711A3">
      <w:pPr>
        <w:pStyle w:val="SingleTxtG"/>
        <w:rPr>
          <w:bCs/>
        </w:rPr>
      </w:pPr>
      <w:r w:rsidRPr="00923EDD">
        <w:rPr>
          <w:bCs/>
          <w:i/>
          <w:iCs/>
        </w:rPr>
        <w:t>Приложение 2</w:t>
      </w:r>
      <w:r w:rsidRPr="00923EDD">
        <w:rPr>
          <w:bCs/>
        </w:rPr>
        <w:t xml:space="preserve"> изменить следующим образом:</w:t>
      </w:r>
    </w:p>
    <w:p w14:paraId="5CC05BD3" w14:textId="581FC019" w:rsidR="008711A3" w:rsidRPr="00283C51" w:rsidRDefault="008711A3" w:rsidP="008711A3">
      <w:pPr>
        <w:pStyle w:val="HChG"/>
      </w:pPr>
      <w:bookmarkStart w:id="7" w:name="_Toc108926532"/>
      <w:bookmarkStart w:id="8" w:name="_Toc108926533"/>
      <w:r w:rsidRPr="005D1A60">
        <w:rPr>
          <w:b w:val="0"/>
          <w:sz w:val="20"/>
        </w:rPr>
        <w:t>«</w:t>
      </w:r>
      <w:r>
        <w:rPr>
          <w:bCs/>
        </w:rPr>
        <w:t>Приложение 2</w:t>
      </w:r>
      <w:bookmarkEnd w:id="7"/>
    </w:p>
    <w:p w14:paraId="5A8F8C6F" w14:textId="0EDE0F44" w:rsidR="008711A3" w:rsidRPr="00283C51" w:rsidRDefault="008711A3" w:rsidP="008711A3">
      <w:pPr>
        <w:pStyle w:val="HChG"/>
      </w:pPr>
      <w:r>
        <w:tab/>
      </w:r>
      <w:r>
        <w:tab/>
      </w:r>
      <w:r>
        <w:rPr>
          <w:bCs/>
        </w:rPr>
        <w:t>Схема знаков официального утверждения</w:t>
      </w:r>
      <w:bookmarkEnd w:id="8"/>
    </w:p>
    <w:p w14:paraId="033D24EC" w14:textId="517066CE" w:rsidR="008711A3" w:rsidRPr="00283C51" w:rsidRDefault="005D1A60" w:rsidP="005D1A60">
      <w:pPr>
        <w:pStyle w:val="Para"/>
        <w:spacing w:after="0"/>
        <w:rPr>
          <w:sz w:val="24"/>
          <w:lang w:val="ru-RU"/>
        </w:rPr>
      </w:pPr>
      <w:r w:rsidRPr="00983D0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3D31" wp14:editId="5CCC0744">
                <wp:simplePos x="0" y="0"/>
                <wp:positionH relativeFrom="column">
                  <wp:posOffset>2767965</wp:posOffset>
                </wp:positionH>
                <wp:positionV relativeFrom="paragraph">
                  <wp:posOffset>542501</wp:posOffset>
                </wp:positionV>
                <wp:extent cx="1485900" cy="317500"/>
                <wp:effectExtent l="0" t="0" r="0" b="6350"/>
                <wp:wrapNone/>
                <wp:docPr id="9422210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DDD49" w14:textId="34254DA2" w:rsidR="008711A3" w:rsidRPr="005D1A60" w:rsidRDefault="008711A3" w:rsidP="00871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1A60">
                              <w:rPr>
                                <w:sz w:val="32"/>
                                <w:szCs w:val="32"/>
                              </w:rPr>
                              <w:t xml:space="preserve">125R </w:t>
                            </w:r>
                            <w:r w:rsidR="005D1A60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Pr="005D1A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1A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  <w:r w:rsidRPr="005D1A60">
                              <w:rPr>
                                <w:sz w:val="32"/>
                                <w:szCs w:val="32"/>
                              </w:rPr>
                              <w:t>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3D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95pt;margin-top:42.7pt;width:11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" stroked="f">
                <v:textbox>
                  <w:txbxContent>
                    <w:p w14:paraId="01BDDD49" w14:textId="34254DA2" w:rsidR="008711A3" w:rsidRPr="005D1A60" w:rsidRDefault="008711A3" w:rsidP="008711A3">
                      <w:pPr>
                        <w:rPr>
                          <w:sz w:val="32"/>
                          <w:szCs w:val="32"/>
                        </w:rPr>
                      </w:pPr>
                      <w:r w:rsidRPr="005D1A60">
                        <w:rPr>
                          <w:sz w:val="32"/>
                          <w:szCs w:val="32"/>
                        </w:rPr>
                        <w:t xml:space="preserve">125R </w:t>
                      </w:r>
                      <w:r w:rsidR="005D1A60">
                        <w:rPr>
                          <w:sz w:val="32"/>
                          <w:szCs w:val="32"/>
                        </w:rPr>
                        <w:t>–</w:t>
                      </w:r>
                      <w:r w:rsidRPr="005D1A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D1A60">
                        <w:rPr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  <w:r w:rsidRPr="005D1A60">
                        <w:rPr>
                          <w:sz w:val="32"/>
                          <w:szCs w:val="32"/>
                        </w:rPr>
                        <w:t>0185</w:t>
                      </w:r>
                    </w:p>
                  </w:txbxContent>
                </v:textbox>
              </v:shape>
            </w:pict>
          </mc:Fallback>
        </mc:AlternateContent>
      </w:r>
      <w:r w:rsidR="008711A3">
        <w:rPr>
          <w:lang w:val="ru-RU"/>
        </w:rPr>
        <w:t>(см. пункты 4.4–4.4.2 настоящих Правил)</w:t>
      </w:r>
      <w:r w:rsidR="008711A3" w:rsidRPr="00983D0E">
        <w:rPr>
          <w:vanish/>
          <w:sz w:val="16"/>
          <w:szCs w:val="16"/>
          <w:lang w:val="ru-RU"/>
        </w:rPr>
        <w:t>)</w:t>
      </w:r>
      <w:r w:rsidR="008711A3">
        <w:rPr>
          <w:sz w:val="24"/>
          <w:szCs w:val="24"/>
        </w:rPr>
        <w:object w:dxaOrig="1440" w:dyaOrig="1440" w14:anchorId="36337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1.85pt;margin-top:19.3pt;width:314.95pt;height:66.95pt;z-index:251658240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2050" DrawAspect="Content" ObjectID="_1769427182" r:id="rId9"/>
        </w:object>
      </w:r>
    </w:p>
    <w:p w14:paraId="5BBE2C7A" w14:textId="315CD552" w:rsidR="008711A3" w:rsidRPr="00283C51" w:rsidRDefault="008711A3" w:rsidP="008711A3">
      <w:pPr>
        <w:suppressAutoHyphens w:val="0"/>
        <w:spacing w:line="240" w:lineRule="auto"/>
        <w:ind w:left="7200"/>
      </w:pPr>
      <w:r>
        <w:t>a = 8 мм мин.</w:t>
      </w:r>
    </w:p>
    <w:p w14:paraId="29BD2DC0" w14:textId="532B95F0" w:rsidR="008711A3" w:rsidRPr="00283C51" w:rsidRDefault="008711A3" w:rsidP="008711A3">
      <w:pPr>
        <w:pStyle w:val="SingleTxtG"/>
        <w:spacing w:before="120"/>
        <w:ind w:firstLine="567"/>
      </w:pPr>
      <w:r>
        <w:t xml:space="preserve">Приведенный выше знак официального утверждения, проставленный на транспортном средстве, указывает, что в отношении поля обзора водителя спереди данный тип транспортного средства был официально утвержден в Бельгии (E 6) на основании Правил </w:t>
      </w:r>
      <w:r>
        <w:t>№ </w:t>
      </w:r>
      <w:r>
        <w:t xml:space="preserve">125 ООН.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</w:t>
      </w:r>
      <w:r>
        <w:t>№ </w:t>
      </w:r>
      <w:r>
        <w:t xml:space="preserve">125 ООН с внесенными в них поправками серии </w:t>
      </w:r>
      <w:r>
        <w:rPr>
          <w:b/>
          <w:bCs/>
        </w:rPr>
        <w:t>03</w:t>
      </w:r>
      <w:r>
        <w:t>»</w:t>
      </w:r>
      <w:r>
        <w:t>.</w:t>
      </w:r>
    </w:p>
    <w:p w14:paraId="5990D8AB" w14:textId="1A3F964B" w:rsidR="008711A3" w:rsidRPr="00283C51" w:rsidRDefault="008711A3" w:rsidP="005D1A60">
      <w:pPr>
        <w:pStyle w:val="SingleTxtG"/>
        <w:keepNext/>
        <w:rPr>
          <w:bCs/>
        </w:rPr>
      </w:pPr>
      <w:r>
        <w:rPr>
          <w:i/>
          <w:iCs/>
        </w:rPr>
        <w:lastRenderedPageBreak/>
        <w:t>Пункт 3, сноску 1</w:t>
      </w:r>
      <w:r>
        <w:t xml:space="preserve"> изменить следующим образом:</w:t>
      </w:r>
    </w:p>
    <w:p w14:paraId="24D5019F" w14:textId="6E94DC5C" w:rsidR="008711A3" w:rsidRPr="008B5365" w:rsidRDefault="008711A3" w:rsidP="008B5365">
      <w:pPr>
        <w:pStyle w:val="Para"/>
        <w:keepLines/>
        <w:spacing w:line="220" w:lineRule="atLeast"/>
        <w:ind w:left="1418" w:hanging="284"/>
        <w:jc w:val="left"/>
        <w:rPr>
          <w:b/>
          <w:sz w:val="18"/>
          <w:szCs w:val="18"/>
          <w:lang w:val="ru-RU"/>
        </w:rPr>
      </w:pPr>
      <w:r w:rsidRPr="008B5365">
        <w:rPr>
          <w:sz w:val="18"/>
          <w:szCs w:val="18"/>
          <w:lang w:val="ru-RU"/>
        </w:rPr>
        <w:t>«</w:t>
      </w:r>
      <w:r w:rsidRPr="008B5365">
        <w:rPr>
          <w:sz w:val="18"/>
          <w:szCs w:val="18"/>
          <w:vertAlign w:val="superscript"/>
          <w:lang w:val="ru-RU"/>
        </w:rPr>
        <w:t>1</w:t>
      </w:r>
      <w:r w:rsidRPr="008B5365">
        <w:rPr>
          <w:sz w:val="18"/>
          <w:szCs w:val="18"/>
          <w:lang w:val="ru-RU"/>
        </w:rPr>
        <w:tab/>
        <w:t xml:space="preserve">Эта процедура описана в </w:t>
      </w:r>
      <w:r w:rsidRPr="008B5365">
        <w:rPr>
          <w:strike/>
          <w:sz w:val="18"/>
          <w:szCs w:val="18"/>
          <w:lang w:val="ru-RU"/>
        </w:rPr>
        <w:t>приложении 1 к Сводной резолюции о конструкции транспортных средств (СР.3) (документ ECE/TRANS/WP.29/78/Rev.2), www.unece.org/trans/main/wp29/wp29wgs/wp29gen/wp29 resolutions.html</w:t>
      </w:r>
      <w:r w:rsidRPr="008B5365">
        <w:rPr>
          <w:sz w:val="18"/>
          <w:szCs w:val="18"/>
          <w:lang w:val="ru-RU"/>
        </w:rPr>
        <w:t xml:space="preserve"> </w:t>
      </w:r>
      <w:r w:rsidRPr="008B5365">
        <w:rPr>
          <w:b/>
          <w:bCs/>
          <w:sz w:val="18"/>
          <w:szCs w:val="18"/>
          <w:lang w:val="ru-RU"/>
        </w:rPr>
        <w:t>приложении 6 к</w:t>
      </w:r>
      <w:r w:rsidR="008B5365">
        <w:rPr>
          <w:b/>
          <w:bCs/>
          <w:sz w:val="18"/>
          <w:szCs w:val="18"/>
          <w:lang w:val="ru-RU"/>
        </w:rPr>
        <w:t> </w:t>
      </w:r>
      <w:r w:rsidRPr="008B5365">
        <w:rPr>
          <w:b/>
          <w:bCs/>
          <w:sz w:val="18"/>
          <w:szCs w:val="18"/>
          <w:lang w:val="ru-RU"/>
        </w:rPr>
        <w:t xml:space="preserve">Общей резолюции </w:t>
      </w:r>
      <w:r w:rsidRPr="008B5365">
        <w:rPr>
          <w:b/>
          <w:bCs/>
          <w:sz w:val="18"/>
          <w:szCs w:val="18"/>
          <w:lang w:val="ru-RU"/>
        </w:rPr>
        <w:t>№ </w:t>
      </w:r>
      <w:r w:rsidRPr="008B5365">
        <w:rPr>
          <w:b/>
          <w:bCs/>
          <w:sz w:val="18"/>
          <w:szCs w:val="18"/>
          <w:lang w:val="ru-RU"/>
        </w:rPr>
        <w:t>1 (ОР.1) (документ ECE/TRANS/WP.29/1101/Amend.5);</w:t>
      </w:r>
      <w:r w:rsidRPr="008B5365">
        <w:rPr>
          <w:sz w:val="18"/>
          <w:szCs w:val="18"/>
          <w:lang w:val="ru-RU"/>
        </w:rPr>
        <w:t xml:space="preserve"> </w:t>
      </w:r>
      <w:r w:rsidRPr="008B5365">
        <w:rPr>
          <w:b/>
          <w:bCs/>
          <w:sz w:val="18"/>
          <w:szCs w:val="18"/>
          <w:lang w:val="ru-RU"/>
        </w:rPr>
        <w:t>см.</w:t>
      </w:r>
      <w:r w:rsidR="008B5365">
        <w:rPr>
          <w:b/>
          <w:bCs/>
          <w:sz w:val="18"/>
          <w:szCs w:val="18"/>
          <w:lang w:val="ru-RU"/>
        </w:rPr>
        <w:t> </w:t>
      </w:r>
      <w:hyperlink r:id="rId10" w:history="1">
        <w:r w:rsidR="005D1A60" w:rsidRPr="008B5365">
          <w:rPr>
            <w:rStyle w:val="af1"/>
            <w:b/>
            <w:bCs/>
            <w:sz w:val="18"/>
            <w:szCs w:val="18"/>
            <w:lang w:val="ru-RU"/>
          </w:rPr>
          <w:t>https://unece.org/transport/vehicle-regulations/wp29/resolutions</w:t>
        </w:r>
      </w:hyperlink>
      <w:r w:rsidRPr="008B5365">
        <w:rPr>
          <w:sz w:val="18"/>
          <w:szCs w:val="18"/>
          <w:lang w:val="ru-RU"/>
        </w:rPr>
        <w:t>»</w:t>
      </w:r>
      <w:r w:rsidRPr="008B5365">
        <w:rPr>
          <w:sz w:val="18"/>
          <w:szCs w:val="18"/>
          <w:lang w:val="ru-RU"/>
        </w:rPr>
        <w:t>.</w:t>
      </w:r>
      <w:bookmarkStart w:id="9" w:name="_Hlk156421770"/>
    </w:p>
    <w:bookmarkEnd w:id="9"/>
    <w:bookmarkEnd w:id="5"/>
    <w:bookmarkEnd w:id="6"/>
    <w:p w14:paraId="53AF982C" w14:textId="79A43449" w:rsidR="008711A3" w:rsidRPr="00283C51" w:rsidRDefault="005D1A60" w:rsidP="005D1A60">
      <w:pPr>
        <w:pStyle w:val="HChG"/>
        <w:rPr>
          <w:rFonts w:eastAsia="MS Mincho"/>
          <w:color w:val="000000"/>
          <w:szCs w:val="28"/>
        </w:rPr>
      </w:pPr>
      <w:r>
        <w:tab/>
      </w:r>
      <w:r w:rsidR="008711A3">
        <w:t>II.</w:t>
      </w:r>
      <w:r w:rsidR="008711A3">
        <w:tab/>
        <w:t>Обоснование</w:t>
      </w:r>
    </w:p>
    <w:p w14:paraId="126D9FC9" w14:textId="1DC8FB09" w:rsidR="008711A3" w:rsidRPr="00283C51" w:rsidRDefault="008711A3" w:rsidP="008711A3">
      <w:pPr>
        <w:pStyle w:val="SingleTxtG"/>
        <w:rPr>
          <w:rFonts w:eastAsia="Malgun Gothic"/>
        </w:rPr>
      </w:pPr>
      <w:r>
        <w:t>1.</w:t>
      </w:r>
      <w:r>
        <w:tab/>
        <w:t xml:space="preserve">НРГ-ФВА разработала новые Правила ООН, </w:t>
      </w:r>
      <w:r>
        <w:t>которые</w:t>
      </w:r>
      <w:r>
        <w:t xml:space="preserve"> касаются систем помощи для поля обзора, применяются ко всем транспортным средствам категорий M и N и заменяют конкретные требования в отношении СППО для транспортных средств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, введенные в поправках серии 02 к Правилам </w:t>
      </w:r>
      <w:r w:rsidR="005D1A60">
        <w:t>№ </w:t>
      </w:r>
      <w:r>
        <w:t>125 ООН. Поэтому переходные положения в настоящих Правилах скорректированы исходя из вступления в силу оговоренных новых Правил ООН, а конкретные требования в отношении СППО исключены из настоящих Правил. Поскольку положения, касающиеся СППО, в</w:t>
      </w:r>
      <w:r w:rsidR="008B4E2F">
        <w:t> </w:t>
      </w:r>
      <w:r>
        <w:t>оговоренных новых Правилах ООН являются более конкретными и подробными, для существующих типов транспортных средств требуется переходный период.</w:t>
      </w:r>
    </w:p>
    <w:p w14:paraId="2BD936C9" w14:textId="5D3F26BF" w:rsidR="00E12C5F" w:rsidRDefault="008711A3" w:rsidP="008711A3">
      <w:pPr>
        <w:pStyle w:val="SingleTxtG"/>
      </w:pPr>
      <w:r>
        <w:t>2.</w:t>
      </w:r>
      <w:r>
        <w:tab/>
        <w:t xml:space="preserve">Технические требования к механизму 3-D </w:t>
      </w:r>
      <w:r>
        <w:t>«</w:t>
      </w:r>
      <w:r>
        <w:t>H</w:t>
      </w:r>
      <w:r>
        <w:t>»</w:t>
      </w:r>
      <w:r>
        <w:t xml:space="preserve"> были обновлены и перенесены из СР.3 в ОР.1. Была также добавлена процедура калибровки, с тем чтобы</w:t>
      </w:r>
      <w:r w:rsidR="00CF29D3">
        <w:t xml:space="preserve"> </w:t>
      </w:r>
      <w:r>
        <w:t xml:space="preserve">механизм 3-D </w:t>
      </w:r>
      <w:r>
        <w:t>«</w:t>
      </w:r>
      <w:r>
        <w:t>H</w:t>
      </w:r>
      <w:r>
        <w:t>»</w:t>
      </w:r>
      <w:r>
        <w:t xml:space="preserve"> , используемый для проведения всех испытаний в контексте </w:t>
      </w:r>
      <w:r w:rsidR="008B4E2F">
        <w:t xml:space="preserve">Правил </w:t>
      </w:r>
      <w:r>
        <w:t xml:space="preserve">ООН и </w:t>
      </w:r>
      <w:r w:rsidR="008B4E2F">
        <w:t xml:space="preserve">Глобальных </w:t>
      </w:r>
      <w:r>
        <w:t>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51FFFC6C" w14:textId="64839CF0" w:rsidR="008711A3" w:rsidRPr="008711A3" w:rsidRDefault="008711A3" w:rsidP="008711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11A3" w:rsidRPr="008711A3" w:rsidSect="008711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2945" w14:textId="77777777" w:rsidR="001877A1" w:rsidRPr="00A312BC" w:rsidRDefault="001877A1" w:rsidP="00A312BC"/>
  </w:endnote>
  <w:endnote w:type="continuationSeparator" w:id="0">
    <w:p w14:paraId="04FA062A" w14:textId="77777777" w:rsidR="001877A1" w:rsidRPr="00A312BC" w:rsidRDefault="001877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EE9" w14:textId="10656F0C" w:rsidR="008711A3" w:rsidRPr="008711A3" w:rsidRDefault="008711A3">
    <w:pPr>
      <w:pStyle w:val="a8"/>
    </w:pPr>
    <w:r w:rsidRPr="008711A3">
      <w:rPr>
        <w:b/>
        <w:sz w:val="18"/>
      </w:rPr>
      <w:fldChar w:fldCharType="begin"/>
    </w:r>
    <w:r w:rsidRPr="008711A3">
      <w:rPr>
        <w:b/>
        <w:sz w:val="18"/>
      </w:rPr>
      <w:instrText xml:space="preserve"> PAGE  \* MERGEFORMAT </w:instrText>
    </w:r>
    <w:r w:rsidRPr="008711A3">
      <w:rPr>
        <w:b/>
        <w:sz w:val="18"/>
      </w:rPr>
      <w:fldChar w:fldCharType="separate"/>
    </w:r>
    <w:r w:rsidRPr="008711A3">
      <w:rPr>
        <w:b/>
        <w:noProof/>
        <w:sz w:val="18"/>
      </w:rPr>
      <w:t>2</w:t>
    </w:r>
    <w:r w:rsidRPr="008711A3">
      <w:rPr>
        <w:b/>
        <w:sz w:val="18"/>
      </w:rPr>
      <w:fldChar w:fldCharType="end"/>
    </w:r>
    <w:r>
      <w:rPr>
        <w:b/>
        <w:sz w:val="18"/>
      </w:rPr>
      <w:tab/>
    </w:r>
    <w:r>
      <w:t>GE.24-01577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1ED6" w14:textId="736B46B7" w:rsidR="008711A3" w:rsidRPr="008711A3" w:rsidRDefault="008711A3" w:rsidP="008711A3">
    <w:pPr>
      <w:pStyle w:val="a8"/>
      <w:tabs>
        <w:tab w:val="clear" w:pos="9639"/>
        <w:tab w:val="right" w:pos="9638"/>
      </w:tabs>
      <w:rPr>
        <w:b/>
        <w:sz w:val="18"/>
      </w:rPr>
    </w:pPr>
    <w:r>
      <w:t>GE.24-01577</w:t>
    </w:r>
    <w:r>
      <w:tab/>
    </w:r>
    <w:r w:rsidRPr="008711A3">
      <w:rPr>
        <w:b/>
        <w:sz w:val="18"/>
      </w:rPr>
      <w:fldChar w:fldCharType="begin"/>
    </w:r>
    <w:r w:rsidRPr="008711A3">
      <w:rPr>
        <w:b/>
        <w:sz w:val="18"/>
      </w:rPr>
      <w:instrText xml:space="preserve"> PAGE  \* MERGEFORMAT </w:instrText>
    </w:r>
    <w:r w:rsidRPr="008711A3">
      <w:rPr>
        <w:b/>
        <w:sz w:val="18"/>
      </w:rPr>
      <w:fldChar w:fldCharType="separate"/>
    </w:r>
    <w:r w:rsidRPr="008711A3">
      <w:rPr>
        <w:b/>
        <w:noProof/>
        <w:sz w:val="18"/>
      </w:rPr>
      <w:t>3</w:t>
    </w:r>
    <w:r w:rsidRPr="008711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CB45" w14:textId="15CD5CDD" w:rsidR="00042B72" w:rsidRPr="00CF29D3" w:rsidRDefault="008711A3" w:rsidP="008711A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E966BB" wp14:editId="385FD2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24-01577</w:t>
    </w:r>
    <w:r w:rsidR="00CF29D3">
      <w:t xml:space="preserve">   </w:t>
    </w:r>
    <w:r>
      <w:t>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1AB539" wp14:editId="19E916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9D3">
      <w:t xml:space="preserve">   </w:t>
    </w:r>
    <w:r w:rsidR="00CF29D3">
      <w:rPr>
        <w:lang w:val="en-US"/>
      </w:rPr>
      <w:t>130224   140224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DD66" w14:textId="77777777" w:rsidR="001877A1" w:rsidRPr="001075E9" w:rsidRDefault="001877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B3FCC0" w14:textId="77777777" w:rsidR="001877A1" w:rsidRDefault="001877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469029" w14:textId="77777777" w:rsidR="008711A3" w:rsidRPr="00283C51" w:rsidRDefault="008711A3" w:rsidP="008711A3">
      <w:pPr>
        <w:pStyle w:val="ad"/>
      </w:pPr>
      <w:r>
        <w:tab/>
      </w:r>
      <w:r w:rsidRPr="008711A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555EE8A" w14:textId="38D5CB51" w:rsidR="005D1A60" w:rsidRDefault="005D1A60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rPr>
          <w:b/>
          <w:bCs/>
        </w:rPr>
        <w:t>Добавление 6 к Общей резолюции № 1 (ОР.1) (документ ECE/TRANS/WP.29/ 1101/Amend.5);</w:t>
      </w:r>
      <w:r>
        <w:t xml:space="preserve"> </w:t>
      </w:r>
      <w:r>
        <w:rPr>
          <w:b/>
          <w:bCs/>
        </w:rPr>
        <w:t>см.</w:t>
      </w:r>
      <w:r>
        <w:t xml:space="preserve"> </w:t>
      </w:r>
      <w:hyperlink r:id="rId1" w:history="1">
        <w:r w:rsidRPr="008707BB">
          <w:rPr>
            <w:rStyle w:val="af1"/>
          </w:rPr>
          <w:t>https://unece.org/transport/vehicle-regulations/wp29/resolutions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340C" w14:textId="159D7044" w:rsidR="008711A3" w:rsidRPr="008711A3" w:rsidRDefault="008711A3">
    <w:pPr>
      <w:pStyle w:val="a5"/>
    </w:pPr>
    <w:fldSimple w:instr=" TITLE  \* MERGEFORMAT ">
      <w:r w:rsidR="009811AD">
        <w:t>ECE/TRANS/WP.29/GRSG/2024/23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5D43" w14:textId="1E2D2781" w:rsidR="008711A3" w:rsidRPr="008711A3" w:rsidRDefault="008711A3" w:rsidP="008711A3">
    <w:pPr>
      <w:pStyle w:val="a5"/>
      <w:jc w:val="right"/>
    </w:pPr>
    <w:fldSimple w:instr=" TITLE  \* MERGEFORMAT ">
      <w:r w:rsidR="009811AD">
        <w:t>ECE/TRANS/WP.29/GRSG/2024/23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7A1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A6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11A3"/>
    <w:rsid w:val="00894693"/>
    <w:rsid w:val="008A08D7"/>
    <w:rsid w:val="008A37C8"/>
    <w:rsid w:val="008B4E2F"/>
    <w:rsid w:val="008B5365"/>
    <w:rsid w:val="008B6909"/>
    <w:rsid w:val="008C529B"/>
    <w:rsid w:val="008D53B6"/>
    <w:rsid w:val="008F7609"/>
    <w:rsid w:val="00906890"/>
    <w:rsid w:val="00911BE4"/>
    <w:rsid w:val="00951972"/>
    <w:rsid w:val="009608F3"/>
    <w:rsid w:val="009811AD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0D3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29D3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D40185"/>
  <w15:docId w15:val="{5A980E81-ED8E-40C4-8861-A8B2E30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8711A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8711A3"/>
    <w:rPr>
      <w:lang w:val="ru-RU" w:eastAsia="en-US"/>
    </w:rPr>
  </w:style>
  <w:style w:type="paragraph" w:customStyle="1" w:styleId="Para">
    <w:name w:val="Para"/>
    <w:basedOn w:val="a"/>
    <w:qFormat/>
    <w:rsid w:val="008711A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5D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nece.org/transport/vehicle-regulations/wp29/resolution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94265-61B3-41E3-8567-99491A987047}"/>
</file>

<file path=customXml/itemProps2.xml><?xml version="1.0" encoding="utf-8"?>
<ds:datastoreItem xmlns:ds="http://schemas.openxmlformats.org/officeDocument/2006/customXml" ds:itemID="{EC977788-7D0B-4827-8243-57BB029C831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1043</Words>
  <Characters>6862</Characters>
  <Application>Microsoft Office Word</Application>
  <DocSecurity>0</DocSecurity>
  <Lines>145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ECE/TRANS/WP.29/GRSG/2024/23</vt:lpstr>
      <vt:lpstr>A/</vt:lpstr>
      <vt:lpstr>A/</vt:lpstr>
    </vt:vector>
  </TitlesOfParts>
  <Company>DCM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ECE/TRANS/WP.29/GRSG/2024/23</dc:title>
  <dc:subject/>
  <dc:creator>Larisa MAYKOVSKAYA</dc:creator>
  <cp:keywords/>
  <cp:lastModifiedBy>Larisa MAYKOVSKAYA</cp:lastModifiedBy>
  <cp:revision>3</cp:revision>
  <cp:lastPrinted>2024-02-14T13:46:00Z</cp:lastPrinted>
  <dcterms:created xsi:type="dcterms:W3CDTF">2024-02-14T13:46:00Z</dcterms:created>
  <dcterms:modified xsi:type="dcterms:W3CDTF">2024-02-14T13:46:00Z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