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CC8C6C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5B07AB" w14:textId="77777777" w:rsidR="00F35BAF" w:rsidRPr="00DB58B5" w:rsidRDefault="00F35BAF" w:rsidP="00ED7AB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C41F98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0D56D3" w14:textId="1EC187B3" w:rsidR="00F35BAF" w:rsidRPr="00DB58B5" w:rsidRDefault="00ED7AB0" w:rsidP="00ED7AB0">
            <w:pPr>
              <w:jc w:val="right"/>
            </w:pPr>
            <w:r w:rsidRPr="00ED7AB0">
              <w:rPr>
                <w:sz w:val="40"/>
              </w:rPr>
              <w:t>ECE</w:t>
            </w:r>
            <w:r>
              <w:t>/TRANS/WP.29/GRSG/2024/24</w:t>
            </w:r>
          </w:p>
        </w:tc>
      </w:tr>
      <w:tr w:rsidR="00F35BAF" w:rsidRPr="00DB58B5" w14:paraId="0EB48CA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7D956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CCCA3CB" wp14:editId="01B4935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D89E1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61D2C55" w14:textId="77777777" w:rsidR="00F35BAF" w:rsidRDefault="00ED7AB0" w:rsidP="00C97039">
            <w:pPr>
              <w:spacing w:before="240"/>
            </w:pPr>
            <w:r>
              <w:t>Distr. générale</w:t>
            </w:r>
          </w:p>
          <w:p w14:paraId="4BB88CC0" w14:textId="77777777" w:rsidR="00ED7AB0" w:rsidRDefault="00ED7AB0" w:rsidP="00ED7AB0">
            <w:pPr>
              <w:spacing w:line="240" w:lineRule="exact"/>
            </w:pPr>
            <w:r>
              <w:t>30 janvier 2024</w:t>
            </w:r>
          </w:p>
          <w:p w14:paraId="78889F58" w14:textId="77777777" w:rsidR="00ED7AB0" w:rsidRDefault="00ED7AB0" w:rsidP="00ED7AB0">
            <w:pPr>
              <w:spacing w:line="240" w:lineRule="exact"/>
            </w:pPr>
            <w:r>
              <w:t>Français</w:t>
            </w:r>
          </w:p>
          <w:p w14:paraId="42353810" w14:textId="79EB5EE2" w:rsidR="00ED7AB0" w:rsidRPr="00DB58B5" w:rsidRDefault="00ED7AB0" w:rsidP="00ED7AB0">
            <w:pPr>
              <w:spacing w:line="240" w:lineRule="exact"/>
            </w:pPr>
            <w:r>
              <w:t>Original : anglais</w:t>
            </w:r>
          </w:p>
        </w:tc>
      </w:tr>
    </w:tbl>
    <w:p w14:paraId="3F84265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BC01C1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EC8F5FD" w14:textId="77777777" w:rsidR="00981EDD" w:rsidRDefault="00981ED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E91CE91" w14:textId="77777777" w:rsidR="00981EDD" w:rsidRDefault="00981EDD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2AAE5AA2" w14:textId="64BB3686" w:rsidR="00981EDD" w:rsidRDefault="00981EDD" w:rsidP="00257168">
      <w:pPr>
        <w:spacing w:before="120" w:line="240" w:lineRule="exact"/>
        <w:rPr>
          <w:b/>
        </w:rPr>
      </w:pPr>
      <w:r w:rsidRPr="00981EDD">
        <w:rPr>
          <w:b/>
        </w:rPr>
        <w:t>127</w:t>
      </w:r>
      <w:r w:rsidRPr="00981EDD">
        <w:rPr>
          <w:b/>
          <w:vertAlign w:val="superscript"/>
        </w:rPr>
        <w:t>e</w:t>
      </w:r>
      <w:r>
        <w:rPr>
          <w:b/>
        </w:rPr>
        <w:t> session</w:t>
      </w:r>
    </w:p>
    <w:p w14:paraId="7DD7B70A" w14:textId="02362F48" w:rsidR="00981EDD" w:rsidRPr="00981EDD" w:rsidRDefault="00981EDD" w:rsidP="00257168">
      <w:pPr>
        <w:spacing w:line="240" w:lineRule="exact"/>
      </w:pPr>
      <w:r w:rsidRPr="00981EDD">
        <w:t xml:space="preserve">Genève, </w:t>
      </w:r>
      <w:r w:rsidRPr="00981EDD">
        <w:t>15-19 avril 2024</w:t>
      </w:r>
    </w:p>
    <w:p w14:paraId="5795F1B1" w14:textId="5F141A05" w:rsidR="00981EDD" w:rsidRPr="00981EDD" w:rsidRDefault="00981EDD" w:rsidP="00257168">
      <w:pPr>
        <w:spacing w:line="240" w:lineRule="exact"/>
      </w:pPr>
      <w:r w:rsidRPr="00981EDD">
        <w:t xml:space="preserve">Point </w:t>
      </w:r>
      <w:r w:rsidRPr="00981EDD">
        <w:t>4 b)</w:t>
      </w:r>
      <w:r w:rsidRPr="00981EDD">
        <w:t xml:space="preserve"> de l’ordre du jour</w:t>
      </w:r>
      <w:r w:rsidR="00B07F26">
        <w:t xml:space="preserve"> provisoire</w:t>
      </w:r>
    </w:p>
    <w:p w14:paraId="0E3B4737" w14:textId="5F5014CE" w:rsidR="00981EDD" w:rsidRPr="00981EDD" w:rsidRDefault="00981EDD" w:rsidP="00981EDD">
      <w:pPr>
        <w:rPr>
          <w:b/>
        </w:rPr>
      </w:pPr>
      <w:r w:rsidRPr="00981EDD">
        <w:rPr>
          <w:b/>
        </w:rPr>
        <w:t xml:space="preserve">Perception de la présence d’usagers de la route vulnérables </w:t>
      </w:r>
      <w:r>
        <w:rPr>
          <w:b/>
        </w:rPr>
        <w:br/>
      </w:r>
      <w:r w:rsidRPr="00981EDD">
        <w:rPr>
          <w:b/>
        </w:rPr>
        <w:t>à proximité du véhicule</w:t>
      </w:r>
      <w:r>
        <w:rPr>
          <w:b/>
        </w:rPr>
        <w:t> </w:t>
      </w:r>
      <w:r w:rsidRPr="00981EDD">
        <w:rPr>
          <w:b/>
        </w:rPr>
        <w:t>:</w:t>
      </w:r>
      <w:r>
        <w:rPr>
          <w:b/>
        </w:rPr>
        <w:t xml:space="preserve"> </w:t>
      </w:r>
      <w:r w:rsidRPr="00981EDD">
        <w:rPr>
          <w:b/>
        </w:rPr>
        <w:t>Règlement ONU n</w:t>
      </w:r>
      <w:r w:rsidRPr="00B07F26">
        <w:rPr>
          <w:b/>
          <w:vertAlign w:val="superscript"/>
        </w:rPr>
        <w:t>o</w:t>
      </w:r>
      <w:r>
        <w:rPr>
          <w:b/>
        </w:rPr>
        <w:t> </w:t>
      </w:r>
      <w:r w:rsidRPr="00981EDD">
        <w:rPr>
          <w:b/>
        </w:rPr>
        <w:t xml:space="preserve">158 </w:t>
      </w:r>
      <w:r>
        <w:rPr>
          <w:b/>
        </w:rPr>
        <w:br/>
      </w:r>
      <w:r w:rsidRPr="00981EDD">
        <w:rPr>
          <w:b/>
        </w:rPr>
        <w:t>(Manœuvres en marche arrière)</w:t>
      </w:r>
    </w:p>
    <w:p w14:paraId="1327C3E1" w14:textId="59973F33" w:rsidR="00981EDD" w:rsidRPr="00981EDD" w:rsidRDefault="00981EDD" w:rsidP="00981EDD">
      <w:pPr>
        <w:pStyle w:val="HChG"/>
      </w:pPr>
      <w:r w:rsidRPr="00981EDD">
        <w:tab/>
      </w:r>
      <w:r w:rsidRPr="00981EDD">
        <w:tab/>
        <w:t>Proposition de complément 4 à la version originale du Règlement ONU n</w:t>
      </w:r>
      <w:r w:rsidRPr="00B07F26">
        <w:rPr>
          <w:vertAlign w:val="superscript"/>
        </w:rPr>
        <w:t>o</w:t>
      </w:r>
      <w:r w:rsidR="00B07F26">
        <w:t> </w:t>
      </w:r>
      <w:r w:rsidRPr="00981EDD">
        <w:t>158 (Manœuvres en marche arrière)</w:t>
      </w:r>
    </w:p>
    <w:p w14:paraId="448BF3DB" w14:textId="0EB2EB06" w:rsidR="00921ABA" w:rsidRDefault="00981EDD" w:rsidP="00981EDD">
      <w:pPr>
        <w:pStyle w:val="H1G"/>
      </w:pPr>
      <w:r w:rsidRPr="00981EDD">
        <w:tab/>
      </w:r>
      <w:r w:rsidRPr="00981EDD">
        <w:tab/>
        <w:t>Communication de l’expert des Pays-Bas</w:t>
      </w:r>
      <w:r w:rsidRPr="00981ED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58F582E" w14:textId="1B42ED68" w:rsidR="00B07F26" w:rsidRDefault="00B07F26" w:rsidP="00B07F26">
      <w:pPr>
        <w:pStyle w:val="SingleTxtG"/>
        <w:ind w:firstLine="567"/>
        <w:rPr>
          <w:lang w:val="fr-FR"/>
        </w:rPr>
      </w:pPr>
      <w:r w:rsidRPr="00B07F26">
        <w:rPr>
          <w:lang w:val="fr-FR"/>
        </w:rPr>
        <w:t>Le texte ci-après, établi par l’expert des Pays-Bas, vise à mettre à jour les renvois aux procédures de détermination du point H et d’étalonnage de la machine tridimensionnelle point H (3-D H), celles-ci étant actualisées et transférées de la Résolution d’ensemble sur la construction des véhicules (R.E.3) à la Résolution mutuelle n</w:t>
      </w:r>
      <w:r w:rsidRPr="00B07F2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07F26">
        <w:rPr>
          <w:lang w:val="fr-FR"/>
        </w:rPr>
        <w:t>1 (R.M.1). Les modifications qu’il est proposé d’apporter au texte actuel du Règlement ONU n</w:t>
      </w:r>
      <w:r w:rsidRPr="00B07F2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07F26">
        <w:rPr>
          <w:lang w:val="fr-FR"/>
        </w:rPr>
        <w:t>158 figurent en caractères gras pour les ajouts et biffés pour les suppressions.</w:t>
      </w:r>
    </w:p>
    <w:p w14:paraId="27E82456" w14:textId="392041F6" w:rsidR="00ED7AB0" w:rsidRDefault="00ED7AB0" w:rsidP="00ED7AB0">
      <w:pPr>
        <w:rPr>
          <w:lang w:val="fr-FR"/>
        </w:rPr>
      </w:pPr>
      <w:r>
        <w:rPr>
          <w:lang w:val="fr-FR"/>
        </w:rPr>
        <w:br w:type="page"/>
      </w:r>
    </w:p>
    <w:p w14:paraId="08B940BD" w14:textId="77777777" w:rsidR="00ED7AB0" w:rsidRPr="008F0993" w:rsidRDefault="00ED7AB0" w:rsidP="00011CD6">
      <w:pPr>
        <w:pStyle w:val="HChG"/>
        <w:rPr>
          <w:rFonts w:eastAsia="MS Mincho"/>
          <w:color w:val="000000"/>
          <w:sz w:val="40"/>
          <w:szCs w:val="40"/>
          <w:lang w:val="fr-FR"/>
        </w:rPr>
      </w:pPr>
      <w:r>
        <w:rPr>
          <w:lang w:val="fr-FR"/>
        </w:rPr>
        <w:lastRenderedPageBreak/>
        <w:tab/>
      </w:r>
      <w:r w:rsidRPr="008F0993">
        <w:rPr>
          <w:lang w:val="fr-FR"/>
        </w:rPr>
        <w:t>I.</w:t>
      </w:r>
      <w:r w:rsidRPr="008F0993">
        <w:rPr>
          <w:lang w:val="fr-FR"/>
        </w:rPr>
        <w:tab/>
        <w:t>Proposition</w:t>
      </w:r>
    </w:p>
    <w:p w14:paraId="45F54A55" w14:textId="4FE70D6C" w:rsidR="00ED7AB0" w:rsidRPr="00820256" w:rsidRDefault="00ED7AB0" w:rsidP="00011CD6">
      <w:pPr>
        <w:pStyle w:val="SingleTxtG"/>
        <w:rPr>
          <w:bCs/>
          <w:lang w:val="fr-FR"/>
        </w:rPr>
      </w:pPr>
      <w:bookmarkStart w:id="0" w:name="_Toc107305524"/>
      <w:bookmarkStart w:id="1" w:name="_Hlk107305755"/>
      <w:r w:rsidRPr="00011CD6">
        <w:rPr>
          <w:i/>
          <w:iCs/>
          <w:lang w:val="fr-FR"/>
        </w:rPr>
        <w:t>Paragraphe 12.4</w:t>
      </w:r>
      <w:r>
        <w:rPr>
          <w:lang w:val="fr-FR"/>
        </w:rPr>
        <w:t>, lire</w:t>
      </w:r>
      <w:r w:rsidR="00921ABA">
        <w:rPr>
          <w:lang w:val="fr-FR"/>
        </w:rPr>
        <w:t> </w:t>
      </w:r>
      <w:r>
        <w:rPr>
          <w:lang w:val="fr-FR"/>
        </w:rPr>
        <w:t>:</w:t>
      </w:r>
    </w:p>
    <w:p w14:paraId="6E317724" w14:textId="602BDD7E" w:rsidR="00ED7AB0" w:rsidRPr="00820256" w:rsidRDefault="00ED7AB0" w:rsidP="00011CD6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« 12.4</w:t>
      </w:r>
      <w:r>
        <w:rPr>
          <w:lang w:val="fr-FR"/>
        </w:rPr>
        <w:tab/>
      </w:r>
      <w:r w:rsidR="00B07F26">
        <w:rPr>
          <w:lang w:val="fr-FR"/>
        </w:rPr>
        <w:t>“</w:t>
      </w:r>
      <w:r>
        <w:rPr>
          <w:i/>
          <w:iCs/>
          <w:lang w:val="fr-FR"/>
        </w:rPr>
        <w:t>Véhicules des catégories M</w:t>
      </w:r>
      <w:r>
        <w:rPr>
          <w:i/>
          <w:iCs/>
          <w:vertAlign w:val="subscript"/>
          <w:lang w:val="fr-FR"/>
        </w:rPr>
        <w:t>1</w:t>
      </w:r>
      <w:r>
        <w:rPr>
          <w:i/>
          <w:iCs/>
          <w:lang w:val="fr-FR"/>
        </w:rPr>
        <w:t>, M</w:t>
      </w:r>
      <w:r>
        <w:rPr>
          <w:i/>
          <w:iCs/>
          <w:vertAlign w:val="subscript"/>
          <w:lang w:val="fr-FR"/>
        </w:rPr>
        <w:t>2</w:t>
      </w:r>
      <w:r>
        <w:rPr>
          <w:i/>
          <w:iCs/>
          <w:lang w:val="fr-FR"/>
        </w:rPr>
        <w:t>, M</w:t>
      </w:r>
      <w:r>
        <w:rPr>
          <w:i/>
          <w:iCs/>
          <w:vertAlign w:val="subscript"/>
          <w:lang w:val="fr-FR"/>
        </w:rPr>
        <w:t>3</w:t>
      </w:r>
      <w:r>
        <w:rPr>
          <w:i/>
          <w:iCs/>
          <w:lang w:val="fr-FR"/>
        </w:rPr>
        <w:t>, N</w:t>
      </w:r>
      <w:r>
        <w:rPr>
          <w:i/>
          <w:iCs/>
          <w:vertAlign w:val="subscript"/>
          <w:lang w:val="fr-FR"/>
        </w:rPr>
        <w:t>1</w:t>
      </w:r>
      <w:r>
        <w:rPr>
          <w:i/>
          <w:iCs/>
          <w:lang w:val="fr-FR"/>
        </w:rPr>
        <w:t>, N</w:t>
      </w:r>
      <w:r>
        <w:rPr>
          <w:i/>
          <w:iCs/>
          <w:vertAlign w:val="subscript"/>
          <w:lang w:val="fr-FR"/>
        </w:rPr>
        <w:t>2</w:t>
      </w:r>
      <w:r>
        <w:rPr>
          <w:i/>
          <w:iCs/>
          <w:lang w:val="fr-FR"/>
        </w:rPr>
        <w:t xml:space="preserve"> et N</w:t>
      </w:r>
      <w:r>
        <w:rPr>
          <w:i/>
          <w:iCs/>
          <w:vertAlign w:val="subscript"/>
          <w:lang w:val="fr-FR"/>
        </w:rPr>
        <w:t>3</w:t>
      </w:r>
      <w:r w:rsidR="00B07F26">
        <w:rPr>
          <w:lang w:val="fr-FR"/>
        </w:rPr>
        <w:t>”</w:t>
      </w:r>
      <w:r>
        <w:rPr>
          <w:lang w:val="fr-FR"/>
        </w:rPr>
        <w:t>, les véhicules tels que définis dans la Résolution d’ensemble sur la construction des véhicules (R.E.3) (document ECE/TRANS/WP.29/78/</w:t>
      </w:r>
      <w:r>
        <w:rPr>
          <w:strike/>
          <w:lang w:val="fr-FR"/>
        </w:rPr>
        <w:t>Rev.6</w:t>
      </w:r>
      <w:r>
        <w:rPr>
          <w:b/>
          <w:bCs/>
          <w:lang w:val="fr-FR"/>
        </w:rPr>
        <w:t>Rev.7</w:t>
      </w:r>
      <w:r>
        <w:rPr>
          <w:lang w:val="fr-FR"/>
        </w:rPr>
        <w:t>)</w:t>
      </w:r>
      <w:r w:rsidR="00B07F26">
        <w:rPr>
          <w:lang w:val="fr-FR"/>
        </w:rPr>
        <w:t> </w:t>
      </w:r>
      <w:r>
        <w:rPr>
          <w:lang w:val="fr-FR"/>
        </w:rPr>
        <w:t>; ».</w:t>
      </w:r>
    </w:p>
    <w:p w14:paraId="7AB49F3A" w14:textId="4B8D6B16" w:rsidR="00ED7AB0" w:rsidRPr="00820256" w:rsidRDefault="00ED7AB0" w:rsidP="00011CD6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Paragraphe 15.2.2</w:t>
      </w:r>
      <w:r>
        <w:rPr>
          <w:lang w:val="fr-FR"/>
        </w:rPr>
        <w:t>, lire</w:t>
      </w:r>
      <w:r w:rsidR="00921ABA">
        <w:rPr>
          <w:lang w:val="fr-FR"/>
        </w:rPr>
        <w:t> </w:t>
      </w:r>
      <w:r>
        <w:rPr>
          <w:lang w:val="fr-FR"/>
        </w:rPr>
        <w:t>:</w:t>
      </w:r>
    </w:p>
    <w:p w14:paraId="7E4D7DB6" w14:textId="0811CED0" w:rsidR="00ED7AB0" w:rsidRPr="00820256" w:rsidRDefault="00ED7AB0" w:rsidP="00011CD6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« 15.2.2</w:t>
      </w:r>
      <w:r>
        <w:rPr>
          <w:lang w:val="fr-FR"/>
        </w:rPr>
        <w:tab/>
        <w:t>Le champ de vision vers l’arrière à faible distance doit être défini en vision ambinoculaire, les yeux étant situés aux points oculaires du conducteur tels que définis au paragraphe 12.1 ci-dessus. Les champs de vision doivent être déterminés lorsque le véhicule est en ordre de marche tel que défini dans la Résolution d’ensemble sur la construction des véhicules (R.E.3) (ECE/TRANS/WP.29/78/</w:t>
      </w:r>
      <w:r>
        <w:rPr>
          <w:strike/>
          <w:lang w:val="fr-FR"/>
        </w:rPr>
        <w:t>Rev.6</w:t>
      </w:r>
      <w:r>
        <w:rPr>
          <w:b/>
          <w:bCs/>
          <w:lang w:val="fr-FR"/>
        </w:rPr>
        <w:t>Rev.7</w:t>
      </w:r>
      <w:r>
        <w:rPr>
          <w:lang w:val="fr-FR"/>
        </w:rPr>
        <w:t>, par. 2.2.5.4), plus, pour les véhicules M</w:t>
      </w:r>
      <w:r>
        <w:rPr>
          <w:vertAlign w:val="subscript"/>
          <w:lang w:val="fr-FR"/>
        </w:rPr>
        <w:t xml:space="preserve">1 </w:t>
      </w:r>
      <w:r>
        <w:rPr>
          <w:lang w:val="fr-FR"/>
        </w:rPr>
        <w:t>et N</w:t>
      </w:r>
      <w:r>
        <w:rPr>
          <w:vertAlign w:val="subscript"/>
          <w:lang w:val="fr-FR"/>
        </w:rPr>
        <w:t>1</w:t>
      </w:r>
      <w:r>
        <w:rPr>
          <w:lang w:val="fr-FR"/>
        </w:rPr>
        <w:t>, un passager sur le siège avant (75 kg). Lorsque le champ de vision est établi à travers un vitrage, le facteur de transmission lumineuse total de celui-ci doit être conforme aux prescriptions énoncées à l’annexe 24 du Règlement ONU n</w:t>
      </w:r>
      <w:r>
        <w:rPr>
          <w:vertAlign w:val="superscript"/>
          <w:lang w:val="fr-FR"/>
        </w:rPr>
        <w:t>o</w:t>
      </w:r>
      <w:r w:rsidR="00DE0F02">
        <w:rPr>
          <w:lang w:val="fr-FR"/>
        </w:rPr>
        <w:t> </w:t>
      </w:r>
      <w:r>
        <w:rPr>
          <w:lang w:val="fr-FR"/>
        </w:rPr>
        <w:t>43. ».</w:t>
      </w:r>
    </w:p>
    <w:p w14:paraId="7DDCA2E1" w14:textId="67421203" w:rsidR="00ED7AB0" w:rsidRPr="00820256" w:rsidRDefault="00ED7AB0" w:rsidP="00011CD6">
      <w:pPr>
        <w:pStyle w:val="SingleTxtG"/>
        <w:rPr>
          <w:bCs/>
          <w:lang w:val="fr-FR"/>
        </w:rPr>
      </w:pPr>
      <w:r w:rsidRPr="00DE0F02">
        <w:rPr>
          <w:i/>
          <w:iCs/>
          <w:lang w:val="fr-FR"/>
        </w:rPr>
        <w:t>Annexe 8, note de bas de page 1</w:t>
      </w:r>
      <w:r>
        <w:rPr>
          <w:lang w:val="fr-FR"/>
        </w:rPr>
        <w:t>, lire</w:t>
      </w:r>
      <w:r w:rsidR="00921ABA">
        <w:rPr>
          <w:lang w:val="fr-FR"/>
        </w:rPr>
        <w:t> </w:t>
      </w:r>
      <w:r>
        <w:rPr>
          <w:lang w:val="fr-FR"/>
        </w:rPr>
        <w:t>:</w:t>
      </w:r>
    </w:p>
    <w:p w14:paraId="14618402" w14:textId="565E3E9E" w:rsidR="00ED7AB0" w:rsidRPr="00820256" w:rsidRDefault="00ED7AB0" w:rsidP="00011CD6">
      <w:pPr>
        <w:pStyle w:val="SingleTxtG"/>
        <w:ind w:left="1418" w:hanging="284"/>
        <w:rPr>
          <w:b/>
          <w:lang w:val="fr-FR"/>
        </w:rPr>
      </w:pPr>
      <w:r>
        <w:rPr>
          <w:lang w:val="fr-FR"/>
        </w:rPr>
        <w:t>« </w:t>
      </w:r>
      <w:r w:rsidRPr="00F20027">
        <w:rPr>
          <w:vertAlign w:val="superscript"/>
          <w:lang w:val="fr-FR"/>
        </w:rPr>
        <w:t>1</w:t>
      </w:r>
      <w:r w:rsidRPr="00F20027">
        <w:rPr>
          <w:lang w:val="fr-FR"/>
        </w:rPr>
        <w:tab/>
      </w:r>
      <w:r w:rsidRPr="00011CD6">
        <w:rPr>
          <w:sz w:val="18"/>
          <w:szCs w:val="18"/>
          <w:lang w:val="fr-FR"/>
        </w:rPr>
        <w:t xml:space="preserve">La procédure est décrite </w:t>
      </w:r>
      <w:r w:rsidRPr="00DE0F02">
        <w:rPr>
          <w:strike/>
          <w:sz w:val="18"/>
          <w:szCs w:val="18"/>
          <w:lang w:val="fr-FR"/>
        </w:rPr>
        <w:t xml:space="preserve">à l’annexe 1 de la Résolution d’ensemble sur la construction des véhicules (R.E.3) (document ECE/TRANS/WP.29/78/Rev.6), </w:t>
      </w:r>
      <w:hyperlink r:id="rId8" w:history="1">
        <w:r w:rsidR="00DE0F02" w:rsidRPr="003E68A4">
          <w:rPr>
            <w:rStyle w:val="Lienhypertexte"/>
            <w:strike/>
            <w:sz w:val="18"/>
            <w:szCs w:val="18"/>
            <w:lang w:val="fr-FR"/>
          </w:rPr>
          <w:t>www.unece.org/trans/m</w:t>
        </w:r>
        <w:r w:rsidR="00DE0F02" w:rsidRPr="003E68A4">
          <w:rPr>
            <w:rStyle w:val="Lienhypertexte"/>
            <w:strike/>
            <w:sz w:val="18"/>
            <w:szCs w:val="18"/>
            <w:lang w:val="fr-FR"/>
          </w:rPr>
          <w:t>a</w:t>
        </w:r>
        <w:r w:rsidR="00DE0F02" w:rsidRPr="003E68A4">
          <w:rPr>
            <w:rStyle w:val="Lienhypertexte"/>
            <w:strike/>
            <w:sz w:val="18"/>
            <w:szCs w:val="18"/>
            <w:lang w:val="fr-FR"/>
          </w:rPr>
          <w:t>in/wp29/wp29wgs/</w:t>
        </w:r>
        <w:r w:rsidR="00DE0F02" w:rsidRPr="003E68A4">
          <w:rPr>
            <w:rStyle w:val="Lienhypertexte"/>
            <w:strike/>
            <w:sz w:val="18"/>
            <w:szCs w:val="18"/>
            <w:lang w:val="fr-FR"/>
          </w:rPr>
          <w:br/>
          <w:t>wp29gen/wp29reso</w:t>
        </w:r>
        <w:r w:rsidR="00DE0F02" w:rsidRPr="003E68A4">
          <w:rPr>
            <w:rStyle w:val="Lienhypertexte"/>
            <w:strike/>
            <w:sz w:val="18"/>
            <w:szCs w:val="18"/>
            <w:lang w:val="fr-FR"/>
          </w:rPr>
          <w:t>l</w:t>
        </w:r>
        <w:r w:rsidR="00DE0F02" w:rsidRPr="003E68A4">
          <w:rPr>
            <w:rStyle w:val="Lienhypertexte"/>
            <w:strike/>
            <w:sz w:val="18"/>
            <w:szCs w:val="18"/>
            <w:lang w:val="fr-FR"/>
          </w:rPr>
          <w:t>utions.html</w:t>
        </w:r>
      </w:hyperlink>
      <w:r w:rsidRPr="00011CD6">
        <w:rPr>
          <w:sz w:val="18"/>
          <w:szCs w:val="18"/>
          <w:lang w:val="fr-FR"/>
        </w:rPr>
        <w:t xml:space="preserve"> </w:t>
      </w:r>
      <w:r w:rsidRPr="00011CD6">
        <w:rPr>
          <w:b/>
          <w:bCs/>
          <w:sz w:val="18"/>
          <w:szCs w:val="18"/>
          <w:lang w:val="fr-FR"/>
        </w:rPr>
        <w:t>dans l’additif 6 à la Résolution mutuelle n</w:t>
      </w:r>
      <w:r w:rsidRPr="00011CD6">
        <w:rPr>
          <w:b/>
          <w:bCs/>
          <w:sz w:val="18"/>
          <w:szCs w:val="18"/>
          <w:vertAlign w:val="superscript"/>
          <w:lang w:val="fr-FR"/>
        </w:rPr>
        <w:t>o</w:t>
      </w:r>
      <w:r w:rsidRPr="00011CD6">
        <w:rPr>
          <w:b/>
          <w:bCs/>
          <w:sz w:val="18"/>
          <w:szCs w:val="18"/>
          <w:lang w:val="fr-FR"/>
        </w:rPr>
        <w:t> 1 (R.M.1), document ECE/TRANS/WP.29/1101/Amend.5</w:t>
      </w:r>
      <w:r w:rsidRPr="00011CD6">
        <w:rPr>
          <w:sz w:val="18"/>
          <w:szCs w:val="18"/>
          <w:lang w:val="fr-FR"/>
        </w:rPr>
        <w:t xml:space="preserve"> </w:t>
      </w:r>
      <w:r w:rsidRPr="00011CD6">
        <w:rPr>
          <w:b/>
          <w:bCs/>
          <w:sz w:val="18"/>
          <w:szCs w:val="18"/>
          <w:lang w:val="fr-FR"/>
        </w:rPr>
        <w:t xml:space="preserve">(voir </w:t>
      </w:r>
      <w:hyperlink r:id="rId9" w:history="1">
        <w:r w:rsidRPr="00DE0F02">
          <w:rPr>
            <w:rStyle w:val="Lienhypertexte"/>
            <w:b/>
            <w:bCs/>
            <w:sz w:val="18"/>
            <w:szCs w:val="18"/>
            <w:lang w:val="fr-FR"/>
          </w:rPr>
          <w:t>https://unece.org/tr</w:t>
        </w:r>
        <w:r w:rsidRPr="00DE0F02">
          <w:rPr>
            <w:rStyle w:val="Lienhypertexte"/>
            <w:b/>
            <w:bCs/>
            <w:sz w:val="18"/>
            <w:szCs w:val="18"/>
            <w:lang w:val="fr-FR"/>
          </w:rPr>
          <w:t>a</w:t>
        </w:r>
        <w:r w:rsidRPr="00DE0F02">
          <w:rPr>
            <w:rStyle w:val="Lienhypertexte"/>
            <w:b/>
            <w:bCs/>
            <w:sz w:val="18"/>
            <w:szCs w:val="18"/>
            <w:lang w:val="fr-FR"/>
          </w:rPr>
          <w:t>nsport/ve</w:t>
        </w:r>
        <w:r w:rsidRPr="00DE0F02">
          <w:rPr>
            <w:rStyle w:val="Lienhypertexte"/>
            <w:b/>
            <w:bCs/>
            <w:sz w:val="18"/>
            <w:szCs w:val="18"/>
            <w:lang w:val="fr-FR"/>
          </w:rPr>
          <w:t>h</w:t>
        </w:r>
        <w:r w:rsidRPr="00DE0F02">
          <w:rPr>
            <w:rStyle w:val="Lienhypertexte"/>
            <w:b/>
            <w:bCs/>
            <w:sz w:val="18"/>
            <w:szCs w:val="18"/>
            <w:lang w:val="fr-FR"/>
          </w:rPr>
          <w:t>icle-regulations/wp29/resolutions</w:t>
        </w:r>
      </w:hyperlink>
      <w:r w:rsidRPr="00011CD6">
        <w:rPr>
          <w:b/>
          <w:bCs/>
          <w:sz w:val="18"/>
          <w:szCs w:val="18"/>
          <w:lang w:val="fr-FR"/>
        </w:rPr>
        <w:t>)</w:t>
      </w:r>
      <w:r w:rsidRPr="00011CD6">
        <w:rPr>
          <w:sz w:val="18"/>
          <w:szCs w:val="18"/>
          <w:lang w:val="fr-FR"/>
        </w:rPr>
        <w:t>.</w:t>
      </w:r>
      <w:r>
        <w:rPr>
          <w:lang w:val="fr-FR"/>
        </w:rPr>
        <w:t> ».</w:t>
      </w:r>
      <w:bookmarkStart w:id="2" w:name="_Hlk156421770"/>
    </w:p>
    <w:bookmarkEnd w:id="2"/>
    <w:p w14:paraId="7C11F459" w14:textId="77777777" w:rsidR="00ED7AB0" w:rsidRPr="00820256" w:rsidRDefault="00ED7AB0" w:rsidP="00011CD6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Annexe 9, paragraphe 1.3.3.2,</w:t>
      </w:r>
      <w:r>
        <w:rPr>
          <w:lang w:val="fr-FR"/>
        </w:rPr>
        <w:t xml:space="preserve"> lire :</w:t>
      </w:r>
    </w:p>
    <w:p w14:paraId="57D8004D" w14:textId="2D832156" w:rsidR="00ED7AB0" w:rsidRPr="00820256" w:rsidRDefault="00ED7AB0" w:rsidP="00011CD6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« 1.3.3.2</w:t>
      </w:r>
      <w:r>
        <w:rPr>
          <w:lang w:val="fr-FR"/>
        </w:rPr>
        <w:tab/>
        <w:t>État de charge du véhicule</w:t>
      </w:r>
    </w:p>
    <w:p w14:paraId="1490817C" w14:textId="77777777" w:rsidR="00ED7AB0" w:rsidRPr="00820256" w:rsidRDefault="00ED7AB0" w:rsidP="00011CD6">
      <w:pPr>
        <w:pStyle w:val="SingleTxtG"/>
        <w:ind w:left="2268"/>
        <w:rPr>
          <w:lang w:val="fr-FR"/>
        </w:rPr>
      </w:pPr>
      <w:r>
        <w:rPr>
          <w:lang w:val="fr-FR"/>
        </w:rPr>
        <w:t>Le véhicule doit être en ordre de marche tel que défini dans la Résolution d’ensemble sur la construction des véhicules (R.E.3) (ECE/TRANS/WP.29/78/</w:t>
      </w:r>
      <w:r>
        <w:rPr>
          <w:strike/>
          <w:lang w:val="fr-FR"/>
        </w:rPr>
        <w:t>Rev.6</w:t>
      </w:r>
      <w:r>
        <w:rPr>
          <w:b/>
          <w:bCs/>
          <w:lang w:val="fr-FR"/>
        </w:rPr>
        <w:t>Rev.7</w:t>
      </w:r>
      <w:r>
        <w:rPr>
          <w:lang w:val="fr-FR"/>
        </w:rPr>
        <w:t>, par. 2.2.5.4), avec en plus, pour les véhicules des catégories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>, un passager avant (75 kg). ».</w:t>
      </w:r>
    </w:p>
    <w:bookmarkEnd w:id="0"/>
    <w:bookmarkEnd w:id="1"/>
    <w:p w14:paraId="31FF47E4" w14:textId="3AE437B8" w:rsidR="00ED7AB0" w:rsidRPr="00011CD6" w:rsidRDefault="00ED7AB0" w:rsidP="00011CD6">
      <w:pPr>
        <w:pStyle w:val="HChG"/>
        <w:rPr>
          <w:rFonts w:eastAsia="MS Mincho"/>
          <w:color w:val="000000"/>
          <w:sz w:val="40"/>
          <w:szCs w:val="40"/>
        </w:rPr>
      </w:pPr>
      <w:r>
        <w:rPr>
          <w:lang w:val="fr-FR"/>
        </w:rPr>
        <w:tab/>
      </w:r>
      <w:r w:rsidRPr="00B65014">
        <w:rPr>
          <w:lang w:val="fr-FR"/>
        </w:rPr>
        <w:t>II.</w:t>
      </w:r>
      <w:r w:rsidRPr="00B65014">
        <w:rPr>
          <w:lang w:val="fr-FR"/>
        </w:rPr>
        <w:tab/>
        <w:t>Justification</w:t>
      </w:r>
    </w:p>
    <w:p w14:paraId="2975BEF6" w14:textId="50731EBF" w:rsidR="00ED7AB0" w:rsidRPr="00820256" w:rsidRDefault="00011CD6" w:rsidP="00011CD6">
      <w:pPr>
        <w:pStyle w:val="SingleTxtG"/>
        <w:rPr>
          <w:rFonts w:eastAsia="Malgun Gothic"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ED7AB0">
        <w:rPr>
          <w:lang w:val="fr-FR"/>
        </w:rPr>
        <w:t>La référence à la R.E.3 a été mise à jour pour renvoyer aux dernières modifications (révision 7).</w:t>
      </w:r>
    </w:p>
    <w:p w14:paraId="14FDDCB2" w14:textId="19FF41B1" w:rsidR="00ED7AB0" w:rsidRDefault="00011CD6" w:rsidP="00011CD6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ED7AB0">
        <w:rPr>
          <w:lang w:val="fr-FR"/>
        </w:rPr>
        <w:t>Les spécifications de la machine tridimensionnelle de positionnement du point H ont été actualisées et transférées de la R.E.3 à la R.M.1. Une procédure d’étalonnage a également été ajoutée afin que la machine 3-D H utilisée pour tous les essais prévus dans les Règlements ONU et Règlements techniques mondiaux ONU soit toujours la même et donne des résultats cohérents d’un Règlement à l’autre.</w:t>
      </w:r>
    </w:p>
    <w:p w14:paraId="2AC24E5E" w14:textId="0ED6ADD9" w:rsidR="00011CD6" w:rsidRPr="00011CD6" w:rsidRDefault="00011CD6" w:rsidP="00011CD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1CD6" w:rsidRPr="00011CD6" w:rsidSect="00ED7AB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FB56" w14:textId="77777777" w:rsidR="00BC7060" w:rsidRDefault="00BC7060" w:rsidP="00F95C08">
      <w:pPr>
        <w:spacing w:line="240" w:lineRule="auto"/>
      </w:pPr>
    </w:p>
  </w:endnote>
  <w:endnote w:type="continuationSeparator" w:id="0">
    <w:p w14:paraId="346850FA" w14:textId="77777777" w:rsidR="00BC7060" w:rsidRPr="00AC3823" w:rsidRDefault="00BC7060" w:rsidP="00AC3823">
      <w:pPr>
        <w:pStyle w:val="Pieddepage"/>
      </w:pPr>
    </w:p>
  </w:endnote>
  <w:endnote w:type="continuationNotice" w:id="1">
    <w:p w14:paraId="4AF0FFD6" w14:textId="77777777" w:rsidR="00BC7060" w:rsidRDefault="00BC70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A676" w14:textId="39449263" w:rsidR="00ED7AB0" w:rsidRPr="00ED7AB0" w:rsidRDefault="00ED7AB0" w:rsidP="00ED7AB0">
    <w:pPr>
      <w:pStyle w:val="Pieddepage"/>
      <w:tabs>
        <w:tab w:val="right" w:pos="9638"/>
      </w:tabs>
    </w:pPr>
    <w:r w:rsidRPr="00ED7AB0">
      <w:rPr>
        <w:b/>
        <w:sz w:val="18"/>
      </w:rPr>
      <w:fldChar w:fldCharType="begin"/>
    </w:r>
    <w:r w:rsidRPr="00ED7AB0">
      <w:rPr>
        <w:b/>
        <w:sz w:val="18"/>
      </w:rPr>
      <w:instrText xml:space="preserve"> PAGE  \* MERGEFORMAT </w:instrText>
    </w:r>
    <w:r w:rsidRPr="00ED7AB0">
      <w:rPr>
        <w:b/>
        <w:sz w:val="18"/>
      </w:rPr>
      <w:fldChar w:fldCharType="separate"/>
    </w:r>
    <w:r w:rsidRPr="00ED7AB0">
      <w:rPr>
        <w:b/>
        <w:noProof/>
        <w:sz w:val="18"/>
      </w:rPr>
      <w:t>2</w:t>
    </w:r>
    <w:r w:rsidRPr="00ED7AB0">
      <w:rPr>
        <w:b/>
        <w:sz w:val="18"/>
      </w:rPr>
      <w:fldChar w:fldCharType="end"/>
    </w:r>
    <w:r>
      <w:rPr>
        <w:b/>
        <w:sz w:val="18"/>
      </w:rPr>
      <w:tab/>
    </w:r>
    <w:r>
      <w:t>GE.24-01578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2F5" w14:textId="1764CA8D" w:rsidR="00ED7AB0" w:rsidRPr="00ED7AB0" w:rsidRDefault="00ED7AB0" w:rsidP="00ED7AB0">
    <w:pPr>
      <w:pStyle w:val="Pieddepage"/>
      <w:tabs>
        <w:tab w:val="right" w:pos="9638"/>
      </w:tabs>
      <w:rPr>
        <w:b/>
        <w:sz w:val="18"/>
      </w:rPr>
    </w:pPr>
    <w:r>
      <w:t>GE.24-01578</w:t>
    </w:r>
    <w:r>
      <w:tab/>
    </w:r>
    <w:r w:rsidRPr="00ED7AB0">
      <w:rPr>
        <w:b/>
        <w:sz w:val="18"/>
      </w:rPr>
      <w:fldChar w:fldCharType="begin"/>
    </w:r>
    <w:r w:rsidRPr="00ED7AB0">
      <w:rPr>
        <w:b/>
        <w:sz w:val="18"/>
      </w:rPr>
      <w:instrText xml:space="preserve"> PAGE  \* MERGEFORMAT </w:instrText>
    </w:r>
    <w:r w:rsidRPr="00ED7AB0">
      <w:rPr>
        <w:b/>
        <w:sz w:val="18"/>
      </w:rPr>
      <w:fldChar w:fldCharType="separate"/>
    </w:r>
    <w:r w:rsidRPr="00ED7AB0">
      <w:rPr>
        <w:b/>
        <w:noProof/>
        <w:sz w:val="18"/>
      </w:rPr>
      <w:t>3</w:t>
    </w:r>
    <w:r w:rsidRPr="00ED7A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4CEE" w14:textId="320E6676" w:rsidR="007F20FA" w:rsidRPr="00ED7AB0" w:rsidRDefault="00ED7AB0" w:rsidP="00ED7AB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08A68DA" wp14:editId="2FC99DE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24-01578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061AA7B" wp14:editId="3AA07BB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98272199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ABA">
      <w:rPr>
        <w:sz w:val="20"/>
      </w:rPr>
      <w:t xml:space="preserve">    200224    200224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BB48" w14:textId="77777777" w:rsidR="00BC7060" w:rsidRPr="00AC3823" w:rsidRDefault="00BC706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4C8BD1" w14:textId="77777777" w:rsidR="00BC7060" w:rsidRPr="00AC3823" w:rsidRDefault="00BC706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68A138" w14:textId="77777777" w:rsidR="00BC7060" w:rsidRPr="00AC3823" w:rsidRDefault="00BC7060">
      <w:pPr>
        <w:spacing w:line="240" w:lineRule="auto"/>
        <w:rPr>
          <w:sz w:val="2"/>
          <w:szCs w:val="2"/>
        </w:rPr>
      </w:pPr>
    </w:p>
  </w:footnote>
  <w:footnote w:id="2">
    <w:p w14:paraId="00EEFBF5" w14:textId="0329CDE3" w:rsidR="00981EDD" w:rsidRPr="00981EDD" w:rsidRDefault="00981EDD">
      <w:pPr>
        <w:pStyle w:val="Notedebasdepage"/>
      </w:pPr>
      <w:r>
        <w:rPr>
          <w:rStyle w:val="Appelnotedebasdep"/>
        </w:rPr>
        <w:tab/>
      </w:r>
      <w:r w:rsidRPr="00981ED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37B2" w14:textId="0980CECA" w:rsidR="00ED7AB0" w:rsidRPr="00ED7AB0" w:rsidRDefault="00ED7AB0">
    <w:pPr>
      <w:pStyle w:val="En-tte"/>
    </w:pPr>
    <w:fldSimple w:instr=" TITLE  \* MERGEFORMAT ">
      <w:r w:rsidR="00620D01">
        <w:t>ECE/TRANS/WP.29/GRSG/2024/24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06F2" w14:textId="1D8F000A" w:rsidR="00ED7AB0" w:rsidRPr="00ED7AB0" w:rsidRDefault="00ED7AB0" w:rsidP="00ED7AB0">
    <w:pPr>
      <w:pStyle w:val="En-tte"/>
      <w:jc w:val="right"/>
    </w:pPr>
    <w:fldSimple w:instr=" TITLE  \* MERGEFORMAT ">
      <w:r w:rsidR="00620D01">
        <w:t>ECE/TRANS/WP.29/GRSG/2024/24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60540968">
    <w:abstractNumId w:val="12"/>
  </w:num>
  <w:num w:numId="2" w16cid:durableId="160779216">
    <w:abstractNumId w:val="11"/>
  </w:num>
  <w:num w:numId="3" w16cid:durableId="1542866200">
    <w:abstractNumId w:val="10"/>
  </w:num>
  <w:num w:numId="4" w16cid:durableId="700938128">
    <w:abstractNumId w:val="8"/>
  </w:num>
  <w:num w:numId="5" w16cid:durableId="1292243914">
    <w:abstractNumId w:val="3"/>
  </w:num>
  <w:num w:numId="6" w16cid:durableId="362942775">
    <w:abstractNumId w:val="2"/>
  </w:num>
  <w:num w:numId="7" w16cid:durableId="1593201065">
    <w:abstractNumId w:val="1"/>
  </w:num>
  <w:num w:numId="8" w16cid:durableId="1329358453">
    <w:abstractNumId w:val="0"/>
  </w:num>
  <w:num w:numId="9" w16cid:durableId="1538813738">
    <w:abstractNumId w:val="9"/>
  </w:num>
  <w:num w:numId="10" w16cid:durableId="605815377">
    <w:abstractNumId w:val="7"/>
  </w:num>
  <w:num w:numId="11" w16cid:durableId="829751366">
    <w:abstractNumId w:val="6"/>
  </w:num>
  <w:num w:numId="12" w16cid:durableId="1611618131">
    <w:abstractNumId w:val="5"/>
  </w:num>
  <w:num w:numId="13" w16cid:durableId="937446380">
    <w:abstractNumId w:val="4"/>
  </w:num>
  <w:num w:numId="14" w16cid:durableId="113181376">
    <w:abstractNumId w:val="12"/>
  </w:num>
  <w:num w:numId="15" w16cid:durableId="745417152">
    <w:abstractNumId w:val="11"/>
  </w:num>
  <w:num w:numId="16" w16cid:durableId="777335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60"/>
    <w:rsid w:val="00011CD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6F52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C6D2B"/>
    <w:rsid w:val="00620D01"/>
    <w:rsid w:val="0071601D"/>
    <w:rsid w:val="007A62E6"/>
    <w:rsid w:val="007F20FA"/>
    <w:rsid w:val="0080684C"/>
    <w:rsid w:val="00871C75"/>
    <w:rsid w:val="008776DC"/>
    <w:rsid w:val="008D5EF9"/>
    <w:rsid w:val="00921ABA"/>
    <w:rsid w:val="009446C0"/>
    <w:rsid w:val="009705C8"/>
    <w:rsid w:val="00981EDD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07F26"/>
    <w:rsid w:val="00B45F2E"/>
    <w:rsid w:val="00B765F7"/>
    <w:rsid w:val="00B77993"/>
    <w:rsid w:val="00BA0CA9"/>
    <w:rsid w:val="00BC7060"/>
    <w:rsid w:val="00C02897"/>
    <w:rsid w:val="00C97039"/>
    <w:rsid w:val="00D3439C"/>
    <w:rsid w:val="00D7622E"/>
    <w:rsid w:val="00DB1831"/>
    <w:rsid w:val="00DD3BFD"/>
    <w:rsid w:val="00DE0F02"/>
    <w:rsid w:val="00DF6678"/>
    <w:rsid w:val="00E0299A"/>
    <w:rsid w:val="00E85C74"/>
    <w:rsid w:val="00EA6547"/>
    <w:rsid w:val="00ED7237"/>
    <w:rsid w:val="00ED7AB0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D8FC"/>
  <w15:docId w15:val="{0414EEEF-6BBF-4E74-AA92-C4A06732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E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resolutions.html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8C56A-3416-4F07-9936-FB087AA1EA9A}"/>
</file>

<file path=customXml/itemProps2.xml><?xml version="1.0" encoding="utf-8"?>
<ds:datastoreItem xmlns:ds="http://schemas.openxmlformats.org/officeDocument/2006/customXml" ds:itemID="{CF804E36-EEA7-4B03-83C0-0215502F6A7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549</Words>
  <Characters>3104</Characters>
  <Application>Microsoft Office Word</Application>
  <DocSecurity>0</DocSecurity>
  <Lines>67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ECE/TRANS/WP.29/GRSG/2024/24</vt:lpstr>
    </vt:vector>
  </TitlesOfParts>
  <Company>DCM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ECE/TRANS/WP.29/GRSG/2024/24</dc:title>
  <dc:subject/>
  <dc:creator>Julien OKRZESIK</dc:creator>
  <cp:keywords/>
  <cp:lastModifiedBy>Julien Okrzesik</cp:lastModifiedBy>
  <cp:revision>3</cp:revision>
  <cp:lastPrinted>2024-02-20T09:42:00Z</cp:lastPrinted>
  <dcterms:created xsi:type="dcterms:W3CDTF">2024-02-20T09:41:00Z</dcterms:created>
  <dcterms:modified xsi:type="dcterms:W3CDTF">2024-02-20T09:43:00Z</dcterms:modified>
</cp:coreProperties>
</file>