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471A25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6D3DD2" w14:textId="77777777" w:rsidR="002D5AAC" w:rsidRDefault="002D5AAC" w:rsidP="00103B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BE996D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B4D02CF" w14:textId="10D70045" w:rsidR="002D5AAC" w:rsidRDefault="00103BE6" w:rsidP="00103BE6">
            <w:pPr>
              <w:jc w:val="right"/>
            </w:pPr>
            <w:r w:rsidRPr="00103BE6">
              <w:rPr>
                <w:sz w:val="40"/>
              </w:rPr>
              <w:t>ECE</w:t>
            </w:r>
            <w:r>
              <w:t>/TRANS/WP.15/2024/5</w:t>
            </w:r>
          </w:p>
        </w:tc>
      </w:tr>
      <w:tr w:rsidR="002D5AAC" w:rsidRPr="006239CE" w14:paraId="51CD979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6D564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01393B2" wp14:editId="5A15C2A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93622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21FCB36" w14:textId="77777777" w:rsidR="006239CE" w:rsidRPr="006239CE" w:rsidRDefault="006239CE" w:rsidP="006239CE">
            <w:pPr>
              <w:spacing w:before="240" w:line="240" w:lineRule="exact"/>
              <w:rPr>
                <w:lang w:val="en-US"/>
              </w:rPr>
            </w:pPr>
            <w:r w:rsidRPr="006239CE">
              <w:rPr>
                <w:lang w:val="en-US"/>
              </w:rPr>
              <w:t>Distr.: General</w:t>
            </w:r>
          </w:p>
          <w:p w14:paraId="68C38D3D" w14:textId="77777777" w:rsidR="006239CE" w:rsidRPr="006239CE" w:rsidRDefault="006239CE" w:rsidP="006239CE">
            <w:pPr>
              <w:spacing w:line="240" w:lineRule="exact"/>
              <w:rPr>
                <w:lang w:val="en-US"/>
              </w:rPr>
            </w:pPr>
            <w:r w:rsidRPr="006239CE">
              <w:rPr>
                <w:lang w:val="en-US"/>
              </w:rPr>
              <w:t>11 January 2024</w:t>
            </w:r>
          </w:p>
          <w:p w14:paraId="310E46F6" w14:textId="2147C3AD" w:rsidR="006239CE" w:rsidRPr="006239CE" w:rsidRDefault="006239CE" w:rsidP="006239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029E1F1" w14:textId="0BC51121" w:rsidR="00103BE6" w:rsidRPr="006239CE" w:rsidRDefault="006239CE" w:rsidP="006239CE">
            <w:pPr>
              <w:spacing w:line="240" w:lineRule="exact"/>
              <w:rPr>
                <w:lang w:val="en-US"/>
              </w:rPr>
            </w:pPr>
            <w:r w:rsidRPr="006239CE">
              <w:rPr>
                <w:lang w:val="en-US"/>
              </w:rPr>
              <w:t>Original: English</w:t>
            </w:r>
          </w:p>
        </w:tc>
      </w:tr>
    </w:tbl>
    <w:p w14:paraId="573E63A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49BF327" w14:textId="77777777" w:rsidR="00B002E9" w:rsidRPr="00B002E9" w:rsidRDefault="00B002E9" w:rsidP="00B002E9">
      <w:pPr>
        <w:spacing w:before="120"/>
        <w:rPr>
          <w:sz w:val="40"/>
          <w:szCs w:val="40"/>
        </w:rPr>
      </w:pPr>
      <w:r w:rsidRPr="00B002E9">
        <w:rPr>
          <w:sz w:val="28"/>
          <w:szCs w:val="32"/>
        </w:rPr>
        <w:t>Комитет по внутреннему транспорту</w:t>
      </w:r>
    </w:p>
    <w:p w14:paraId="0DCBEC33" w14:textId="77777777" w:rsidR="00B002E9" w:rsidRPr="00B002E9" w:rsidRDefault="00B002E9" w:rsidP="00B002E9">
      <w:pPr>
        <w:spacing w:before="120"/>
        <w:rPr>
          <w:b/>
          <w:bCs/>
          <w:sz w:val="32"/>
          <w:szCs w:val="32"/>
        </w:rPr>
      </w:pPr>
      <w:r w:rsidRPr="00B002E9">
        <w:rPr>
          <w:b/>
          <w:bCs/>
          <w:sz w:val="24"/>
          <w:szCs w:val="28"/>
        </w:rPr>
        <w:t>Рабочая группа по перевозкам опасных грузов</w:t>
      </w:r>
    </w:p>
    <w:p w14:paraId="63310983" w14:textId="77777777" w:rsidR="00B002E9" w:rsidRPr="00E04F64" w:rsidRDefault="00B002E9" w:rsidP="00B002E9">
      <w:pPr>
        <w:spacing w:before="120"/>
        <w:rPr>
          <w:rFonts w:eastAsia="SimSun"/>
          <w:b/>
        </w:rPr>
      </w:pPr>
      <w:r>
        <w:rPr>
          <w:b/>
          <w:bCs/>
        </w:rPr>
        <w:t>Сто пятнадцатая сессия</w:t>
      </w:r>
    </w:p>
    <w:p w14:paraId="6B46CE23" w14:textId="3D50B4DC" w:rsidR="00B002E9" w:rsidRPr="00E04F64" w:rsidRDefault="00B002E9" w:rsidP="00B002E9">
      <w:pPr>
        <w:rPr>
          <w:rFonts w:eastAsia="SimSun"/>
        </w:rPr>
      </w:pPr>
      <w:r>
        <w:t xml:space="preserve">Женева, </w:t>
      </w:r>
      <w:r>
        <w:t>2–5</w:t>
      </w:r>
      <w:r>
        <w:t xml:space="preserve"> апреля 2024 года</w:t>
      </w:r>
    </w:p>
    <w:p w14:paraId="165F15F8" w14:textId="77777777" w:rsidR="00B002E9" w:rsidRPr="00E04F64" w:rsidRDefault="00B002E9" w:rsidP="00B002E9">
      <w:pPr>
        <w:autoSpaceDE w:val="0"/>
        <w:autoSpaceDN w:val="0"/>
        <w:adjustRightInd w:val="0"/>
      </w:pPr>
      <w:r>
        <w:t>Пункт 5 a) предварительной повестки дня</w:t>
      </w:r>
    </w:p>
    <w:p w14:paraId="531F22BA" w14:textId="3EE29C6C" w:rsidR="00B002E9" w:rsidRPr="00E04F64" w:rsidRDefault="00B002E9" w:rsidP="00B002E9">
      <w:pPr>
        <w:autoSpaceDE w:val="0"/>
        <w:autoSpaceDN w:val="0"/>
        <w:adjustRightInd w:val="0"/>
        <w:rPr>
          <w:b/>
          <w:bCs/>
        </w:rPr>
      </w:pPr>
      <w:r w:rsidRPr="00B176A2">
        <w:rPr>
          <w:b/>
          <w:bCs/>
        </w:rPr>
        <w:t>Предложения о внесении поправок в приложения А и B к ДОПОГ: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конструкция и допущение к перевозке транспортных средств</w:t>
      </w:r>
    </w:p>
    <w:p w14:paraId="6C8408EB" w14:textId="0941CC4A" w:rsidR="00B002E9" w:rsidRPr="00E04F64" w:rsidRDefault="00B002E9" w:rsidP="00B002E9">
      <w:pPr>
        <w:pStyle w:val="HChG"/>
        <w:rPr>
          <w:bCs/>
          <w:sz w:val="24"/>
          <w:szCs w:val="24"/>
        </w:rPr>
      </w:pPr>
      <w:r>
        <w:tab/>
      </w:r>
      <w:r>
        <w:tab/>
      </w:r>
      <w:r>
        <w:rPr>
          <w:bCs/>
        </w:rPr>
        <w:t xml:space="preserve">Применение </w:t>
      </w:r>
      <w:r>
        <w:rPr>
          <w:rFonts w:eastAsiaTheme="minorEastAsia"/>
          <w:bCs/>
          <w:lang w:eastAsia="zh-CN" w:bidi="ar-TN"/>
        </w:rPr>
        <w:t xml:space="preserve">положений </w:t>
      </w:r>
      <w:r>
        <w:rPr>
          <w:bCs/>
        </w:rPr>
        <w:t xml:space="preserve">главы 9.7 </w:t>
      </w:r>
      <w:r>
        <w:rPr>
          <w:bCs/>
        </w:rPr>
        <w:br/>
      </w:r>
      <w:r>
        <w:rPr>
          <w:bCs/>
        </w:rPr>
        <w:t xml:space="preserve">к электрооборудованию </w:t>
      </w:r>
    </w:p>
    <w:p w14:paraId="205706ED" w14:textId="77777777" w:rsidR="00B002E9" w:rsidRPr="00B002E9" w:rsidRDefault="00B002E9" w:rsidP="00B002E9">
      <w:pPr>
        <w:pStyle w:val="H1G"/>
        <w:rPr>
          <w:b w:val="0"/>
          <w:bCs/>
          <w:szCs w:val="24"/>
        </w:rPr>
      </w:pPr>
      <w:r>
        <w:tab/>
      </w:r>
      <w:r>
        <w:tab/>
      </w:r>
      <w:r>
        <w:rPr>
          <w:bCs/>
        </w:rPr>
        <w:t>Передано правительством Нидерландов</w:t>
      </w:r>
      <w:r w:rsidRPr="00B002E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5B166C6" w14:textId="77777777" w:rsidR="00B002E9" w:rsidRPr="00E04F64" w:rsidRDefault="00B002E9" w:rsidP="00B002E9">
      <w:pPr>
        <w:pStyle w:val="HChG"/>
        <w:ind w:left="1210" w:hanging="850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41C08801" w14:textId="64F141D9" w:rsidR="00B002E9" w:rsidRPr="00E04F64" w:rsidRDefault="00B002E9" w:rsidP="00B002E9">
      <w:pPr>
        <w:pStyle w:val="SingleTxtG"/>
      </w:pPr>
      <w:r>
        <w:t>1.</w:t>
      </w:r>
      <w:r>
        <w:tab/>
        <w:t xml:space="preserve">В издании ДОПОГ 2017 года требования к электрооборудованию были дополнительно распространены на транспортные средства AT. Таким образом, части электрооборудования, добавленные или модифицированные на втором этапе изготовления транспортного средства, должны также удовлетворять применимым требованиям. В то же время были добавлены транспортные средства EX/III, </w:t>
      </w:r>
      <w:r>
        <w:br/>
      </w:r>
      <w:r>
        <w:t>в цистернах которых перевозятся взрывчатые вещества (смесь аммония нитрата и мазута (АСДТ)).</w:t>
      </w:r>
    </w:p>
    <w:p w14:paraId="122E728C" w14:textId="77777777" w:rsidR="00B002E9" w:rsidRPr="00E04F64" w:rsidRDefault="00B002E9" w:rsidP="00B002E9">
      <w:pPr>
        <w:pStyle w:val="SingleTxtG"/>
      </w:pPr>
      <w:r>
        <w:t>2.</w:t>
      </w:r>
      <w:r>
        <w:tab/>
        <w:t>В документе ECE/TRANS/WP.15/2023/8 был поднят вопрос о применении раздела 9.7.8 к транспортным средствам FL. В результате заголовок раздела 9.7.8 был изменен (см. приложение II к документу ECE/TRANS/WP.15/264). Настоящее предложение преследует целью вернуть заголовок к его первоначальной формулировке, не затрагивая другой поправки, представленной в этом документе к пункту 9.7.8.3.</w:t>
      </w:r>
    </w:p>
    <w:p w14:paraId="1AED12B8" w14:textId="77777777" w:rsidR="00B002E9" w:rsidRPr="00E04F64" w:rsidRDefault="00B002E9" w:rsidP="00B002E9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Предложение</w:t>
      </w:r>
    </w:p>
    <w:p w14:paraId="13F3D69E" w14:textId="14F8DBE8" w:rsidR="00B002E9" w:rsidRPr="00E04F64" w:rsidRDefault="00B002E9" w:rsidP="00B002E9">
      <w:pPr>
        <w:pStyle w:val="SingleTxtG"/>
      </w:pPr>
      <w:r>
        <w:t>3.</w:t>
      </w:r>
      <w:r>
        <w:tab/>
        <w:t xml:space="preserve">Изменить раздел 9.7.8 и пункты 9.7.8.1 и 9.7.8.2 следующим образом (новые элементы подчеркнуты, исключенные </w:t>
      </w:r>
      <w:r>
        <w:rPr>
          <w:lang w:val="en-US"/>
        </w:rPr>
        <w:t>⸺</w:t>
      </w:r>
      <w:r>
        <w:t xml:space="preserve"> вычеркнуты):</w:t>
      </w:r>
    </w:p>
    <w:p w14:paraId="0C7D209A" w14:textId="1CEB001A" w:rsidR="00B002E9" w:rsidRPr="00E04F64" w:rsidRDefault="00B002E9" w:rsidP="00B002E9">
      <w:pPr>
        <w:pStyle w:val="SingleTxtG"/>
        <w:tabs>
          <w:tab w:val="clear" w:pos="1701"/>
        </w:tabs>
        <w:rPr>
          <w:b/>
          <w:bCs/>
        </w:rPr>
      </w:pPr>
      <w:r w:rsidRPr="00B002E9">
        <w:t>«</w:t>
      </w:r>
      <w:r>
        <w:rPr>
          <w:b/>
          <w:bCs/>
        </w:rPr>
        <w:t>9.7.8</w:t>
      </w:r>
      <w:r>
        <w:tab/>
      </w:r>
      <w:r>
        <w:rPr>
          <w:b/>
          <w:bCs/>
        </w:rPr>
        <w:t xml:space="preserve">Электрооборудование </w:t>
      </w:r>
      <w:r>
        <w:rPr>
          <w:b/>
          <w:bCs/>
          <w:strike/>
        </w:rPr>
        <w:t>[для транспортных средств FL]</w:t>
      </w:r>
    </w:p>
    <w:p w14:paraId="37586613" w14:textId="77777777" w:rsidR="00B002E9" w:rsidRPr="00E04F64" w:rsidRDefault="00B002E9" w:rsidP="00B002E9">
      <w:pPr>
        <w:pStyle w:val="SingleTxtG"/>
        <w:rPr>
          <w:i/>
          <w:iCs/>
        </w:rPr>
      </w:pPr>
      <w:r>
        <w:t>9.7.8.1</w:t>
      </w:r>
      <w:r>
        <w:tab/>
      </w:r>
      <w:r>
        <w:tab/>
      </w:r>
      <w:r>
        <w:rPr>
          <w:i/>
          <w:iCs/>
          <w:u w:val="single"/>
        </w:rPr>
        <w:t>Общие положения</w:t>
      </w:r>
    </w:p>
    <w:p w14:paraId="5550AE3C" w14:textId="77777777" w:rsidR="00B002E9" w:rsidRPr="00E04F64" w:rsidRDefault="00B002E9" w:rsidP="00B002E9">
      <w:pPr>
        <w:pStyle w:val="SingleTxtG"/>
        <w:tabs>
          <w:tab w:val="clear" w:pos="1701"/>
        </w:tabs>
        <w:ind w:left="2268"/>
      </w:pPr>
      <w:r>
        <w:rPr>
          <w:u w:val="single"/>
        </w:rPr>
        <w:t>Дополнительные элементы электрооборудования транспортных средств или его модификации</w:t>
      </w:r>
      <w:r>
        <w:rPr>
          <w:strike/>
        </w:rPr>
        <w:t xml:space="preserve"> Электрооборудование, имеющееся</w:t>
      </w:r>
      <w:r>
        <w:t xml:space="preserve"> </w:t>
      </w:r>
      <w:r w:rsidRPr="00E5609A">
        <w:rPr>
          <w:strike/>
        </w:rPr>
        <w:t xml:space="preserve">на </w:t>
      </w:r>
      <w:r w:rsidRPr="00E5609A">
        <w:rPr>
          <w:strike/>
        </w:rPr>
        <w:lastRenderedPageBreak/>
        <w:t>транспортных средствах</w:t>
      </w:r>
      <w:r>
        <w:t xml:space="preserve"> </w:t>
      </w:r>
      <w:r>
        <w:rPr>
          <w:strike/>
        </w:rPr>
        <w:t>FL, должно</w:t>
      </w:r>
      <w:r>
        <w:t xml:space="preserve"> </w:t>
      </w:r>
      <w:r>
        <w:rPr>
          <w:u w:val="single"/>
        </w:rPr>
        <w:t xml:space="preserve">должны </w:t>
      </w:r>
      <w:r>
        <w:t xml:space="preserve">отвечать </w:t>
      </w:r>
      <w:r w:rsidRPr="00EA59DA">
        <w:t>соответствующим</w:t>
      </w:r>
      <w:r>
        <w:rPr>
          <w:strike/>
        </w:rPr>
        <w:t xml:space="preserve"> </w:t>
      </w:r>
      <w:r>
        <w:t xml:space="preserve">требованиям </w:t>
      </w:r>
      <w:r>
        <w:rPr>
          <w:u w:val="single"/>
        </w:rPr>
        <w:t>главы 9.2</w:t>
      </w:r>
      <w:r>
        <w:t xml:space="preserve"> </w:t>
      </w:r>
      <w:r>
        <w:rPr>
          <w:strike/>
        </w:rPr>
        <w:t>пунктов 9.2.2.1, 9.2.2.2, 9.2.2.4, 9.2.2.5, 9.2.2.6, 9.2.2.8 и 9.2.2.9.1</w:t>
      </w:r>
      <w:r w:rsidRPr="00EA59DA">
        <w:t xml:space="preserve">, </w:t>
      </w:r>
      <w:r w:rsidRPr="00EA59DA">
        <w:rPr>
          <w:u w:val="single"/>
        </w:rPr>
        <w:t>если это применимо</w:t>
      </w:r>
      <w:r w:rsidRPr="00E5609A">
        <w:rPr>
          <w:u w:val="single"/>
        </w:rPr>
        <w:t xml:space="preserve"> </w:t>
      </w:r>
      <w:r>
        <w:rPr>
          <w:u w:val="single"/>
        </w:rPr>
        <w:t>(см. таблицу 9.2.1.1)</w:t>
      </w:r>
      <w:r w:rsidRPr="000933FF">
        <w:t>.</w:t>
      </w:r>
      <w:r>
        <w:t xml:space="preserve"> </w:t>
      </w:r>
    </w:p>
    <w:p w14:paraId="13390AA4" w14:textId="77777777" w:rsidR="00B002E9" w:rsidRPr="00E04F64" w:rsidRDefault="00B002E9" w:rsidP="00B002E9">
      <w:pPr>
        <w:pStyle w:val="SingleTxtG"/>
        <w:tabs>
          <w:tab w:val="clear" w:pos="1701"/>
        </w:tabs>
        <w:ind w:left="2268"/>
        <w:rPr>
          <w:strike/>
        </w:rPr>
      </w:pPr>
      <w:r>
        <w:rPr>
          <w:strike/>
        </w:rPr>
        <w:t>Однако любые дополнительные элементы электрооборудования транспортного средства или его модификации должны отвечать требованиям в отношении электрического оборудования соответствующей группы и соответствующего температурного класса в зависимости от веществ, которые будут перевозиться.</w:t>
      </w:r>
    </w:p>
    <w:p w14:paraId="0E59FD10" w14:textId="1ED4B906" w:rsidR="00B002E9" w:rsidRPr="00E04F64" w:rsidRDefault="00B002E9" w:rsidP="00B002E9">
      <w:pPr>
        <w:pStyle w:val="SingleTxtG"/>
        <w:tabs>
          <w:tab w:val="clear" w:pos="1701"/>
        </w:tabs>
        <w:ind w:left="2268"/>
        <w:rPr>
          <w:i/>
          <w:iCs/>
        </w:rPr>
      </w:pPr>
      <w:r w:rsidRPr="00076532">
        <w:rPr>
          <w:b/>
          <w:bCs/>
          <w:i/>
          <w:iCs/>
        </w:rPr>
        <w:t>ПРИМЕЧАНИЕ:</w:t>
      </w:r>
      <w:r>
        <w:rPr>
          <w:i/>
          <w:iCs/>
        </w:rPr>
        <w:t xml:space="preserve"> В отношении переходных положений см. также </w:t>
      </w:r>
      <w:r>
        <w:rPr>
          <w:i/>
          <w:iCs/>
        </w:rPr>
        <w:br/>
      </w:r>
      <w:r>
        <w:rPr>
          <w:i/>
          <w:iCs/>
        </w:rPr>
        <w:t>раздел 1.6.5.</w:t>
      </w:r>
    </w:p>
    <w:p w14:paraId="2D4E0D3B" w14:textId="77777777" w:rsidR="00B002E9" w:rsidRPr="00E04F64" w:rsidRDefault="00B002E9" w:rsidP="00B002E9">
      <w:pPr>
        <w:pStyle w:val="SingleTxtG"/>
        <w:rPr>
          <w:i/>
          <w:iCs/>
        </w:rPr>
      </w:pPr>
      <w:r>
        <w:t>9.7.8.2</w:t>
      </w:r>
      <w:r>
        <w:tab/>
      </w:r>
      <w:r>
        <w:tab/>
      </w:r>
      <w:r>
        <w:rPr>
          <w:i/>
          <w:iCs/>
          <w:u w:val="single"/>
        </w:rPr>
        <w:t>Транспортные средства FL</w:t>
      </w:r>
    </w:p>
    <w:p w14:paraId="265E4FAD" w14:textId="0F93E861" w:rsidR="00B002E9" w:rsidRPr="00CA5322" w:rsidRDefault="00B002E9" w:rsidP="00B002E9">
      <w:pPr>
        <w:pStyle w:val="SingleTxtG"/>
        <w:tabs>
          <w:tab w:val="clear" w:pos="1701"/>
        </w:tabs>
        <w:ind w:left="2268"/>
      </w:pPr>
      <w:r>
        <w:t>Электрооборудование, имеющееся на транспортных средствах FL,</w:t>
      </w:r>
      <w:r>
        <w:rPr>
          <w:u w:val="single"/>
        </w:rPr>
        <w:t xml:space="preserve"> [остающееся под напряжением, когда устройство обесточивания электрических цепей активировано, и</w:t>
      </w:r>
      <w:r>
        <w:t xml:space="preserve">] расположенное в зонах, в которых существует или может существовать взрывоопасная атмосфера в концентрациях, требующих принятия особых мер предосторожности, должно быть подходящим для использования в опасной зоне. Такое оборудование должно отвечать общим требованиям стандарта </w:t>
      </w:r>
      <w:r>
        <w:br/>
      </w:r>
      <w:r>
        <w:t>МЭК 60079, части 0 и 14, а также применимым дополнительным требованиям стандарта МЭК 60079, части 1, 2, 5, 6, 7, 11, 18, 26 или 28. Должны выполняться требования в отношении электрического оборудования соответствующей группы и соответствующего температурного класса в зависимости от веществ, которые будут перевозиться</w:t>
      </w:r>
      <w:r>
        <w:t>»</w:t>
      </w:r>
      <w:r>
        <w:t>.</w:t>
      </w:r>
    </w:p>
    <w:p w14:paraId="0B235F04" w14:textId="77777777" w:rsidR="00B002E9" w:rsidRPr="00E04F64" w:rsidRDefault="00B002E9" w:rsidP="00B002E9">
      <w:pPr>
        <w:pStyle w:val="SingleTxtG"/>
      </w:pPr>
      <w:r>
        <w:t>Остальная часть пункта 9.7.8.2 остается без изменений.</w:t>
      </w:r>
    </w:p>
    <w:p w14:paraId="6700D4A6" w14:textId="77777777" w:rsidR="00B002E9" w:rsidRPr="00E04F64" w:rsidRDefault="00B002E9" w:rsidP="00B002E9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Обоснование</w:t>
      </w:r>
    </w:p>
    <w:p w14:paraId="25EAC6FD" w14:textId="77777777" w:rsidR="00B002E9" w:rsidRDefault="00B002E9" w:rsidP="00B002E9">
      <w:pPr>
        <w:pStyle w:val="SingleTxtG"/>
      </w:pPr>
      <w:r>
        <w:t>4.</w:t>
      </w:r>
      <w:r>
        <w:tab/>
        <w:t>Цель изменения заголовка раздела 9.7.8 и первого абзаца пункта 9.7.8.1 заключается в том, чтобы распространить их на все категории транспортных средств, подпадающих под действие главы 9.7. Например, дополнительная защита, а также обесточивание дополнительных батарей также должны соответствовать требованиям главы 9.2, если это применимо.</w:t>
      </w:r>
    </w:p>
    <w:p w14:paraId="3AE093DA" w14:textId="384679B3" w:rsidR="00B002E9" w:rsidRPr="00E04F64" w:rsidRDefault="00B002E9" w:rsidP="00B002E9">
      <w:pPr>
        <w:pStyle w:val="SingleTxtG"/>
      </w:pPr>
      <w:r>
        <w:t>5.</w:t>
      </w:r>
      <w:r>
        <w:tab/>
        <w:t xml:space="preserve">Начало второго абзаца добавлено к первому, чтобы уточнить, что речь идет, </w:t>
      </w:r>
      <w:r>
        <w:br/>
      </w:r>
      <w:r>
        <w:t xml:space="preserve">в частности, о дополнениях к системам, уже установленным на базовом транспортном средстве, или модификациях таких систем. Если в главе 9.2 речь идет о производителях транспортных средств, то глава 9.7 касается </w:t>
      </w:r>
      <w:proofErr w:type="spellStart"/>
      <w:r>
        <w:t>кузовостроителей</w:t>
      </w:r>
      <w:proofErr w:type="spellEnd"/>
      <w:r>
        <w:t xml:space="preserve"> (второй этап).</w:t>
      </w:r>
    </w:p>
    <w:p w14:paraId="5494F806" w14:textId="77777777" w:rsidR="00B002E9" w:rsidRPr="00E04F64" w:rsidRDefault="00B002E9" w:rsidP="00B002E9">
      <w:pPr>
        <w:pStyle w:val="SingleTxtG"/>
      </w:pPr>
      <w:r>
        <w:t>6.</w:t>
      </w:r>
      <w:r>
        <w:tab/>
        <w:t>В остальной части второго абзаца пункта 9.7.8.1 говорится о защите во взрывоопасных средах. Однако эта формулировка уже присутствует в последнем предложении первого абзаца пункта 9.7.8.2 и поэтому является избыточной.</w:t>
      </w:r>
    </w:p>
    <w:p w14:paraId="71FBD23F" w14:textId="14968A39" w:rsidR="00B002E9" w:rsidRDefault="00B002E9" w:rsidP="00B002E9">
      <w:pPr>
        <w:pStyle w:val="SingleTxtG"/>
      </w:pPr>
      <w:r>
        <w:t>7.</w:t>
      </w:r>
      <w:r>
        <w:tab/>
        <w:t xml:space="preserve">Для пункта 9.7.8.2 вводится новый заголовок, поясняющий, что этот пункт относится, в частности, к транспортным средствам FL. Транспортные средства, </w:t>
      </w:r>
      <w:r>
        <w:br/>
      </w:r>
      <w:r>
        <w:t xml:space="preserve">в цистернах которых перевозятся взрывчатые вещества (№ ООН </w:t>
      </w:r>
      <w:proofErr w:type="gramStart"/>
      <w:r>
        <w:t xml:space="preserve">0331 </w:t>
      </w:r>
      <w:r>
        <w:t>–</w:t>
      </w:r>
      <w:r>
        <w:t xml:space="preserve"> 1</w:t>
      </w:r>
      <w:proofErr w:type="gramEnd"/>
      <w:r>
        <w:t>.5D), могут не отвечать требованиям для транспортных средств FL, так как мазут, используемый с нитратом аммония, согласно классификации, не должен создавать взрывоопасной среды.</w:t>
      </w:r>
    </w:p>
    <w:p w14:paraId="64BDB372" w14:textId="77777777" w:rsidR="00B002E9" w:rsidRPr="006D182D" w:rsidRDefault="00B002E9" w:rsidP="00B002E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907414" w14:textId="77777777" w:rsidR="00E12C5F" w:rsidRPr="008D53B6" w:rsidRDefault="00E12C5F" w:rsidP="00D9145B"/>
    <w:sectPr w:rsidR="00E12C5F" w:rsidRPr="008D53B6" w:rsidSect="00103B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12F2" w14:textId="77777777" w:rsidR="00493E5B" w:rsidRPr="00A312BC" w:rsidRDefault="00493E5B" w:rsidP="00A312BC"/>
  </w:endnote>
  <w:endnote w:type="continuationSeparator" w:id="0">
    <w:p w14:paraId="348117F9" w14:textId="77777777" w:rsidR="00493E5B" w:rsidRPr="00A312BC" w:rsidRDefault="00493E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04E4" w14:textId="2AE4CB06" w:rsidR="00103BE6" w:rsidRPr="00103BE6" w:rsidRDefault="00103BE6">
    <w:pPr>
      <w:pStyle w:val="a8"/>
    </w:pPr>
    <w:r w:rsidRPr="00103BE6">
      <w:rPr>
        <w:b/>
        <w:sz w:val="18"/>
      </w:rPr>
      <w:fldChar w:fldCharType="begin"/>
    </w:r>
    <w:r w:rsidRPr="00103BE6">
      <w:rPr>
        <w:b/>
        <w:sz w:val="18"/>
      </w:rPr>
      <w:instrText xml:space="preserve"> PAGE  \* MERGEFORMAT </w:instrText>
    </w:r>
    <w:r w:rsidRPr="00103BE6">
      <w:rPr>
        <w:b/>
        <w:sz w:val="18"/>
      </w:rPr>
      <w:fldChar w:fldCharType="separate"/>
    </w:r>
    <w:r w:rsidRPr="00103BE6">
      <w:rPr>
        <w:b/>
        <w:noProof/>
        <w:sz w:val="18"/>
      </w:rPr>
      <w:t>2</w:t>
    </w:r>
    <w:r w:rsidRPr="00103BE6">
      <w:rPr>
        <w:b/>
        <w:sz w:val="18"/>
      </w:rPr>
      <w:fldChar w:fldCharType="end"/>
    </w:r>
    <w:r>
      <w:rPr>
        <w:b/>
        <w:sz w:val="18"/>
      </w:rPr>
      <w:tab/>
    </w:r>
    <w:r>
      <w:t>GE.24-00456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DEEA" w14:textId="55C9DE0B" w:rsidR="00103BE6" w:rsidRPr="00103BE6" w:rsidRDefault="00103BE6" w:rsidP="00103BE6">
    <w:pPr>
      <w:pStyle w:val="a8"/>
      <w:tabs>
        <w:tab w:val="clear" w:pos="9639"/>
        <w:tab w:val="right" w:pos="9638"/>
      </w:tabs>
      <w:rPr>
        <w:b/>
        <w:sz w:val="18"/>
      </w:rPr>
    </w:pPr>
    <w:r>
      <w:t>GE.24-00456</w:t>
    </w:r>
    <w:r>
      <w:tab/>
    </w:r>
    <w:r w:rsidRPr="00103BE6">
      <w:rPr>
        <w:b/>
        <w:sz w:val="18"/>
      </w:rPr>
      <w:fldChar w:fldCharType="begin"/>
    </w:r>
    <w:r w:rsidRPr="00103BE6">
      <w:rPr>
        <w:b/>
        <w:sz w:val="18"/>
      </w:rPr>
      <w:instrText xml:space="preserve"> PAGE  \* MERGEFORMAT </w:instrText>
    </w:r>
    <w:r w:rsidRPr="00103BE6">
      <w:rPr>
        <w:b/>
        <w:sz w:val="18"/>
      </w:rPr>
      <w:fldChar w:fldCharType="separate"/>
    </w:r>
    <w:r w:rsidRPr="00103BE6">
      <w:rPr>
        <w:b/>
        <w:noProof/>
        <w:sz w:val="18"/>
      </w:rPr>
      <w:t>3</w:t>
    </w:r>
    <w:r w:rsidRPr="00103B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04BB" w14:textId="3B28BC7C" w:rsidR="00042B72" w:rsidRPr="00C73D21" w:rsidRDefault="00103BE6" w:rsidP="00103BE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BDCE2C" wp14:editId="02C5DB7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24-00456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19B3A83" wp14:editId="6C9AA22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D21">
      <w:rPr>
        <w:lang w:val="en-US"/>
      </w:rPr>
      <w:t xml:space="preserve">  120224  130224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0983" w14:textId="77777777" w:rsidR="00493E5B" w:rsidRPr="001075E9" w:rsidRDefault="00493E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F77324" w14:textId="77777777" w:rsidR="00493E5B" w:rsidRDefault="00493E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C9A004B" w14:textId="77777777" w:rsidR="00B002E9" w:rsidRPr="001A45CB" w:rsidRDefault="00B002E9" w:rsidP="00B002E9">
      <w:pPr>
        <w:pStyle w:val="ad"/>
      </w:pPr>
      <w:r>
        <w:tab/>
      </w:r>
      <w:r w:rsidRPr="00B002E9">
        <w:rPr>
          <w:sz w:val="20"/>
          <w:szCs w:val="22"/>
        </w:rPr>
        <w:t>*</w:t>
      </w:r>
      <w:r>
        <w:tab/>
        <w:t>A/78/6 (разд. 20), таблица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C8F3" w14:textId="4C20A541" w:rsidR="00103BE6" w:rsidRPr="00103BE6" w:rsidRDefault="00103BE6">
    <w:pPr>
      <w:pStyle w:val="a5"/>
    </w:pPr>
    <w:fldSimple w:instr=" TITLE  \* MERGEFORMAT ">
      <w:r w:rsidR="0003181F">
        <w:t>ECE/TRANS/WP.15/2024/5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5EBE" w14:textId="48A54B00" w:rsidR="00103BE6" w:rsidRPr="00103BE6" w:rsidRDefault="00103BE6" w:rsidP="00103BE6">
    <w:pPr>
      <w:pStyle w:val="a5"/>
      <w:jc w:val="right"/>
    </w:pPr>
    <w:fldSimple w:instr=" TITLE  \* MERGEFORMAT ">
      <w:r w:rsidR="0003181F">
        <w:t>ECE/TRANS/WP.15/2024/5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211120003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5B"/>
    <w:rsid w:val="0003181F"/>
    <w:rsid w:val="00033EE1"/>
    <w:rsid w:val="00042B72"/>
    <w:rsid w:val="000558BD"/>
    <w:rsid w:val="00076532"/>
    <w:rsid w:val="000B57E7"/>
    <w:rsid w:val="000B6373"/>
    <w:rsid w:val="000E4E5B"/>
    <w:rsid w:val="000F09DF"/>
    <w:rsid w:val="000F61B2"/>
    <w:rsid w:val="00103BE6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2DE2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3E5B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39CE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02E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3D21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46B75"/>
  <w15:docId w15:val="{C3427CC2-2A5F-4447-BEC6-406E0A3B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B002E9"/>
    <w:rPr>
      <w:lang w:val="ru-RU" w:eastAsia="en-US"/>
    </w:rPr>
  </w:style>
  <w:style w:type="paragraph" w:customStyle="1" w:styleId="ParNoG">
    <w:name w:val="_ParNo_G"/>
    <w:basedOn w:val="a"/>
    <w:qFormat/>
    <w:rsid w:val="00B002E9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ChGChar">
    <w:name w:val="_ H _Ch_G Char"/>
    <w:link w:val="HChG"/>
    <w:rsid w:val="00B002E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46A1C-CE32-49C1-8494-F31AA5BA0631}"/>
</file>

<file path=customXml/itemProps2.xml><?xml version="1.0" encoding="utf-8"?>
<ds:datastoreItem xmlns:ds="http://schemas.openxmlformats.org/officeDocument/2006/customXml" ds:itemID="{B0FA46F0-D7FF-48AD-BAAF-4C475B33F8F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558</Words>
  <Characters>3893</Characters>
  <Application>Microsoft Office Word</Application>
  <DocSecurity>0</DocSecurity>
  <Lines>88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ECE/TRANS/WP.15/2024/5</vt:lpstr>
      <vt:lpstr>A/</vt:lpstr>
      <vt:lpstr>A/</vt:lpstr>
    </vt:vector>
  </TitlesOfParts>
  <Company>DCM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ECE/TRANS/WP.15/2024/5</dc:title>
  <dc:subject/>
  <dc:creator>Ekaterina SALYNSKAYA</dc:creator>
  <cp:keywords/>
  <cp:lastModifiedBy>Ekaterina Salynskaya</cp:lastModifiedBy>
  <cp:revision>3</cp:revision>
  <cp:lastPrinted>2024-02-13T12:30:00Z</cp:lastPrinted>
  <dcterms:created xsi:type="dcterms:W3CDTF">2024-02-13T12:30:00Z</dcterms:created>
  <dcterms:modified xsi:type="dcterms:W3CDTF">2024-02-13T12:30:00Z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