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9391424" w14:textId="77777777" w:rsidTr="00B20551">
        <w:trPr>
          <w:cantSplit/>
          <w:trHeight w:hRule="exact" w:val="851"/>
        </w:trPr>
        <w:tc>
          <w:tcPr>
            <w:tcW w:w="1276" w:type="dxa"/>
            <w:tcBorders>
              <w:bottom w:val="single" w:sz="4" w:space="0" w:color="auto"/>
            </w:tcBorders>
            <w:vAlign w:val="bottom"/>
          </w:tcPr>
          <w:p w14:paraId="6D6BC6DE" w14:textId="77777777" w:rsidR="009E6CB7" w:rsidRDefault="009E6CB7" w:rsidP="00B20551">
            <w:pPr>
              <w:spacing w:after="80"/>
            </w:pPr>
          </w:p>
        </w:tc>
        <w:tc>
          <w:tcPr>
            <w:tcW w:w="2268" w:type="dxa"/>
            <w:tcBorders>
              <w:bottom w:val="single" w:sz="4" w:space="0" w:color="auto"/>
            </w:tcBorders>
            <w:vAlign w:val="bottom"/>
          </w:tcPr>
          <w:p w14:paraId="5AB9174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BED68A" w14:textId="62F5C6E3" w:rsidR="009E6CB7" w:rsidRPr="00D47EEA" w:rsidRDefault="00503BF6" w:rsidP="00503BF6">
            <w:pPr>
              <w:jc w:val="right"/>
            </w:pPr>
            <w:r w:rsidRPr="00503BF6">
              <w:rPr>
                <w:sz w:val="40"/>
              </w:rPr>
              <w:t>ECE</w:t>
            </w:r>
            <w:r>
              <w:t>/TRANS/WP.15/2024/9</w:t>
            </w:r>
          </w:p>
        </w:tc>
      </w:tr>
      <w:tr w:rsidR="009E6CB7" w14:paraId="6D54937D" w14:textId="77777777" w:rsidTr="00B20551">
        <w:trPr>
          <w:cantSplit/>
          <w:trHeight w:hRule="exact" w:val="2835"/>
        </w:trPr>
        <w:tc>
          <w:tcPr>
            <w:tcW w:w="1276" w:type="dxa"/>
            <w:tcBorders>
              <w:top w:val="single" w:sz="4" w:space="0" w:color="auto"/>
              <w:bottom w:val="single" w:sz="12" w:space="0" w:color="auto"/>
            </w:tcBorders>
          </w:tcPr>
          <w:p w14:paraId="1DC6A922" w14:textId="77777777" w:rsidR="009E6CB7" w:rsidRDefault="00686A48" w:rsidP="00B20551">
            <w:pPr>
              <w:spacing w:before="120"/>
            </w:pPr>
            <w:r>
              <w:rPr>
                <w:noProof/>
                <w:lang w:val="fr-CH" w:eastAsia="fr-CH"/>
              </w:rPr>
              <w:drawing>
                <wp:inline distT="0" distB="0" distL="0" distR="0" wp14:anchorId="1F5BDE5F" wp14:editId="226E929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53412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5B08735" w14:textId="77777777" w:rsidR="009E6CB7" w:rsidRDefault="00503BF6" w:rsidP="00503BF6">
            <w:pPr>
              <w:spacing w:before="240" w:line="240" w:lineRule="exact"/>
            </w:pPr>
            <w:r>
              <w:t>Distr.: General</w:t>
            </w:r>
          </w:p>
          <w:p w14:paraId="1A6BA389" w14:textId="417711F1" w:rsidR="00503BF6" w:rsidRDefault="00503BF6" w:rsidP="00503BF6">
            <w:pPr>
              <w:spacing w:line="240" w:lineRule="exact"/>
            </w:pPr>
            <w:r>
              <w:t>1</w:t>
            </w:r>
            <w:r w:rsidR="00D271D3">
              <w:t>9</w:t>
            </w:r>
            <w:r>
              <w:t xml:space="preserve"> January 2024</w:t>
            </w:r>
          </w:p>
          <w:p w14:paraId="372693AC" w14:textId="77777777" w:rsidR="00503BF6" w:rsidRDefault="00503BF6" w:rsidP="00503BF6">
            <w:pPr>
              <w:spacing w:line="240" w:lineRule="exact"/>
            </w:pPr>
          </w:p>
          <w:p w14:paraId="39F7AA7F" w14:textId="5DFC035A" w:rsidR="00503BF6" w:rsidRDefault="00503BF6" w:rsidP="00503BF6">
            <w:pPr>
              <w:spacing w:line="240" w:lineRule="exact"/>
            </w:pPr>
            <w:r>
              <w:t>Original: English</w:t>
            </w:r>
          </w:p>
        </w:tc>
      </w:tr>
    </w:tbl>
    <w:p w14:paraId="1099C873" w14:textId="77777777" w:rsidR="006F373D" w:rsidRDefault="006F373D" w:rsidP="00C411EB">
      <w:pPr>
        <w:spacing w:before="120"/>
        <w:rPr>
          <w:b/>
          <w:sz w:val="28"/>
          <w:szCs w:val="28"/>
        </w:rPr>
      </w:pPr>
      <w:r>
        <w:rPr>
          <w:b/>
          <w:sz w:val="28"/>
          <w:szCs w:val="28"/>
        </w:rPr>
        <w:t>Economic Commission for Europe</w:t>
      </w:r>
    </w:p>
    <w:p w14:paraId="76ABA410" w14:textId="77777777" w:rsidR="006F373D" w:rsidRDefault="006F373D" w:rsidP="00C411EB">
      <w:pPr>
        <w:spacing w:before="120"/>
        <w:rPr>
          <w:sz w:val="28"/>
          <w:szCs w:val="28"/>
        </w:rPr>
      </w:pPr>
      <w:r>
        <w:rPr>
          <w:sz w:val="28"/>
          <w:szCs w:val="28"/>
        </w:rPr>
        <w:t>Inland Transport Committee</w:t>
      </w:r>
    </w:p>
    <w:p w14:paraId="31C1F42C" w14:textId="77777777" w:rsidR="006F373D" w:rsidRPr="001330DE" w:rsidRDefault="006F373D" w:rsidP="00C411EB">
      <w:pPr>
        <w:spacing w:before="120"/>
        <w:rPr>
          <w:b/>
          <w:sz w:val="24"/>
          <w:szCs w:val="24"/>
        </w:rPr>
      </w:pPr>
      <w:r>
        <w:rPr>
          <w:b/>
          <w:sz w:val="24"/>
          <w:szCs w:val="24"/>
        </w:rPr>
        <w:t xml:space="preserve">Working Party on the Transport </w:t>
      </w:r>
      <w:r w:rsidRPr="001330DE">
        <w:rPr>
          <w:b/>
          <w:sz w:val="24"/>
          <w:szCs w:val="24"/>
        </w:rPr>
        <w:t>of Dangerous Goods</w:t>
      </w:r>
    </w:p>
    <w:p w14:paraId="777BD60A" w14:textId="77777777" w:rsidR="00A22C2B" w:rsidRPr="001330DE" w:rsidRDefault="00A22C2B" w:rsidP="00A22C2B">
      <w:pPr>
        <w:spacing w:before="120"/>
        <w:rPr>
          <w:rFonts w:eastAsia="SimSun"/>
          <w:b/>
        </w:rPr>
      </w:pPr>
      <w:r>
        <w:rPr>
          <w:rFonts w:eastAsia="SimSun"/>
          <w:b/>
        </w:rPr>
        <w:t xml:space="preserve">115th </w:t>
      </w:r>
      <w:r w:rsidRPr="001330DE">
        <w:rPr>
          <w:rFonts w:eastAsia="SimSun"/>
          <w:b/>
        </w:rPr>
        <w:t xml:space="preserve">session </w:t>
      </w:r>
    </w:p>
    <w:p w14:paraId="64CF294E" w14:textId="77777777" w:rsidR="00A22C2B" w:rsidRPr="00BA64A8" w:rsidRDefault="00A22C2B" w:rsidP="00A22C2B">
      <w:pPr>
        <w:rPr>
          <w:rFonts w:eastAsia="SimSun"/>
        </w:rPr>
      </w:pPr>
      <w:r w:rsidRPr="00BA64A8">
        <w:rPr>
          <w:rFonts w:eastAsia="SimSun"/>
        </w:rPr>
        <w:t>Geneva,</w:t>
      </w:r>
      <w:r>
        <w:rPr>
          <w:rFonts w:eastAsia="SimSun"/>
        </w:rPr>
        <w:t xml:space="preserve"> 2-5 April 2024</w:t>
      </w:r>
    </w:p>
    <w:p w14:paraId="7A706FEC" w14:textId="5DE1DB0C" w:rsidR="00A22C2B" w:rsidRPr="00C521A6" w:rsidRDefault="00A22C2B" w:rsidP="00A22C2B">
      <w:pPr>
        <w:autoSpaceDE w:val="0"/>
        <w:autoSpaceDN w:val="0"/>
        <w:adjustRightInd w:val="0"/>
      </w:pPr>
      <w:r>
        <w:t xml:space="preserve">Item </w:t>
      </w:r>
      <w:r w:rsidR="006E7434">
        <w:t>9</w:t>
      </w:r>
      <w:r>
        <w:t xml:space="preserve"> of the provisional agenda</w:t>
      </w:r>
    </w:p>
    <w:p w14:paraId="4682A1BA" w14:textId="3CE6B798" w:rsidR="00A22C2B" w:rsidRDefault="006E7434" w:rsidP="00A22C2B">
      <w:pPr>
        <w:rPr>
          <w:b/>
        </w:rPr>
      </w:pPr>
      <w:r>
        <w:rPr>
          <w:b/>
        </w:rPr>
        <w:t>Any other business</w:t>
      </w:r>
    </w:p>
    <w:p w14:paraId="6A628540" w14:textId="42CB7DF9" w:rsidR="00C47591" w:rsidRPr="00846D40" w:rsidRDefault="00846D40" w:rsidP="00846D40">
      <w:pPr>
        <w:pStyle w:val="HChG"/>
      </w:pPr>
      <w:r w:rsidRPr="00846D40">
        <w:tab/>
      </w:r>
      <w:r w:rsidRPr="00846D40">
        <w:tab/>
      </w:r>
      <w:r w:rsidR="00D14AB6">
        <w:t>T</w:t>
      </w:r>
      <w:r w:rsidRPr="00846D40">
        <w:t>erms of reference</w:t>
      </w:r>
      <w:r w:rsidR="00514DC0">
        <w:t xml:space="preserve">, </w:t>
      </w:r>
      <w:r w:rsidRPr="00846D40">
        <w:t xml:space="preserve">rules of procedure </w:t>
      </w:r>
      <w:r w:rsidR="00514DC0">
        <w:t xml:space="preserve">and </w:t>
      </w:r>
      <w:r w:rsidR="00514DC0" w:rsidRPr="00514DC0">
        <w:t>working methods</w:t>
      </w:r>
      <w:r w:rsidR="00514DC0">
        <w:t xml:space="preserve"> </w:t>
      </w:r>
      <w:r w:rsidRPr="00846D40">
        <w:t xml:space="preserve">of the </w:t>
      </w:r>
      <w:r w:rsidR="00D14AB6" w:rsidRPr="00D14AB6">
        <w:t>Working Party on the Transport of Dangerous Goods</w:t>
      </w:r>
      <w:r w:rsidRPr="00846D40">
        <w:t xml:space="preserve"> (</w:t>
      </w:r>
      <w:r w:rsidR="00514DC0" w:rsidRPr="00846D40">
        <w:t>WP</w:t>
      </w:r>
      <w:r w:rsidRPr="00846D40">
        <w:t>.15)</w:t>
      </w:r>
    </w:p>
    <w:p w14:paraId="609ECB61" w14:textId="1E5BDF54" w:rsidR="00C47591" w:rsidRDefault="00C47591" w:rsidP="00C47591">
      <w:pPr>
        <w:pStyle w:val="H1G"/>
        <w:rPr>
          <w:szCs w:val="24"/>
        </w:rPr>
      </w:pPr>
      <w:r>
        <w:tab/>
      </w:r>
      <w:r>
        <w:tab/>
      </w:r>
      <w:r w:rsidR="00D14AB6">
        <w:t>Note by the secretariat</w:t>
      </w:r>
      <w:r w:rsidRPr="00841BF7">
        <w:rPr>
          <w:rStyle w:val="FootnoteReference"/>
          <w:sz w:val="20"/>
        </w:rPr>
        <w:footnoteReference w:customMarkFollows="1" w:id="2"/>
        <w:t>*</w:t>
      </w:r>
    </w:p>
    <w:p w14:paraId="6FC86163" w14:textId="539A489E" w:rsidR="006E7434" w:rsidRDefault="00F944D1" w:rsidP="001A6547">
      <w:pPr>
        <w:pStyle w:val="SingleTxtG"/>
      </w:pPr>
      <w:r>
        <w:t>1.</w:t>
      </w:r>
      <w:r>
        <w:tab/>
      </w:r>
      <w:r w:rsidR="001A6547" w:rsidRPr="001A6547">
        <w:t>The secretariat reproduces below a consolidated text of the draft terms of reference</w:t>
      </w:r>
      <w:r>
        <w:t xml:space="preserve"> (annex I)</w:t>
      </w:r>
      <w:r w:rsidR="008332B5">
        <w:t xml:space="preserve">, </w:t>
      </w:r>
      <w:r w:rsidR="001A6547" w:rsidRPr="001A6547">
        <w:t>rules of procedure</w:t>
      </w:r>
      <w:r>
        <w:t xml:space="preserve"> (annex II)</w:t>
      </w:r>
      <w:r w:rsidR="001A6547" w:rsidRPr="001A6547">
        <w:t xml:space="preserve"> </w:t>
      </w:r>
      <w:r w:rsidR="008332B5">
        <w:t>and working methods</w:t>
      </w:r>
      <w:r>
        <w:t xml:space="preserve"> (annex III)</w:t>
      </w:r>
      <w:r w:rsidR="008332B5">
        <w:t xml:space="preserve"> </w:t>
      </w:r>
      <w:r w:rsidR="001A6547" w:rsidRPr="001A6547">
        <w:t xml:space="preserve">in accordance with the decisions taken at </w:t>
      </w:r>
      <w:r w:rsidR="00791054">
        <w:t>its 109</w:t>
      </w:r>
      <w:r w:rsidR="00791054" w:rsidRPr="00791054">
        <w:rPr>
          <w:vertAlign w:val="superscript"/>
        </w:rPr>
        <w:t>th</w:t>
      </w:r>
      <w:r w:rsidR="00791054">
        <w:t xml:space="preserve"> and 114</w:t>
      </w:r>
      <w:r w:rsidR="00791054" w:rsidRPr="00791054">
        <w:rPr>
          <w:vertAlign w:val="superscript"/>
        </w:rPr>
        <w:t>th</w:t>
      </w:r>
      <w:r w:rsidR="00791054">
        <w:t xml:space="preserve"> </w:t>
      </w:r>
      <w:r w:rsidR="001A6547" w:rsidRPr="001A6547">
        <w:t>session</w:t>
      </w:r>
      <w:r w:rsidR="00BF7389">
        <w:t>s</w:t>
      </w:r>
      <w:r w:rsidR="001A6547" w:rsidRPr="001A6547">
        <w:t xml:space="preserve"> (</w:t>
      </w:r>
      <w:r w:rsidR="00D71F80">
        <w:t xml:space="preserve">ECE/TRANS/WP.15/253, paragraph 58, </w:t>
      </w:r>
      <w:r w:rsidR="001A6547" w:rsidRPr="001A6547">
        <w:t>ECE/TRANS/WP.15/</w:t>
      </w:r>
      <w:r w:rsidR="00E95164">
        <w:t>264</w:t>
      </w:r>
      <w:r w:rsidR="001A6547" w:rsidRPr="001A6547">
        <w:t xml:space="preserve">, paras. </w:t>
      </w:r>
      <w:r w:rsidR="005038DF">
        <w:t>8</w:t>
      </w:r>
      <w:r w:rsidR="001A6547" w:rsidRPr="001A6547">
        <w:t>-</w:t>
      </w:r>
      <w:r w:rsidR="005038DF">
        <w:t>9</w:t>
      </w:r>
      <w:r w:rsidR="001A64A8">
        <w:t>, 72</w:t>
      </w:r>
      <w:r w:rsidR="00ED2499">
        <w:t>, 78</w:t>
      </w:r>
      <w:r w:rsidR="00821891">
        <w:t>, 80-81</w:t>
      </w:r>
      <w:r w:rsidR="005038DF">
        <w:t xml:space="preserve"> and annex I</w:t>
      </w:r>
      <w:r w:rsidR="001A6547" w:rsidRPr="001A6547">
        <w:t>).</w:t>
      </w:r>
    </w:p>
    <w:p w14:paraId="65A7D634" w14:textId="2D3F90D7" w:rsidR="001D5608" w:rsidRDefault="00F944D1" w:rsidP="001A6547">
      <w:pPr>
        <w:pStyle w:val="SingleTxtG"/>
      </w:pPr>
      <w:r>
        <w:t>2.</w:t>
      </w:r>
      <w:r>
        <w:tab/>
      </w:r>
      <w:r w:rsidR="004D5962">
        <w:t xml:space="preserve">The </w:t>
      </w:r>
      <w:r w:rsidR="004E2D26">
        <w:t xml:space="preserve">draft </w:t>
      </w:r>
      <w:r w:rsidR="004818B6" w:rsidRPr="00E54679">
        <w:rPr>
          <w:lang w:val="en-CA"/>
        </w:rPr>
        <w:t>revised terms of reference</w:t>
      </w:r>
      <w:r w:rsidR="004818B6">
        <w:rPr>
          <w:lang w:val="en-CA"/>
        </w:rPr>
        <w:t xml:space="preserve"> in annex I were transmitted </w:t>
      </w:r>
      <w:r w:rsidR="00C442A2" w:rsidRPr="00E54679">
        <w:rPr>
          <w:lang w:val="en-CA"/>
        </w:rPr>
        <w:t>to the Inland Transport Committee at its eighty-sixth session for adoption</w:t>
      </w:r>
      <w:r w:rsidR="00C442A2">
        <w:rPr>
          <w:lang w:val="en-CA"/>
        </w:rPr>
        <w:t>.</w:t>
      </w:r>
    </w:p>
    <w:p w14:paraId="52C6C029" w14:textId="55F12D7E" w:rsidR="00542413" w:rsidRDefault="00F944D1" w:rsidP="001A6547">
      <w:pPr>
        <w:pStyle w:val="SingleTxtG"/>
      </w:pPr>
      <w:r w:rsidRPr="00F62FA7">
        <w:t>3.</w:t>
      </w:r>
      <w:r w:rsidRPr="00F62FA7">
        <w:tab/>
      </w:r>
      <w:r w:rsidR="00F62FA7">
        <w:t>A</w:t>
      </w:r>
      <w:r w:rsidR="00F62FA7" w:rsidRPr="00F62FA7">
        <w:t>t its 109</w:t>
      </w:r>
      <w:r w:rsidR="00F62FA7" w:rsidRPr="00F62FA7">
        <w:rPr>
          <w:vertAlign w:val="superscript"/>
        </w:rPr>
        <w:t>th</w:t>
      </w:r>
      <w:r w:rsidR="00F62FA7" w:rsidRPr="00F62FA7">
        <w:t xml:space="preserve"> session</w:t>
      </w:r>
      <w:r w:rsidR="00F62FA7">
        <w:t xml:space="preserve">, </w:t>
      </w:r>
      <w:r w:rsidR="00DB5745" w:rsidRPr="00F62FA7">
        <w:t xml:space="preserve">the Working Party studied a comparison of </w:t>
      </w:r>
      <w:r w:rsidR="00C46E2A">
        <w:t>its</w:t>
      </w:r>
      <w:r w:rsidR="00DB5745" w:rsidRPr="00F62FA7">
        <w:t xml:space="preserve"> rules of procedure </w:t>
      </w:r>
      <w:r w:rsidR="00715C0D" w:rsidRPr="00F62FA7">
        <w:t>(ECE/TRANS/WP.15/190/Add.1)</w:t>
      </w:r>
      <w:r w:rsidR="00DB5745" w:rsidRPr="00F62FA7">
        <w:t xml:space="preserve"> and those adopted by ITC (ECE/TRANS/WP.15/2021/2). </w:t>
      </w:r>
      <w:r w:rsidR="00715C0D" w:rsidRPr="00F62FA7">
        <w:t>The Working Party</w:t>
      </w:r>
      <w:r w:rsidR="00DB5745" w:rsidRPr="00F62FA7">
        <w:t xml:space="preserve"> concluded that there was no need to amend its </w:t>
      </w:r>
      <w:r w:rsidR="00F62FA7" w:rsidRPr="00F62FA7">
        <w:t xml:space="preserve">rules of procedure </w:t>
      </w:r>
      <w:r w:rsidR="00DB5745" w:rsidRPr="00F62FA7">
        <w:t xml:space="preserve">immediately. </w:t>
      </w:r>
      <w:r w:rsidR="0024591C" w:rsidRPr="00F62FA7">
        <w:t xml:space="preserve">The rules of procedure </w:t>
      </w:r>
      <w:r w:rsidR="00A40A56" w:rsidRPr="00F62FA7">
        <w:t xml:space="preserve">reproduced </w:t>
      </w:r>
      <w:r w:rsidR="0024591C" w:rsidRPr="00F62FA7">
        <w:t xml:space="preserve">in </w:t>
      </w:r>
      <w:r w:rsidR="00A40A56" w:rsidRPr="00F62FA7">
        <w:t>a</w:t>
      </w:r>
      <w:r w:rsidR="0024591C" w:rsidRPr="00F62FA7">
        <w:t>nnex II are those already contained in ECE/TRANS/WP.15/190/Add.1</w:t>
      </w:r>
      <w:r w:rsidR="00715C0D" w:rsidRPr="00F62FA7">
        <w:t xml:space="preserve"> </w:t>
      </w:r>
      <w:r w:rsidR="0024591C" w:rsidRPr="00F62FA7">
        <w:t xml:space="preserve">with editorial modifications and </w:t>
      </w:r>
      <w:r w:rsidR="00BE50A4" w:rsidRPr="00F62FA7">
        <w:t>updated cross-references as necessary</w:t>
      </w:r>
      <w:r w:rsidR="0024591C" w:rsidRPr="00F62FA7">
        <w:t>.</w:t>
      </w:r>
    </w:p>
    <w:p w14:paraId="5BEDC80F" w14:textId="24CBAC60" w:rsidR="00E275CD" w:rsidRDefault="00F944D1" w:rsidP="001A6547">
      <w:pPr>
        <w:pStyle w:val="SingleTxtG"/>
      </w:pPr>
      <w:r>
        <w:t>4.</w:t>
      </w:r>
      <w:r>
        <w:tab/>
      </w:r>
      <w:r w:rsidR="00A40A56" w:rsidRPr="00A40A56">
        <w:t>The rules for informal documents in the annex to these rules of procedure have been updated to reflect the decision made by the Working Party at its 114th session.</w:t>
      </w:r>
    </w:p>
    <w:p w14:paraId="4B18DEAE" w14:textId="15513434" w:rsidR="00336D3E" w:rsidRDefault="003C189E" w:rsidP="00B76D55">
      <w:pPr>
        <w:pStyle w:val="SingleTxtG"/>
        <w:rPr>
          <w:rFonts w:eastAsia="SimSun"/>
          <w:lang w:eastAsia="zh-CN"/>
        </w:rPr>
      </w:pPr>
      <w:r>
        <w:t>5.</w:t>
      </w:r>
      <w:r>
        <w:tab/>
      </w:r>
      <w:r w:rsidR="00A54FA4" w:rsidRPr="00A54FA4">
        <w:t xml:space="preserve">The rules for submitting official documents have been updated in the appendix to these rules of procedure. This update reflects the decision of the Working Party, at its 114th session, to </w:t>
      </w:r>
      <w:r w:rsidR="00A54FA4">
        <w:t>invite</w:t>
      </w:r>
      <w:r w:rsidR="00A54FA4" w:rsidRPr="00A54FA4">
        <w:t xml:space="preserve"> delegations to indicate any link to the Sustainable Development Goals (SDGs) and the circular economy in the justification section when submitting proposals.</w:t>
      </w:r>
    </w:p>
    <w:p w14:paraId="683B6BCC" w14:textId="358A4BCF" w:rsidR="00A54FA4" w:rsidRDefault="00A54FA4" w:rsidP="00B76D55">
      <w:pPr>
        <w:pStyle w:val="SingleTxtG"/>
      </w:pPr>
    </w:p>
    <w:p w14:paraId="20A5AED0" w14:textId="77777777" w:rsidR="00735835" w:rsidRDefault="00735835">
      <w:pPr>
        <w:rPr>
          <w:b/>
          <w:sz w:val="28"/>
        </w:rPr>
      </w:pPr>
      <w:r>
        <w:br w:type="page"/>
      </w:r>
    </w:p>
    <w:p w14:paraId="08861D1D" w14:textId="77777777" w:rsidR="005529BB" w:rsidRDefault="005529BB" w:rsidP="00F679B7">
      <w:pPr>
        <w:pStyle w:val="HChG"/>
      </w:pPr>
      <w:r>
        <w:lastRenderedPageBreak/>
        <w:t xml:space="preserve">Annex </w:t>
      </w:r>
      <w:r w:rsidR="00497BA5">
        <w:t>I</w:t>
      </w:r>
    </w:p>
    <w:p w14:paraId="5E6C3D62" w14:textId="03950FA7" w:rsidR="00F679B7" w:rsidRDefault="00497BA5" w:rsidP="00F679B7">
      <w:pPr>
        <w:pStyle w:val="HChG"/>
      </w:pPr>
      <w:r>
        <w:tab/>
      </w:r>
      <w:r w:rsidR="00F679B7" w:rsidRPr="00DF5ACD">
        <w:tab/>
      </w:r>
      <w:r w:rsidR="00882320">
        <w:t>Draft t</w:t>
      </w:r>
      <w:r w:rsidR="00F679B7">
        <w:t>erms of reference</w:t>
      </w:r>
    </w:p>
    <w:p w14:paraId="60B03C73" w14:textId="77777777" w:rsidR="00071DEC" w:rsidRDefault="00071DEC" w:rsidP="00071DEC">
      <w:pPr>
        <w:pStyle w:val="SingleTxtG"/>
      </w:pPr>
      <w:r>
        <w:t>1.</w:t>
      </w:r>
      <w:r>
        <w:tab/>
        <w:t xml:space="preserve">The Working Party </w:t>
      </w:r>
      <w:r>
        <w:rPr>
          <w:lang w:eastAsia="zh-CN"/>
        </w:rPr>
        <w:t xml:space="preserve">on the Transport of Dangerous Goods (hereinafter referred to as WP.15) </w:t>
      </w:r>
      <w:r>
        <w:t xml:space="preserve">will act within the framework of the policies of the United Nations and the Economic Commission for Europe (hereafter ECE) and under the general supervision of its parent body, the Inland Transport Committee (hereafter ITC) and in conformity with the Terms of Reference of ECE (E/ECE/778/Rev.5) and ITC (E/RES/2022/2 and ECE/TRANS/316/Add.2). </w:t>
      </w:r>
    </w:p>
    <w:p w14:paraId="640C044F" w14:textId="77777777" w:rsidR="00071DEC" w:rsidRDefault="00071DEC" w:rsidP="00071DEC">
      <w:pPr>
        <w:pStyle w:val="SingleTxtG"/>
      </w:pPr>
      <w:r>
        <w:t>2.</w:t>
      </w:r>
      <w:r>
        <w:tab/>
        <w:t>WP.15 will operate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p w14:paraId="3C0E3732" w14:textId="77777777" w:rsidR="00071DEC" w:rsidRDefault="00071DEC" w:rsidP="00071DEC">
      <w:pPr>
        <w:pStyle w:val="SingleTxtG"/>
      </w:pPr>
      <w:r>
        <w:t>3.</w:t>
      </w:r>
      <w:r>
        <w:tab/>
        <w:t>WP.15 will:</w:t>
      </w:r>
    </w:p>
    <w:p w14:paraId="0868539B" w14:textId="77777777" w:rsidR="00071DEC" w:rsidRDefault="00071DEC" w:rsidP="00071DEC">
      <w:pPr>
        <w:pStyle w:val="SingleTxtG"/>
        <w:rPr>
          <w:lang w:eastAsia="zh-CN"/>
        </w:rPr>
      </w:pPr>
      <w:r>
        <w:rPr>
          <w:lang w:eastAsia="zh-CN"/>
        </w:rPr>
        <w:t>(a)</w:t>
      </w:r>
      <w:r>
        <w:rPr>
          <w:lang w:eastAsia="zh-CN"/>
        </w:rPr>
        <w:tab/>
        <w:t xml:space="preserve">Develop and update the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administering; </w:t>
      </w:r>
    </w:p>
    <w:p w14:paraId="255C1E01" w14:textId="77777777" w:rsidR="00071DEC" w:rsidRDefault="00071DEC" w:rsidP="00071DEC">
      <w:pPr>
        <w:pStyle w:val="SingleTxtG"/>
        <w:rPr>
          <w:lang w:eastAsia="zh-CN"/>
        </w:rPr>
      </w:pPr>
      <w:r>
        <w:rPr>
          <w:lang w:eastAsia="zh-CN"/>
        </w:rPr>
        <w:t>(b)</w:t>
      </w:r>
      <w:r>
        <w:rPr>
          <w:lang w:eastAsia="zh-CN"/>
        </w:rPr>
        <w:tab/>
        <w:t>Initiate and pursue actions aimed at enhancing the safety and security of the inland transport of dangerous goods and protecting the environment during such transport, including the development of</w:t>
      </w:r>
      <w:r w:rsidRPr="00FC5927">
        <w:rPr>
          <w:lang w:eastAsia="zh-CN"/>
        </w:rPr>
        <w:t xml:space="preserve"> standards, recommended practices and guidance material</w:t>
      </w:r>
      <w:r>
        <w:rPr>
          <w:lang w:eastAsia="zh-CN"/>
        </w:rPr>
        <w:t xml:space="preserve"> for transports not falling within the scope of RID, ADR and ADN;</w:t>
      </w:r>
    </w:p>
    <w:p w14:paraId="59F7C4C8" w14:textId="77777777" w:rsidR="00071DEC" w:rsidRDefault="00071DEC" w:rsidP="00071DEC">
      <w:pPr>
        <w:pStyle w:val="SingleTxtG"/>
        <w:rPr>
          <w:lang w:eastAsia="zh-CN"/>
        </w:rPr>
      </w:pPr>
      <w:r>
        <w:rPr>
          <w:lang w:eastAsia="zh-CN"/>
        </w:rPr>
        <w:t>(c)</w:t>
      </w:r>
      <w:r>
        <w:rPr>
          <w:lang w:eastAsia="zh-CN"/>
        </w:rPr>
        <w:tab/>
        <w:t>Promote the facilitation of international transport of dangerous goods by harmonizing the relevant regulations and rules and the administrative procedures and documentation requirements to which this transport is subject;</w:t>
      </w:r>
    </w:p>
    <w:p w14:paraId="1145243F" w14:textId="77777777" w:rsidR="00071DEC" w:rsidRDefault="00071DEC" w:rsidP="00071DEC">
      <w:pPr>
        <w:pStyle w:val="SingleTxtG"/>
        <w:rPr>
          <w:lang w:eastAsia="zh-CN"/>
        </w:rPr>
      </w:pPr>
      <w:r>
        <w:rPr>
          <w:lang w:eastAsia="zh-CN"/>
        </w:rPr>
        <w:t>(d)</w:t>
      </w:r>
      <w:r>
        <w:rPr>
          <w:lang w:eastAsia="zh-CN"/>
        </w:rPr>
        <w:tab/>
        <w:t>Encourage the accession of new countries to the Agreements mentioned above;</w:t>
      </w:r>
    </w:p>
    <w:p w14:paraId="248C3478" w14:textId="77777777" w:rsidR="00071DEC" w:rsidRDefault="00071DEC" w:rsidP="00071DEC">
      <w:pPr>
        <w:pStyle w:val="SingleTxtG"/>
        <w:rPr>
          <w:lang w:eastAsia="zh-CN"/>
        </w:rPr>
      </w:pPr>
      <w:r>
        <w:rPr>
          <w:lang w:eastAsia="zh-CN"/>
        </w:rPr>
        <w:t>(e)</w:t>
      </w:r>
      <w:r>
        <w:rPr>
          <w:lang w:eastAsia="zh-CN"/>
        </w:rPr>
        <w:tab/>
        <w:t>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Council;</w:t>
      </w:r>
    </w:p>
    <w:p w14:paraId="31C5A02F" w14:textId="77777777" w:rsidR="00071DEC" w:rsidRDefault="00071DEC" w:rsidP="00071DEC">
      <w:pPr>
        <w:pStyle w:val="SingleTxtG"/>
        <w:rPr>
          <w:lang w:eastAsia="zh-CN"/>
        </w:rPr>
      </w:pPr>
      <w:r>
        <w:rPr>
          <w:lang w:eastAsia="zh-CN"/>
        </w:rPr>
        <w:t>(f)</w:t>
      </w:r>
      <w:r>
        <w:rPr>
          <w:lang w:eastAsia="zh-CN"/>
        </w:rPr>
        <w:tab/>
        <w:t>Encourage participation in its activities by fostering cooperation and collaboration with countries, the European Commission, international governmental and non-governmental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p w14:paraId="059EF495" w14:textId="77777777" w:rsidR="00071DEC" w:rsidRDefault="00071DEC" w:rsidP="00071DEC">
      <w:pPr>
        <w:pStyle w:val="SingleTxtG"/>
        <w:rPr>
          <w:lang w:eastAsia="zh-CN"/>
        </w:rPr>
      </w:pPr>
      <w:r>
        <w:rPr>
          <w:lang w:eastAsia="zh-CN"/>
        </w:rPr>
        <w:t>(g)</w:t>
      </w:r>
      <w:r>
        <w:rPr>
          <w:lang w:eastAsia="zh-CN"/>
        </w:rPr>
        <w:tab/>
        <w:t xml:space="preserve">Collaborate closely with the other subsidiary bodies of ITC, particularly the World Forum for Harmonization of Vehicle Regulations (WP.29), the Working Party on Road Transport (SC.1), the Working Party on Road Traffic Safety (WP.1), the Working Party on Inland Water Transport (SC.3), the Working Party on Transport Statistics (WP.6), </w:t>
      </w:r>
      <w:r w:rsidRPr="00C66524">
        <w:rPr>
          <w:lang w:eastAsia="zh-CN"/>
        </w:rPr>
        <w:t>Working Party on Intermodal Transport and Logistics</w:t>
      </w:r>
      <w:r>
        <w:rPr>
          <w:lang w:eastAsia="zh-CN"/>
        </w:rPr>
        <w:t xml:space="preserve"> (WP.24) and any other relevant ECE body on matters of common interest relating to the transport of dangerous goods;</w:t>
      </w:r>
    </w:p>
    <w:p w14:paraId="3E19B2E0" w14:textId="77777777" w:rsidR="00071DEC" w:rsidRDefault="00071DEC" w:rsidP="00071DEC">
      <w:pPr>
        <w:pStyle w:val="SingleTxtG"/>
        <w:rPr>
          <w:lang w:eastAsia="zh-CN"/>
        </w:rPr>
      </w:pPr>
      <w:r>
        <w:rPr>
          <w:lang w:eastAsia="zh-CN"/>
        </w:rPr>
        <w:t>(h)</w:t>
      </w:r>
      <w:r>
        <w:rPr>
          <w:lang w:eastAsia="zh-CN"/>
        </w:rPr>
        <w:tab/>
        <w:t>Draw up and implement a programme of work relating to its activities;</w:t>
      </w:r>
    </w:p>
    <w:p w14:paraId="7AEFFE6F" w14:textId="77777777" w:rsidR="00071DEC" w:rsidRDefault="00071DEC" w:rsidP="00071DEC">
      <w:pPr>
        <w:pStyle w:val="SingleTxtG"/>
        <w:rPr>
          <w:lang w:eastAsia="zh-CN"/>
        </w:rPr>
      </w:pPr>
      <w:r>
        <w:rPr>
          <w:lang w:eastAsia="zh-CN"/>
        </w:rPr>
        <w:t>(i)</w:t>
      </w:r>
      <w:r>
        <w:rPr>
          <w:lang w:eastAsia="zh-CN"/>
        </w:rPr>
        <w:tab/>
        <w:t>Create a working environment that facilitates fulfilment by the Contracting Parties of the obligations set forth in the legal instruments concerned by the activities of the Working Party, and an exchange of views on the interpretation of these instruments or the resolution of problems connected with their enforcement;</w:t>
      </w:r>
    </w:p>
    <w:p w14:paraId="6400D7F7" w14:textId="77777777" w:rsidR="00071DEC" w:rsidRDefault="00071DEC" w:rsidP="00071DEC">
      <w:pPr>
        <w:pStyle w:val="SingleTxtG"/>
        <w:rPr>
          <w:lang w:eastAsia="zh-CN"/>
        </w:rPr>
      </w:pPr>
      <w:r>
        <w:rPr>
          <w:lang w:eastAsia="zh-CN"/>
        </w:rPr>
        <w:lastRenderedPageBreak/>
        <w:t>(j)</w:t>
      </w:r>
      <w:r>
        <w:rPr>
          <w:lang w:eastAsia="zh-CN"/>
        </w:rPr>
        <w:tab/>
        <w:t>Ensure openness and transparency during its meetings.</w:t>
      </w:r>
    </w:p>
    <w:p w14:paraId="0F6A1173" w14:textId="7799E636" w:rsidR="00071DEC" w:rsidRDefault="00071DEC" w:rsidP="00071DEC">
      <w:pPr>
        <w:pStyle w:val="SingleTxtG"/>
        <w:rPr>
          <w:lang w:eastAsia="zh-CN"/>
        </w:rPr>
      </w:pPr>
      <w:r>
        <w:rPr>
          <w:lang w:eastAsia="zh-CN"/>
        </w:rPr>
        <w:t>4.</w:t>
      </w:r>
      <w:r>
        <w:rPr>
          <w:lang w:eastAsia="zh-CN"/>
        </w:rPr>
        <w:tab/>
        <w:t xml:space="preserve">These </w:t>
      </w:r>
      <w:r w:rsidR="006E42BF">
        <w:rPr>
          <w:lang w:eastAsia="zh-CN"/>
        </w:rPr>
        <w:t xml:space="preserve">terms </w:t>
      </w:r>
      <w:r>
        <w:rPr>
          <w:lang w:eastAsia="zh-CN"/>
        </w:rPr>
        <w:t xml:space="preserve">of </w:t>
      </w:r>
      <w:r w:rsidR="006E42BF">
        <w:rPr>
          <w:lang w:eastAsia="zh-CN"/>
        </w:rPr>
        <w:t xml:space="preserve">reference </w:t>
      </w:r>
      <w:r>
        <w:rPr>
          <w:lang w:eastAsia="zh-CN"/>
        </w:rPr>
        <w:t xml:space="preserve">and the </w:t>
      </w:r>
      <w:r w:rsidR="00C46E2A">
        <w:rPr>
          <w:lang w:eastAsia="zh-CN"/>
        </w:rPr>
        <w:t>r</w:t>
      </w:r>
      <w:r>
        <w:rPr>
          <w:lang w:eastAsia="zh-CN"/>
        </w:rPr>
        <w:t xml:space="preserve">ules of </w:t>
      </w:r>
      <w:r w:rsidR="00C46E2A">
        <w:rPr>
          <w:lang w:eastAsia="zh-CN"/>
        </w:rPr>
        <w:t>p</w:t>
      </w:r>
      <w:r>
        <w:rPr>
          <w:lang w:eastAsia="zh-CN"/>
        </w:rPr>
        <w:t>rocedure apply to WP.15 and do not modify the provisions of the relevant legal instruments.</w:t>
      </w:r>
    </w:p>
    <w:p w14:paraId="4378A8BC" w14:textId="77777777" w:rsidR="00735835" w:rsidRDefault="00735835">
      <w:pPr>
        <w:rPr>
          <w:b/>
          <w:sz w:val="28"/>
        </w:rPr>
      </w:pPr>
      <w:r>
        <w:br w:type="page"/>
      </w:r>
    </w:p>
    <w:p w14:paraId="349186B3" w14:textId="77777777" w:rsidR="005529BB" w:rsidRDefault="005529BB" w:rsidP="00E30D9F">
      <w:pPr>
        <w:pStyle w:val="HChG"/>
      </w:pPr>
      <w:r>
        <w:lastRenderedPageBreak/>
        <w:t xml:space="preserve">Annex </w:t>
      </w:r>
      <w:r w:rsidR="00E30D9F">
        <w:t>II</w:t>
      </w:r>
    </w:p>
    <w:p w14:paraId="309AD1E8" w14:textId="4F95F6CC" w:rsidR="008B42B3" w:rsidRDefault="005529BB" w:rsidP="00E30D9F">
      <w:pPr>
        <w:pStyle w:val="HChG"/>
      </w:pPr>
      <w:r>
        <w:tab/>
      </w:r>
      <w:r w:rsidR="00E30D9F">
        <w:tab/>
      </w:r>
      <w:r w:rsidR="00000C75">
        <w:t xml:space="preserve">Rules of procedure of the Working </w:t>
      </w:r>
      <w:r w:rsidR="00E30D9F">
        <w:t>P</w:t>
      </w:r>
      <w:r w:rsidR="00000C75">
        <w:t>arty</w:t>
      </w:r>
      <w:r w:rsidR="00E30D9F">
        <w:t xml:space="preserve"> </w:t>
      </w:r>
      <w:r w:rsidR="00000C75">
        <w:t>on the Transport of Dangerous Goods</w:t>
      </w:r>
      <w:r w:rsidR="00F175D3">
        <w:t xml:space="preserve"> (WP.15)</w:t>
      </w:r>
    </w:p>
    <w:p w14:paraId="369B219E" w14:textId="218BAB70" w:rsidR="0007036D" w:rsidRDefault="0007036D" w:rsidP="0007036D">
      <w:pPr>
        <w:pStyle w:val="H1G"/>
      </w:pPr>
      <w:r>
        <w:tab/>
      </w:r>
      <w:r>
        <w:tab/>
      </w:r>
      <w:r w:rsidR="001A76A0">
        <w:t xml:space="preserve">Chapter </w:t>
      </w:r>
      <w:r>
        <w:t xml:space="preserve">I - </w:t>
      </w:r>
      <w:r w:rsidR="001A76A0">
        <w:t>Participation</w:t>
      </w:r>
    </w:p>
    <w:p w14:paraId="69F9450B" w14:textId="22F26260" w:rsidR="0007036D" w:rsidRDefault="0007036D" w:rsidP="0007036D">
      <w:pPr>
        <w:pStyle w:val="H23G"/>
      </w:pPr>
      <w:r>
        <w:tab/>
      </w:r>
      <w:r>
        <w:tab/>
        <w:t>Rule 1</w:t>
      </w:r>
    </w:p>
    <w:p w14:paraId="233A007A" w14:textId="77777777" w:rsidR="009F1AC6" w:rsidRDefault="009F1AC6" w:rsidP="009F1AC6">
      <w:pPr>
        <w:pStyle w:val="SingleTxtG"/>
      </w:pPr>
      <w:r>
        <w:t>(a)</w:t>
      </w:r>
      <w:r>
        <w:tab/>
        <w:t>Member countries of ECE shall be considered full participants of WP.15.</w:t>
      </w:r>
    </w:p>
    <w:p w14:paraId="79F71273" w14:textId="1A4AC569" w:rsidR="00325145" w:rsidRDefault="00325145" w:rsidP="00325145">
      <w:pPr>
        <w:pStyle w:val="SingleTxtG"/>
      </w:pPr>
      <w:r>
        <w:t>(b)</w:t>
      </w:r>
      <w:r>
        <w:tab/>
        <w:t>Non</w:t>
      </w:r>
      <w:r>
        <w:noBreakHyphen/>
        <w:t>member countries of ECE as defined in paragraph 11</w:t>
      </w:r>
      <w:r w:rsidR="001625E2">
        <w:rPr>
          <w:rStyle w:val="FootnoteReference"/>
        </w:rPr>
        <w:footnoteReference w:id="3"/>
      </w:r>
      <w:r>
        <w:t xml:space="preserve"> of the Terms of Reference of ECE may participate in a consultative capacity in WP.15 on any matter of particular concern to them.  These countries may however participate as full members at sessions of WP.15 devoted to matters relating to a legal instrument to which they are Contracting Parties. </w:t>
      </w:r>
    </w:p>
    <w:p w14:paraId="07FB252E" w14:textId="616D5E73" w:rsidR="00325145" w:rsidRDefault="00325145" w:rsidP="00325145">
      <w:pPr>
        <w:pStyle w:val="SingleTxtG"/>
      </w:pPr>
      <w:r>
        <w:t>(c)</w:t>
      </w:r>
      <w:r>
        <w:tab/>
        <w:t>Specialized agencies, intergovernmental organizations and non</w:t>
      </w:r>
      <w:r>
        <w:noBreakHyphen/>
        <w:t>governmental organizations in consultative status with the Economic and Social Council, may, in accordance with paragraphs 12</w:t>
      </w:r>
      <w:r w:rsidR="001625E2">
        <w:rPr>
          <w:rStyle w:val="FootnoteReference"/>
        </w:rPr>
        <w:footnoteReference w:id="4"/>
      </w:r>
      <w:r>
        <w:rPr>
          <w:bCs/>
          <w:sz w:val="16"/>
        </w:rPr>
        <w:t xml:space="preserve"> </w:t>
      </w:r>
      <w:r>
        <w:t>and 13</w:t>
      </w:r>
      <w:r w:rsidR="001625E2">
        <w:rPr>
          <w:rStyle w:val="FootnoteReference"/>
        </w:rPr>
        <w:footnoteReference w:id="5"/>
      </w:r>
      <w:r>
        <w:t xml:space="preserve"> of the Terms of Reference of ECE, participate in a consultative capacity in WP.15 in discussions that WP.15 may hold on any matter of particular concern to those agencies or organizations.</w:t>
      </w:r>
    </w:p>
    <w:p w14:paraId="23E16100" w14:textId="77777777" w:rsidR="00325145" w:rsidRDefault="00325145" w:rsidP="00325145">
      <w:pPr>
        <w:pStyle w:val="SingleTxtG"/>
      </w:pPr>
      <w:r>
        <w:t>(d)</w:t>
      </w:r>
      <w:r>
        <w:tab/>
        <w:t>Non</w:t>
      </w:r>
      <w:r>
        <w:noBreakHyphen/>
        <w:t>governmental organizations not in consultative status with the Economic and Social Council may, subject to the approval of WP.15 and respecting the principles set forth in Economic and Social Council resolution 1996/31, parts I and II, participate with consultative status in discussions that WP.15 may hold on any matter of interest to these organizations.</w:t>
      </w:r>
    </w:p>
    <w:p w14:paraId="415624B1" w14:textId="2D309CAB" w:rsidR="00325145" w:rsidRDefault="00325145" w:rsidP="00325145">
      <w:pPr>
        <w:pStyle w:val="SingleTxtG"/>
      </w:pPr>
      <w:r>
        <w:t>(e)</w:t>
      </w:r>
      <w:r>
        <w:tab/>
        <w:t>Consultations with specialized agencies and the International Atomic Energy Agency (IAEA) shall be conducted in accordance with Rule 51 of the Rules of Procedure of ECE.</w:t>
      </w:r>
    </w:p>
    <w:p w14:paraId="0F72164D" w14:textId="7B15F885" w:rsidR="00325145" w:rsidRDefault="00325145" w:rsidP="00325145">
      <w:pPr>
        <w:pStyle w:val="SingleTxtG"/>
      </w:pPr>
      <w:r>
        <w:t>(f)</w:t>
      </w:r>
      <w:r>
        <w:tab/>
        <w:t>Consultations with non</w:t>
      </w:r>
      <w:r>
        <w:noBreakHyphen/>
        <w:t>governmental organizations shall be conducted in accordance with Rules 52 and 53 of the Rules of Procedure of ECE. Non</w:t>
      </w:r>
      <w:r>
        <w:noBreakHyphen/>
        <w:t>governmental organizations with consultative status under paragraph (d) shall be treated as non</w:t>
      </w:r>
      <w:r>
        <w:noBreakHyphen/>
        <w:t>governmental organizations included on the list.</w:t>
      </w:r>
    </w:p>
    <w:p w14:paraId="74E38E66" w14:textId="6C48ACDC" w:rsidR="00CC632F" w:rsidRDefault="00CC632F" w:rsidP="00CC632F">
      <w:pPr>
        <w:pStyle w:val="H1G"/>
      </w:pPr>
      <w:r>
        <w:tab/>
      </w:r>
      <w:r>
        <w:tab/>
      </w:r>
      <w:r w:rsidR="001A76A0">
        <w:t xml:space="preserve">Chapter </w:t>
      </w:r>
      <w:r>
        <w:t xml:space="preserve">II - </w:t>
      </w:r>
      <w:r w:rsidR="001A76A0">
        <w:t>Sessions</w:t>
      </w:r>
    </w:p>
    <w:p w14:paraId="3A864CAE" w14:textId="6CD2B6D5" w:rsidR="00B32D22" w:rsidRDefault="00B32D22" w:rsidP="00B32D22">
      <w:pPr>
        <w:pStyle w:val="H23G"/>
      </w:pPr>
      <w:r>
        <w:tab/>
      </w:r>
      <w:r>
        <w:tab/>
        <w:t xml:space="preserve">Rule </w:t>
      </w:r>
      <w:r w:rsidR="003E0A05">
        <w:t>2</w:t>
      </w:r>
    </w:p>
    <w:p w14:paraId="738C70E3" w14:textId="5B95B267" w:rsidR="006B3AA3" w:rsidRDefault="006B3AA3" w:rsidP="006B3AA3">
      <w:pPr>
        <w:pStyle w:val="SingleTxtG"/>
      </w:pPr>
      <w:r>
        <w:t>Sessions shall be held on dates fixed by the ECE secretariat in accordance with the programme of work.</w:t>
      </w:r>
    </w:p>
    <w:p w14:paraId="46064D7E" w14:textId="4B8628E9" w:rsidR="006B3AA3" w:rsidRDefault="006B3AA3" w:rsidP="006B3AA3">
      <w:pPr>
        <w:pStyle w:val="H23G"/>
      </w:pPr>
      <w:r>
        <w:tab/>
      </w:r>
      <w:r>
        <w:tab/>
        <w:t>Rule 3</w:t>
      </w:r>
    </w:p>
    <w:p w14:paraId="5A551FC2" w14:textId="77777777" w:rsidR="006B3AA3" w:rsidRDefault="006B3AA3" w:rsidP="006B3AA3">
      <w:pPr>
        <w:pStyle w:val="SingleTxtG"/>
      </w:pPr>
      <w:r>
        <w:t xml:space="preserve">Sessions shall ordinarily be held at the United Nations Office at </w:t>
      </w:r>
      <w:smartTag w:uri="urn:schemas-microsoft-com:office:smarttags" w:element="place">
        <w:smartTag w:uri="urn:schemas-microsoft-com:office:smarttags" w:element="City">
          <w:r>
            <w:t>Geneva</w:t>
          </w:r>
        </w:smartTag>
      </w:smartTag>
      <w:r>
        <w:t>.  If WP.15 decides to hold a particular session elsewhere, the relevant United Nations rules and regulations shall apply.</w:t>
      </w:r>
    </w:p>
    <w:p w14:paraId="3FA9EB08" w14:textId="04F3BB80" w:rsidR="006B3AA3" w:rsidRDefault="006B3AA3" w:rsidP="006B3AA3">
      <w:pPr>
        <w:pStyle w:val="H23G"/>
      </w:pPr>
      <w:r>
        <w:lastRenderedPageBreak/>
        <w:tab/>
      </w:r>
      <w:r>
        <w:tab/>
        <w:t>Rule 4</w:t>
      </w:r>
    </w:p>
    <w:p w14:paraId="7C381DA3" w14:textId="702ECBEA" w:rsidR="006B3AA3" w:rsidRDefault="006B3AA3" w:rsidP="006B3AA3">
      <w:pPr>
        <w:pStyle w:val="SingleTxtG"/>
        <w:rPr>
          <w:sz w:val="16"/>
        </w:rPr>
      </w:pPr>
      <w:r>
        <w:t>(a)</w:t>
      </w:r>
      <w:r>
        <w:tab/>
        <w:t>The secretariat shall, at least twelve (12) weeks before the commencement of a session, announce the opening date of the session and distribute a copy of the provisional agenda via the ECE website</w:t>
      </w:r>
      <w:r>
        <w:rPr>
          <w:rStyle w:val="FootnoteReference"/>
        </w:rPr>
        <w:footnoteReference w:id="6"/>
      </w:r>
      <w:r>
        <w:t>.</w:t>
      </w:r>
    </w:p>
    <w:p w14:paraId="0FD5E5C9" w14:textId="4E51BED4" w:rsidR="006B3AA3" w:rsidRDefault="006B3AA3" w:rsidP="006B3AA3">
      <w:pPr>
        <w:pStyle w:val="SingleTxtG"/>
      </w:pPr>
      <w:r>
        <w:t>(b)</w:t>
      </w:r>
      <w:r>
        <w:tab/>
        <w:t>The basic documents prepared by participants must be submitted to the secretariat in electronic form at least twelve (12) weeks before the commencement of a session, in accordance with the procedures and rules contained in the Annex.</w:t>
      </w:r>
    </w:p>
    <w:p w14:paraId="0B881208" w14:textId="351BAE0F" w:rsidR="006B3AA3" w:rsidRDefault="006B3AA3" w:rsidP="00AF2321">
      <w:pPr>
        <w:pStyle w:val="SingleTxtG"/>
      </w:pPr>
      <w:r>
        <w:t>(c)</w:t>
      </w:r>
      <w:r>
        <w:tab/>
        <w:t>The basic documents relating to each item on the agenda of a session shall be available on the ECE website</w:t>
      </w:r>
      <w:r w:rsidRPr="00AF2321">
        <w:rPr>
          <w:vertAlign w:val="superscript"/>
        </w:rPr>
        <w:t>4</w:t>
      </w:r>
      <w:r>
        <w:t xml:space="preserve"> in all official languages of ECE before the session at the latest forty-two days before the opening of the session; however, in exceptional cases, translated texts may be made available on this site twenty-one days before the opening of the session.</w:t>
      </w:r>
    </w:p>
    <w:p w14:paraId="72D91556" w14:textId="77777777" w:rsidR="006B3AA3" w:rsidRDefault="006B3AA3" w:rsidP="006B3AA3">
      <w:pPr>
        <w:pStyle w:val="SingleTxtG"/>
      </w:pPr>
      <w:r>
        <w:t>(d)</w:t>
      </w:r>
      <w:r>
        <w:tab/>
        <w:t>In exceptional cases, the secretariat may distribute basic documents at the session, but in this case such documents may be used only for preliminary consideration unless WP.15 decides otherwise.</w:t>
      </w:r>
    </w:p>
    <w:p w14:paraId="65F36920" w14:textId="01F14E78" w:rsidR="006B3AA3" w:rsidRDefault="006B3AA3" w:rsidP="006B3AA3">
      <w:pPr>
        <w:pStyle w:val="SingleTxtG"/>
      </w:pPr>
      <w:r>
        <w:t>(e)</w:t>
      </w:r>
      <w:r>
        <w:tab/>
        <w:t xml:space="preserve">Any participant, as well as the secretariat, may also submit informal documents, provided the procedures and rules </w:t>
      </w:r>
      <w:r w:rsidRPr="00FB60AA">
        <w:t xml:space="preserve">in </w:t>
      </w:r>
      <w:r w:rsidR="00AF2321" w:rsidRPr="00FB60AA">
        <w:t>annex</w:t>
      </w:r>
      <w:r w:rsidR="00AF2321">
        <w:t xml:space="preserve"> </w:t>
      </w:r>
      <w:r>
        <w:t>are respected.</w:t>
      </w:r>
    </w:p>
    <w:p w14:paraId="492BBDD2" w14:textId="79E9FE40" w:rsidR="00CB0A16" w:rsidRDefault="00CB0A16" w:rsidP="00CB0A16">
      <w:pPr>
        <w:pStyle w:val="H1G"/>
      </w:pPr>
      <w:r>
        <w:tab/>
      </w:r>
      <w:r>
        <w:tab/>
      </w:r>
      <w:r w:rsidR="001A76A0">
        <w:t xml:space="preserve">Chapter </w:t>
      </w:r>
      <w:r>
        <w:t xml:space="preserve">III - </w:t>
      </w:r>
      <w:r w:rsidR="001A76A0">
        <w:t>Agenda</w:t>
      </w:r>
    </w:p>
    <w:p w14:paraId="2E1E04DF" w14:textId="6F5ED284" w:rsidR="00CB0A16" w:rsidRDefault="00CB0A16" w:rsidP="00CB0A16">
      <w:pPr>
        <w:pStyle w:val="H23G"/>
      </w:pPr>
      <w:r>
        <w:tab/>
      </w:r>
      <w:r>
        <w:tab/>
        <w:t>Rule 5</w:t>
      </w:r>
    </w:p>
    <w:p w14:paraId="02C5BE04" w14:textId="77777777" w:rsidR="00802E4A" w:rsidRDefault="00802E4A" w:rsidP="00802E4A">
      <w:pPr>
        <w:pStyle w:val="SingleTxtG"/>
      </w:pPr>
      <w:r>
        <w:t>The provisional agenda for each session shall be drawn up by the secretariat in coordination with the Chairperson or Vice</w:t>
      </w:r>
      <w:r>
        <w:noBreakHyphen/>
        <w:t>Chairperson (acting as Chairperson).</w:t>
      </w:r>
    </w:p>
    <w:p w14:paraId="3CF298A7" w14:textId="428ABB6C" w:rsidR="00802E4A" w:rsidRDefault="00802E4A" w:rsidP="00802E4A">
      <w:pPr>
        <w:pStyle w:val="H23G"/>
      </w:pPr>
      <w:r>
        <w:tab/>
      </w:r>
      <w:r>
        <w:tab/>
        <w:t>Rule 6</w:t>
      </w:r>
    </w:p>
    <w:p w14:paraId="48EDC83E" w14:textId="77777777" w:rsidR="00802E4A" w:rsidRDefault="00802E4A" w:rsidP="00802E4A">
      <w:pPr>
        <w:pStyle w:val="SingleTxtG"/>
      </w:pPr>
      <w:r>
        <w:t>The provisional agenda for any session may include:</w:t>
      </w:r>
    </w:p>
    <w:p w14:paraId="41E0A894" w14:textId="77777777" w:rsidR="00802E4A" w:rsidRDefault="00802E4A" w:rsidP="00802E4A">
      <w:pPr>
        <w:pStyle w:val="SingleTxtG"/>
      </w:pPr>
      <w:r>
        <w:t>(a)</w:t>
      </w:r>
      <w:r>
        <w:tab/>
        <w:t>Items stipulated in the programme of work agreed at the previous session;</w:t>
      </w:r>
    </w:p>
    <w:p w14:paraId="18A0EFFB" w14:textId="77777777" w:rsidR="00802E4A" w:rsidRDefault="00802E4A" w:rsidP="00802E4A">
      <w:pPr>
        <w:pStyle w:val="SingleTxtG"/>
      </w:pPr>
      <w:r>
        <w:t>(b)</w:t>
      </w:r>
      <w:r>
        <w:tab/>
        <w:t>Items proposed by ECE or the Inland Transport Committee;</w:t>
      </w:r>
    </w:p>
    <w:p w14:paraId="6F23F925" w14:textId="77777777" w:rsidR="00802E4A" w:rsidRDefault="00802E4A" w:rsidP="00802E4A">
      <w:pPr>
        <w:pStyle w:val="SingleTxtG"/>
      </w:pPr>
      <w:r>
        <w:t>(c)</w:t>
      </w:r>
      <w:r>
        <w:tab/>
        <w:t>Any other item proposed by a participant, insofar as it relates to the Terms of Reference of the Working Party;</w:t>
      </w:r>
    </w:p>
    <w:p w14:paraId="4A808CB9" w14:textId="77777777" w:rsidR="00802E4A" w:rsidRDefault="00802E4A" w:rsidP="00802E4A">
      <w:pPr>
        <w:pStyle w:val="SingleTxtG"/>
      </w:pPr>
      <w:r>
        <w:t>(d)</w:t>
      </w:r>
      <w:r>
        <w:tab/>
        <w:t>Any other items which the Chairperson or Vice</w:t>
      </w:r>
      <w:r>
        <w:noBreakHyphen/>
        <w:t>Chairperson or the secretariat may see fit to include.</w:t>
      </w:r>
    </w:p>
    <w:p w14:paraId="1FFB3A7E" w14:textId="50003EA2" w:rsidR="00802E4A" w:rsidRDefault="00802E4A" w:rsidP="00802E4A">
      <w:pPr>
        <w:pStyle w:val="H23G"/>
      </w:pPr>
      <w:r>
        <w:tab/>
      </w:r>
      <w:r>
        <w:tab/>
        <w:t>Rule 7</w:t>
      </w:r>
    </w:p>
    <w:p w14:paraId="107C79E1" w14:textId="77777777" w:rsidR="00802E4A" w:rsidRDefault="00802E4A" w:rsidP="00802E4A">
      <w:pPr>
        <w:pStyle w:val="SingleTxtG"/>
      </w:pPr>
      <w:r>
        <w:t>The first item on the provisional agenda for each session shall be the adoption of the agenda.</w:t>
      </w:r>
    </w:p>
    <w:p w14:paraId="64282F82" w14:textId="32964B6A" w:rsidR="00802E4A" w:rsidRDefault="00802E4A" w:rsidP="00802E4A">
      <w:pPr>
        <w:pStyle w:val="H23G"/>
      </w:pPr>
      <w:r>
        <w:tab/>
      </w:r>
      <w:r>
        <w:tab/>
        <w:t>Rule 8</w:t>
      </w:r>
    </w:p>
    <w:p w14:paraId="6E881F3C" w14:textId="77777777" w:rsidR="00802E4A" w:rsidRDefault="00802E4A" w:rsidP="00802E4A">
      <w:pPr>
        <w:pStyle w:val="SingleTxtG"/>
      </w:pPr>
      <w:r>
        <w:t>WP.15 may amend the order of agenda items at any time during the session.</w:t>
      </w:r>
    </w:p>
    <w:p w14:paraId="0EB173FE" w14:textId="2A9FF3C0" w:rsidR="00597023" w:rsidRDefault="00597023" w:rsidP="00597023">
      <w:pPr>
        <w:pStyle w:val="H1G"/>
      </w:pPr>
      <w:r>
        <w:tab/>
      </w:r>
      <w:r>
        <w:tab/>
      </w:r>
      <w:r w:rsidR="001A76A0">
        <w:t xml:space="preserve">Chapter </w:t>
      </w:r>
      <w:r>
        <w:t xml:space="preserve">IV - </w:t>
      </w:r>
      <w:r w:rsidR="001A76A0">
        <w:t>Representation</w:t>
      </w:r>
    </w:p>
    <w:p w14:paraId="167F7650" w14:textId="2D13F641" w:rsidR="002E2A96" w:rsidRDefault="002E2A96" w:rsidP="002E2A96">
      <w:pPr>
        <w:pStyle w:val="H23G"/>
      </w:pPr>
      <w:r>
        <w:tab/>
      </w:r>
      <w:r>
        <w:tab/>
        <w:t>Rule 9</w:t>
      </w:r>
    </w:p>
    <w:p w14:paraId="5BBB0576" w14:textId="71DADA2D" w:rsidR="002E2A96" w:rsidRDefault="002E2A96" w:rsidP="002E2A96">
      <w:pPr>
        <w:pStyle w:val="SingleTxtG"/>
      </w:pPr>
      <w:r>
        <w:t>Each participant as defined in Rule 1 shall be represented at sessions of WP.15 by an accredited representative.</w:t>
      </w:r>
    </w:p>
    <w:p w14:paraId="7114E94B" w14:textId="4079F63E" w:rsidR="002E2A96" w:rsidRDefault="002E2A96" w:rsidP="002E2A96">
      <w:pPr>
        <w:pStyle w:val="H23G"/>
      </w:pPr>
      <w:r>
        <w:tab/>
      </w:r>
      <w:r>
        <w:tab/>
        <w:t>Rule 10</w:t>
      </w:r>
    </w:p>
    <w:p w14:paraId="13CB9A76" w14:textId="77777777" w:rsidR="002E2A96" w:rsidRDefault="002E2A96" w:rsidP="002E2A96">
      <w:pPr>
        <w:pStyle w:val="SingleTxtG"/>
      </w:pPr>
      <w:r>
        <w:t>The representative may be accompanied by alternate representatives, advisers or experts.  If absent, a representative may be replaced by an alternate representative.</w:t>
      </w:r>
    </w:p>
    <w:p w14:paraId="5E403E1F" w14:textId="454FA87E" w:rsidR="00766273" w:rsidRDefault="00766273" w:rsidP="00766273">
      <w:pPr>
        <w:pStyle w:val="H23G"/>
      </w:pPr>
      <w:r>
        <w:lastRenderedPageBreak/>
        <w:tab/>
      </w:r>
      <w:r>
        <w:tab/>
        <w:t>Rule 11</w:t>
      </w:r>
    </w:p>
    <w:p w14:paraId="32808D9D" w14:textId="77777777" w:rsidR="00766273" w:rsidRDefault="00766273" w:rsidP="00766273">
      <w:pPr>
        <w:pStyle w:val="SingleTxtG"/>
      </w:pPr>
      <w:r>
        <w:t>(a)</w:t>
      </w:r>
      <w:r>
        <w:tab/>
        <w:t>The names of representatives, alternate representatives, advisers and experts shall be submitted to the ECE secretariat at the latest one week before the opening of the session.</w:t>
      </w:r>
    </w:p>
    <w:p w14:paraId="1FD8161C" w14:textId="77777777" w:rsidR="00766273" w:rsidRDefault="00766273" w:rsidP="00766273">
      <w:pPr>
        <w:pStyle w:val="SingleTxtG"/>
      </w:pPr>
      <w:r>
        <w:t>(b)</w:t>
      </w:r>
      <w:r>
        <w:tab/>
        <w:t>The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6758F004" w14:textId="77777777" w:rsidR="00766273" w:rsidRDefault="00766273" w:rsidP="00766273">
      <w:pPr>
        <w:pStyle w:val="SingleTxtG"/>
      </w:pPr>
      <w:r>
        <w:t>(c)</w:t>
      </w:r>
      <w:r>
        <w:tab/>
        <w:t>The secretariat shall prepare a list of the names of all persons attending the session and make it available to them at the end of the session.</w:t>
      </w:r>
    </w:p>
    <w:p w14:paraId="0FAD3C02" w14:textId="141BFE1F" w:rsidR="004C35CB" w:rsidRDefault="004C35CB" w:rsidP="004C35CB">
      <w:pPr>
        <w:pStyle w:val="H1G"/>
      </w:pPr>
      <w:r>
        <w:tab/>
      </w:r>
      <w:r>
        <w:tab/>
      </w:r>
      <w:r w:rsidR="001A76A0">
        <w:t xml:space="preserve">Chapter </w:t>
      </w:r>
      <w:r>
        <w:t xml:space="preserve">V - </w:t>
      </w:r>
      <w:r w:rsidR="001A76A0">
        <w:t>Officers</w:t>
      </w:r>
    </w:p>
    <w:p w14:paraId="018E7F0C" w14:textId="72A4B051" w:rsidR="000F720C" w:rsidRDefault="000F720C" w:rsidP="000F720C">
      <w:pPr>
        <w:pStyle w:val="H23G"/>
      </w:pPr>
      <w:r>
        <w:tab/>
      </w:r>
      <w:r>
        <w:tab/>
        <w:t>Rule 12</w:t>
      </w:r>
    </w:p>
    <w:p w14:paraId="0C7E185F" w14:textId="4B3833DE" w:rsidR="000F720C" w:rsidRDefault="000F720C" w:rsidP="000F720C">
      <w:pPr>
        <w:pStyle w:val="SingleTxtG"/>
      </w:pPr>
      <w:r>
        <w:t>Every year, WP.15 shall, at the end of the last session of the year, elect a Chairperson and a Vice</w:t>
      </w:r>
      <w:r>
        <w:noBreakHyphen/>
        <w:t>Chairperson from among the representatives of full participants as defined in Rule 1. They shall take office at the start of the first session in the year following their election. The officers may be re</w:t>
      </w:r>
      <w:r>
        <w:noBreakHyphen/>
        <w:t>elected.</w:t>
      </w:r>
    </w:p>
    <w:p w14:paraId="7AE3DDE9" w14:textId="594E5EE2" w:rsidR="000F720C" w:rsidRDefault="000F720C" w:rsidP="000F720C">
      <w:pPr>
        <w:pStyle w:val="H23G"/>
      </w:pPr>
      <w:r>
        <w:tab/>
      </w:r>
      <w:r>
        <w:tab/>
        <w:t>Rule 13</w:t>
      </w:r>
    </w:p>
    <w:p w14:paraId="44B41813" w14:textId="2E9ADFE4" w:rsidR="000F720C" w:rsidRDefault="000F720C" w:rsidP="000F720C">
      <w:pPr>
        <w:pStyle w:val="SingleTxtG"/>
      </w:pPr>
      <w:r>
        <w:t>If the Chairperson is absent from a session, or part thereof, or if the Chairperson so requests, the Vice</w:t>
      </w:r>
      <w:r>
        <w:noBreakHyphen/>
        <w:t>Chairperson shall preside.</w:t>
      </w:r>
    </w:p>
    <w:p w14:paraId="2839512E" w14:textId="04231FD9" w:rsidR="000F720C" w:rsidRDefault="000F720C" w:rsidP="000F720C">
      <w:pPr>
        <w:pStyle w:val="H23G"/>
      </w:pPr>
      <w:r>
        <w:tab/>
      </w:r>
      <w:r>
        <w:tab/>
        <w:t>Rule 14</w:t>
      </w:r>
    </w:p>
    <w:p w14:paraId="58612F8A" w14:textId="52897C6E" w:rsidR="000F720C" w:rsidRDefault="000F720C" w:rsidP="000F720C">
      <w:pPr>
        <w:pStyle w:val="SingleTxtG"/>
      </w:pPr>
      <w:r>
        <w:t>If the Chairperson ceases to represent a participating country or can no longer hold office, the Vice</w:t>
      </w:r>
      <w:r>
        <w:noBreakHyphen/>
        <w:t>Chairperson designated in accordance with Rule 12 shall become Chairperson for the unexpired portion of the term.  In that case, WP.15 shall elect another Vice</w:t>
      </w:r>
      <w:r>
        <w:noBreakHyphen/>
        <w:t>Chairperson for the unexpired portion of the term.  The same shall apply if the designated Vice</w:t>
      </w:r>
      <w:r>
        <w:noBreakHyphen/>
        <w:t>Chairperson ceases to represent a participating country or can no longer hold office.</w:t>
      </w:r>
    </w:p>
    <w:p w14:paraId="40AFCDBC" w14:textId="24DA5B96" w:rsidR="000F720C" w:rsidRDefault="000F720C" w:rsidP="000F720C">
      <w:pPr>
        <w:pStyle w:val="H23G"/>
      </w:pPr>
      <w:r>
        <w:tab/>
      </w:r>
      <w:r>
        <w:tab/>
        <w:t>Rule 15</w:t>
      </w:r>
    </w:p>
    <w:p w14:paraId="12DB9376" w14:textId="77777777" w:rsidR="000F720C" w:rsidRDefault="000F720C" w:rsidP="000F720C">
      <w:pPr>
        <w:pStyle w:val="SingleTxtG"/>
      </w:pPr>
      <w:r>
        <w:t>The Vice</w:t>
      </w:r>
      <w:r>
        <w:noBreakHyphen/>
        <w:t>Chairperson acting as Chairperson shall have the same powers and carry out the same duties as the Chairperson.</w:t>
      </w:r>
    </w:p>
    <w:p w14:paraId="39D2E8E1" w14:textId="799C00DA" w:rsidR="00B76677" w:rsidRDefault="00B76677" w:rsidP="00B76677">
      <w:pPr>
        <w:pStyle w:val="H23G"/>
      </w:pPr>
      <w:r>
        <w:tab/>
      </w:r>
      <w:r>
        <w:tab/>
        <w:t>Rule 16</w:t>
      </w:r>
    </w:p>
    <w:p w14:paraId="1956E3B8" w14:textId="77777777" w:rsidR="00B76677" w:rsidRDefault="00B76677" w:rsidP="00B76677">
      <w:pPr>
        <w:pStyle w:val="SingleTxtG"/>
      </w:pPr>
      <w:r>
        <w:t>The Chairperson shall participate in WP.15 in this capacity and not as the representative of his/her country.  WP.15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6A1853CC" w14:textId="62163493" w:rsidR="00B76677" w:rsidRDefault="00B76677" w:rsidP="00B76677">
      <w:pPr>
        <w:pStyle w:val="H1G"/>
      </w:pPr>
      <w:r>
        <w:tab/>
      </w:r>
      <w:r>
        <w:tab/>
      </w:r>
      <w:r w:rsidR="001A76A0">
        <w:t xml:space="preserve">Chapter </w:t>
      </w:r>
      <w:r>
        <w:t xml:space="preserve">VI - </w:t>
      </w:r>
      <w:r w:rsidR="001A76A0">
        <w:t>Secretariat</w:t>
      </w:r>
    </w:p>
    <w:p w14:paraId="719F5DA6" w14:textId="22466FEE" w:rsidR="00D1120E" w:rsidRDefault="00D1120E" w:rsidP="00D1120E">
      <w:pPr>
        <w:pStyle w:val="H23G"/>
      </w:pPr>
      <w:r>
        <w:tab/>
      </w:r>
      <w:r>
        <w:tab/>
        <w:t>Rule 17</w:t>
      </w:r>
    </w:p>
    <w:p w14:paraId="34928431" w14:textId="77777777" w:rsidR="00D1120E" w:rsidRDefault="00D1120E" w:rsidP="00D1120E">
      <w:pPr>
        <w:pStyle w:val="SingleTxtG"/>
      </w:pPr>
      <w:r>
        <w:t>The Executive Secretary of ECE shall act in that capacity at all sessions of WP.15.  He/she may appoint another member of the secretariat of ECE to take his/her place.</w:t>
      </w:r>
    </w:p>
    <w:p w14:paraId="56A428DF" w14:textId="53328960" w:rsidR="00D1120E" w:rsidRDefault="00D1120E" w:rsidP="00D1120E">
      <w:pPr>
        <w:pStyle w:val="H23G"/>
      </w:pPr>
      <w:r>
        <w:tab/>
      </w:r>
      <w:r>
        <w:tab/>
        <w:t>Rule 18</w:t>
      </w:r>
    </w:p>
    <w:p w14:paraId="1108601A" w14:textId="77777777" w:rsidR="00D1120E" w:rsidRDefault="00D1120E" w:rsidP="00D1120E">
      <w:pPr>
        <w:pStyle w:val="SingleTxtG"/>
      </w:pPr>
      <w:r>
        <w:t>The secretariat shall make all necessary arrangements for the organization and holding of sessions.</w:t>
      </w:r>
    </w:p>
    <w:p w14:paraId="6AA849E2" w14:textId="244A0A5B" w:rsidR="00D1120E" w:rsidRDefault="00D1120E" w:rsidP="00D1120E">
      <w:pPr>
        <w:pStyle w:val="H23G"/>
      </w:pPr>
      <w:r>
        <w:lastRenderedPageBreak/>
        <w:tab/>
      </w:r>
      <w:r>
        <w:tab/>
        <w:t>Rule 19</w:t>
      </w:r>
    </w:p>
    <w:p w14:paraId="3F37B0E9" w14:textId="24EC2CBD" w:rsidR="00D1120E" w:rsidRDefault="00D1120E" w:rsidP="00D1120E">
      <w:pPr>
        <w:pStyle w:val="SingleTxtG"/>
      </w:pPr>
      <w:r>
        <w:t xml:space="preserve">During sessions, the secretariat shall assist WP.15 in complying with these </w:t>
      </w:r>
      <w:r w:rsidR="005E3F0C">
        <w:t>r</w:t>
      </w:r>
      <w:r>
        <w:t>ules of </w:t>
      </w:r>
      <w:r w:rsidR="005E3F0C">
        <w:t>p</w:t>
      </w:r>
      <w:r>
        <w:t>rocedure.</w:t>
      </w:r>
    </w:p>
    <w:p w14:paraId="26410A40" w14:textId="53B5EC15" w:rsidR="00D1120E" w:rsidRDefault="00D1120E" w:rsidP="00D1120E">
      <w:pPr>
        <w:pStyle w:val="H23G"/>
      </w:pPr>
      <w:r>
        <w:tab/>
      </w:r>
      <w:r>
        <w:tab/>
        <w:t>Rule 20</w:t>
      </w:r>
    </w:p>
    <w:p w14:paraId="0C8D9B89" w14:textId="052EB255" w:rsidR="00D1120E" w:rsidRDefault="00D1120E" w:rsidP="00D1120E">
      <w:pPr>
        <w:pStyle w:val="SingleTxtG"/>
      </w:pPr>
      <w:r>
        <w:t>The secretariat may submit written or oral statements on any item considered.</w:t>
      </w:r>
    </w:p>
    <w:p w14:paraId="10E6DF6F" w14:textId="36B6294A" w:rsidR="00D1120E" w:rsidRDefault="00D1120E" w:rsidP="00D1120E">
      <w:pPr>
        <w:pStyle w:val="H1G"/>
      </w:pPr>
      <w:r>
        <w:tab/>
      </w:r>
      <w:r>
        <w:tab/>
      </w:r>
      <w:r w:rsidR="001A76A0">
        <w:t xml:space="preserve">Chapter </w:t>
      </w:r>
      <w:r>
        <w:t xml:space="preserve">VII - </w:t>
      </w:r>
      <w:r w:rsidR="001A76A0" w:rsidRPr="00E416B3">
        <w:t>Conduct of business</w:t>
      </w:r>
    </w:p>
    <w:p w14:paraId="78B4FEDD" w14:textId="273BA6CF" w:rsidR="009269C7" w:rsidRDefault="009269C7" w:rsidP="009269C7">
      <w:pPr>
        <w:pStyle w:val="H23G"/>
      </w:pPr>
      <w:r>
        <w:tab/>
      </w:r>
      <w:r>
        <w:tab/>
        <w:t>Rule 21</w:t>
      </w:r>
    </w:p>
    <w:p w14:paraId="531A9AC2" w14:textId="77777777" w:rsidR="009269C7" w:rsidRDefault="009269C7" w:rsidP="009269C7">
      <w:pPr>
        <w:pStyle w:val="SingleTxtG"/>
      </w:pPr>
      <w:r>
        <w:t>Unless otherwise decided, WP.15 shall meet in private session.</w:t>
      </w:r>
    </w:p>
    <w:p w14:paraId="4F8A3C76" w14:textId="264EC4E7" w:rsidR="009269C7" w:rsidRDefault="009269C7" w:rsidP="009269C7">
      <w:pPr>
        <w:pStyle w:val="H23G"/>
      </w:pPr>
      <w:r>
        <w:tab/>
      </w:r>
      <w:r>
        <w:tab/>
        <w:t>Rule 22</w:t>
      </w:r>
    </w:p>
    <w:p w14:paraId="774B022F" w14:textId="7C073D2C" w:rsidR="009269C7" w:rsidRDefault="009269C7" w:rsidP="009269C7">
      <w:pPr>
        <w:pStyle w:val="SingleTxtG"/>
      </w:pPr>
      <w:r>
        <w:t xml:space="preserve">The Chairperson shall announce the opening and the closing of each session, direct the discussion, ensure the application of these </w:t>
      </w:r>
      <w:r w:rsidR="005E3F0C">
        <w:t xml:space="preserve">rules </w:t>
      </w:r>
      <w:r>
        <w:t xml:space="preserve">of </w:t>
      </w:r>
      <w:r w:rsidR="005E3F0C">
        <w:t>procedure</w:t>
      </w:r>
      <w:r>
        <w:t>,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0CE22268" w14:textId="34FF7CAA" w:rsidR="009269C7" w:rsidRDefault="009269C7" w:rsidP="009269C7">
      <w:pPr>
        <w:pStyle w:val="H23G"/>
      </w:pPr>
      <w:r>
        <w:tab/>
      </w:r>
      <w:r>
        <w:tab/>
        <w:t>Rule 23</w:t>
      </w:r>
    </w:p>
    <w:p w14:paraId="37DAF1CE" w14:textId="77777777" w:rsidR="009269C7" w:rsidRDefault="009269C7" w:rsidP="009269C7">
      <w:pPr>
        <w:pStyle w:val="SingleTxtG"/>
      </w:pPr>
      <w:r>
        <w:t>At the end of each session, WP.15 shall adopt a report based on a draft prepared by the secretariat.</w:t>
      </w:r>
    </w:p>
    <w:p w14:paraId="7E8E63A9" w14:textId="361404F2" w:rsidR="009269C7" w:rsidRDefault="009269C7" w:rsidP="009269C7">
      <w:pPr>
        <w:pStyle w:val="H23G"/>
      </w:pPr>
      <w:r>
        <w:tab/>
      </w:r>
      <w:r>
        <w:tab/>
        <w:t>Rule 24</w:t>
      </w:r>
    </w:p>
    <w:p w14:paraId="449E7982" w14:textId="77777777" w:rsidR="009269C7" w:rsidRDefault="009269C7" w:rsidP="009269C7">
      <w:pPr>
        <w:pStyle w:val="SingleTxtG"/>
      </w:pPr>
      <w:r>
        <w:t>The Chairperson may decide, in consultation with the secretariat, to reduce the length of a session or to postpone it in the event of force majeure.</w:t>
      </w:r>
    </w:p>
    <w:p w14:paraId="3AA55F6E" w14:textId="40B89922" w:rsidR="009269C7" w:rsidRDefault="009269C7" w:rsidP="009269C7">
      <w:pPr>
        <w:pStyle w:val="H23G"/>
      </w:pPr>
      <w:r>
        <w:tab/>
      </w:r>
      <w:r>
        <w:tab/>
        <w:t>Rule 25</w:t>
      </w:r>
    </w:p>
    <w:p w14:paraId="0AEE06FD" w14:textId="77777777" w:rsidR="009269C7" w:rsidRDefault="009269C7" w:rsidP="009269C7">
      <w:pPr>
        <w:pStyle w:val="SingleTxtG"/>
      </w:pPr>
      <w:r>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552BD1BF" w14:textId="2BCCD0FA" w:rsidR="009269C7" w:rsidRDefault="009269C7" w:rsidP="009269C7">
      <w:pPr>
        <w:pStyle w:val="H23G"/>
      </w:pPr>
      <w:r>
        <w:tab/>
      </w:r>
      <w:r>
        <w:tab/>
        <w:t>Rule 26</w:t>
      </w:r>
    </w:p>
    <w:p w14:paraId="09149A45" w14:textId="77777777" w:rsidR="009269C7" w:rsidRDefault="009269C7" w:rsidP="009269C7">
      <w:pPr>
        <w:pStyle w:val="SingleTxtG"/>
      </w:pPr>
      <w:r>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59CF99D7" w14:textId="5C6F9FCE" w:rsidR="009269C7" w:rsidRDefault="009269C7" w:rsidP="009269C7">
      <w:pPr>
        <w:pStyle w:val="H23G"/>
      </w:pPr>
      <w:r>
        <w:tab/>
      </w:r>
      <w:r>
        <w:tab/>
        <w:t>Rule 27</w:t>
      </w:r>
    </w:p>
    <w:p w14:paraId="7D942164" w14:textId="77777777" w:rsidR="009269C7" w:rsidRDefault="009269C7" w:rsidP="009269C7">
      <w:pPr>
        <w:pStyle w:val="SingleTxtG"/>
      </w:pPr>
      <w:r>
        <w:t>A representative may at any time move the closure of the debate whether or not any other representative has signified his/her wish to speak.  Two other representatives may be authorized to speak in order to oppose the closure.</w:t>
      </w:r>
    </w:p>
    <w:p w14:paraId="2F54B42C" w14:textId="19542C22" w:rsidR="009269C7" w:rsidRDefault="009269C7" w:rsidP="009269C7">
      <w:pPr>
        <w:pStyle w:val="H23G"/>
      </w:pPr>
      <w:r>
        <w:tab/>
      </w:r>
      <w:r>
        <w:tab/>
        <w:t>Rule 28</w:t>
      </w:r>
    </w:p>
    <w:p w14:paraId="0DBE1FD7" w14:textId="77777777" w:rsidR="009269C7" w:rsidRDefault="009269C7" w:rsidP="009269C7">
      <w:pPr>
        <w:pStyle w:val="SingleTxtG"/>
      </w:pPr>
      <w:r>
        <w:t>The Chairperson shall take the sense of WP.15 on a motion for closure.  If WP.15 is in favour of the closure, the Chairperson shall declare the debate closed.</w:t>
      </w:r>
    </w:p>
    <w:p w14:paraId="184D70D1" w14:textId="4FBE5318" w:rsidR="009269C7" w:rsidRDefault="009269C7" w:rsidP="009269C7">
      <w:pPr>
        <w:pStyle w:val="H23G"/>
      </w:pPr>
      <w:r>
        <w:tab/>
      </w:r>
      <w:r>
        <w:tab/>
        <w:t>Rule 29</w:t>
      </w:r>
    </w:p>
    <w:p w14:paraId="3C476425" w14:textId="77777777" w:rsidR="009269C7" w:rsidRDefault="009269C7" w:rsidP="009269C7">
      <w:pPr>
        <w:pStyle w:val="SingleTxtG"/>
      </w:pPr>
      <w:r>
        <w:t>Principal motions and resolutions shall be put to the vote in the order of their submission unless WP.15 decides otherwise.</w:t>
      </w:r>
    </w:p>
    <w:p w14:paraId="68195B52" w14:textId="018DD3AB" w:rsidR="009269C7" w:rsidRDefault="009269C7" w:rsidP="009269C7">
      <w:pPr>
        <w:pStyle w:val="H23G"/>
      </w:pPr>
      <w:r>
        <w:lastRenderedPageBreak/>
        <w:tab/>
      </w:r>
      <w:r>
        <w:tab/>
        <w:t>Rule 30</w:t>
      </w:r>
    </w:p>
    <w:p w14:paraId="4BF3E6ED" w14:textId="77777777" w:rsidR="009269C7" w:rsidRDefault="009269C7" w:rsidP="009269C7">
      <w:pPr>
        <w:pStyle w:val="SingleTxtG"/>
      </w:pPr>
      <w:r>
        <w:t>When an amendment revises, adds to or deletes from a proposal the amendment shall be put to the vote first, and if it is adopted, the amended proposal shall then be put to the vote.</w:t>
      </w:r>
    </w:p>
    <w:p w14:paraId="73C7EF34" w14:textId="6151F1E3" w:rsidR="00E7457C" w:rsidRDefault="00E7457C" w:rsidP="00E7457C">
      <w:pPr>
        <w:pStyle w:val="H23G"/>
      </w:pPr>
      <w:r>
        <w:tab/>
      </w:r>
      <w:r>
        <w:tab/>
        <w:t>Rule 31</w:t>
      </w:r>
    </w:p>
    <w:p w14:paraId="6933E9EF" w14:textId="77777777" w:rsidR="00E7457C" w:rsidRDefault="00E7457C" w:rsidP="00E7457C">
      <w:pPr>
        <w:pStyle w:val="SingleTxtG"/>
      </w:pPr>
      <w:r>
        <w:t>If two or more amendments are moved to a proposal, WP.15 shall vote first on the amendment furthest removed in substance from the original proposal, then, if necessary, on the amendment next furthest removed and so on, until all the amendments have been put to the vote.</w:t>
      </w:r>
    </w:p>
    <w:p w14:paraId="68117E5B" w14:textId="29BBE266" w:rsidR="00E7457C" w:rsidRDefault="00E7457C" w:rsidP="00E7457C">
      <w:pPr>
        <w:pStyle w:val="H23G"/>
      </w:pPr>
      <w:r>
        <w:tab/>
      </w:r>
      <w:r>
        <w:tab/>
        <w:t>Rule 32</w:t>
      </w:r>
    </w:p>
    <w:p w14:paraId="55DDD851" w14:textId="77777777" w:rsidR="00E7457C" w:rsidRDefault="00E7457C" w:rsidP="00E7457C">
      <w:pPr>
        <w:pStyle w:val="SingleTxtG"/>
      </w:pPr>
      <w:r>
        <w:t>WP.15 may, at the request of a representative, decide to put a motion or resolution to the vote in parts.  If this is done, the text resulting from the series of votes shall be put to the vote as a whole.</w:t>
      </w:r>
    </w:p>
    <w:p w14:paraId="5777C116" w14:textId="2DB00EB9" w:rsidR="00E7457C" w:rsidRDefault="00E7457C" w:rsidP="00E7457C">
      <w:pPr>
        <w:pStyle w:val="H23G"/>
      </w:pPr>
      <w:r>
        <w:tab/>
      </w:r>
      <w:r>
        <w:tab/>
        <w:t>Rule 33</w:t>
      </w:r>
    </w:p>
    <w:p w14:paraId="59446B29" w14:textId="77777777" w:rsidR="00E7457C" w:rsidRDefault="00E7457C" w:rsidP="00E7457C">
      <w:pPr>
        <w:pStyle w:val="SingleTxtG"/>
      </w:pPr>
      <w:r>
        <w:t>Every representative has the right to declare his or her position and may request that it be reflected, in summarized form, in the report of the session.</w:t>
      </w:r>
    </w:p>
    <w:p w14:paraId="3B296785" w14:textId="564518CF" w:rsidR="006360E6" w:rsidRDefault="006360E6" w:rsidP="006360E6">
      <w:pPr>
        <w:pStyle w:val="H1G"/>
      </w:pPr>
      <w:r>
        <w:tab/>
      </w:r>
      <w:r>
        <w:tab/>
      </w:r>
      <w:r w:rsidR="001A76A0">
        <w:t xml:space="preserve">Chapter </w:t>
      </w:r>
      <w:r>
        <w:t xml:space="preserve">VIII - </w:t>
      </w:r>
      <w:r w:rsidR="001A76A0">
        <w:t>Voting</w:t>
      </w:r>
    </w:p>
    <w:p w14:paraId="42CB3EF0" w14:textId="65C0E4D5" w:rsidR="00666106" w:rsidRDefault="00666106" w:rsidP="00666106">
      <w:pPr>
        <w:pStyle w:val="H23G"/>
      </w:pPr>
      <w:r>
        <w:tab/>
      </w:r>
      <w:r>
        <w:tab/>
        <w:t>Rule 34</w:t>
      </w:r>
    </w:p>
    <w:p w14:paraId="1C65DADD" w14:textId="77777777" w:rsidR="00666106" w:rsidRDefault="00666106" w:rsidP="00666106">
      <w:pPr>
        <w:pStyle w:val="SingleTxtG"/>
      </w:pPr>
      <w:r>
        <w:t>Full participants shall have one vote in WP.15.</w:t>
      </w:r>
    </w:p>
    <w:p w14:paraId="6507AD33" w14:textId="364FA1DF" w:rsidR="00666106" w:rsidRDefault="00666106" w:rsidP="00666106">
      <w:pPr>
        <w:pStyle w:val="H23G"/>
      </w:pPr>
      <w:r>
        <w:tab/>
      </w:r>
      <w:r>
        <w:tab/>
        <w:t>Rule 35</w:t>
      </w:r>
    </w:p>
    <w:p w14:paraId="20B59E6A" w14:textId="77777777" w:rsidR="00666106" w:rsidRDefault="00666106" w:rsidP="00666106">
      <w:pPr>
        <w:pStyle w:val="SingleTxtG"/>
      </w:pPr>
      <w:r>
        <w:t>Decisions of WP.15 shall chiefly be taken by consensus.  In the absence of consensus, decisions shall be taken by a majority of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p w14:paraId="6E7AC637" w14:textId="15220BAC" w:rsidR="00666106" w:rsidRDefault="00666106" w:rsidP="00666106">
      <w:pPr>
        <w:pStyle w:val="H23G"/>
      </w:pPr>
      <w:r>
        <w:tab/>
      </w:r>
      <w:r>
        <w:tab/>
        <w:t>Rule 36</w:t>
      </w:r>
    </w:p>
    <w:p w14:paraId="0E1845A5" w14:textId="77777777" w:rsidR="00666106" w:rsidRDefault="00666106" w:rsidP="00666106">
      <w:pPr>
        <w:pStyle w:val="SingleTxtG"/>
      </w:pPr>
      <w:r>
        <w:t>WP.15 shall normally vote by show of hands.  If any representative requests a roll call, a roll call shall be taken in the English alphabetical order of the names of the members.</w:t>
      </w:r>
    </w:p>
    <w:p w14:paraId="226B9686" w14:textId="42774AAD" w:rsidR="00666106" w:rsidRDefault="00666106" w:rsidP="00666106">
      <w:pPr>
        <w:pStyle w:val="H23G"/>
      </w:pPr>
      <w:r>
        <w:tab/>
      </w:r>
      <w:r>
        <w:tab/>
        <w:t>Rule 37</w:t>
      </w:r>
    </w:p>
    <w:p w14:paraId="3568BB95" w14:textId="77777777" w:rsidR="00666106" w:rsidRDefault="00666106" w:rsidP="00666106">
      <w:pPr>
        <w:pStyle w:val="SingleTxtG"/>
      </w:pPr>
      <w:r>
        <w:t>All elections shall be decided by secret ballot, unless, in the absence of any objection, WP.15 decides to proceed without taking a ballot on an agreed candidate or slate.</w:t>
      </w:r>
    </w:p>
    <w:p w14:paraId="7C5ACE9E" w14:textId="277E7067" w:rsidR="008E04B6" w:rsidRDefault="008E04B6" w:rsidP="008E04B6">
      <w:pPr>
        <w:pStyle w:val="H23G"/>
      </w:pPr>
      <w:r>
        <w:tab/>
      </w:r>
      <w:r>
        <w:tab/>
        <w:t>Rule 3</w:t>
      </w:r>
      <w:r w:rsidR="00DA6C54">
        <w:t>8</w:t>
      </w:r>
    </w:p>
    <w:p w14:paraId="25041A61" w14:textId="77777777" w:rsidR="008E04B6" w:rsidRDefault="008E04B6" w:rsidP="008E04B6">
      <w:pPr>
        <w:pStyle w:val="SingleTxtG"/>
      </w:pPr>
      <w:r>
        <w:t>If a vote is equally divided upon matters other than elections, a second vote shall be taken at the next meeting.  If this vote also results in equality, the proposal shall be regarded as rejected.</w:t>
      </w:r>
    </w:p>
    <w:p w14:paraId="1240299E" w14:textId="429B5D66" w:rsidR="00DA6C54" w:rsidRDefault="00DA6C54" w:rsidP="00DA6C54">
      <w:pPr>
        <w:pStyle w:val="H1G"/>
      </w:pPr>
      <w:r>
        <w:tab/>
      </w:r>
      <w:r>
        <w:tab/>
      </w:r>
      <w:r w:rsidR="001A76A0">
        <w:t xml:space="preserve">Chapter </w:t>
      </w:r>
      <w:r>
        <w:t xml:space="preserve">IX - </w:t>
      </w:r>
      <w:r w:rsidR="001A76A0">
        <w:t>Languages</w:t>
      </w:r>
    </w:p>
    <w:p w14:paraId="162525A6" w14:textId="71B57E12" w:rsidR="00DA4913" w:rsidRDefault="00DA4913" w:rsidP="00DA4913">
      <w:pPr>
        <w:pStyle w:val="H23G"/>
      </w:pPr>
      <w:r>
        <w:tab/>
      </w:r>
      <w:r>
        <w:tab/>
        <w:t>Rule 39</w:t>
      </w:r>
    </w:p>
    <w:p w14:paraId="4893D0B6" w14:textId="77777777" w:rsidR="00DA4913" w:rsidRDefault="00DA4913" w:rsidP="00DA4913">
      <w:pPr>
        <w:pStyle w:val="SingleTxtG"/>
      </w:pPr>
      <w:r>
        <w:t>English, French and Russian are the working languages of WP.15.  Statements made in one of these languages shall be interpreted into the other two languages.</w:t>
      </w:r>
    </w:p>
    <w:p w14:paraId="00AC9B4F" w14:textId="59FE0286" w:rsidR="00DA4913" w:rsidRDefault="00DA4913" w:rsidP="00DA4913">
      <w:pPr>
        <w:pStyle w:val="H1G"/>
      </w:pPr>
      <w:r>
        <w:lastRenderedPageBreak/>
        <w:tab/>
      </w:r>
      <w:r>
        <w:tab/>
      </w:r>
      <w:r w:rsidR="001A76A0">
        <w:t xml:space="preserve">Chapter </w:t>
      </w:r>
      <w:r>
        <w:t xml:space="preserve">X - </w:t>
      </w:r>
      <w:r w:rsidR="001A76A0">
        <w:t xml:space="preserve">Special sessions of </w:t>
      </w:r>
      <w:r w:rsidR="00336D3E">
        <w:t>WP</w:t>
      </w:r>
      <w:r w:rsidR="001A76A0">
        <w:t>.15 and ad hoc groups</w:t>
      </w:r>
    </w:p>
    <w:p w14:paraId="7297B539" w14:textId="37695D25" w:rsidR="00DA4913" w:rsidRDefault="00DA4913" w:rsidP="00DA4913">
      <w:pPr>
        <w:pStyle w:val="H23G"/>
      </w:pPr>
      <w:r>
        <w:tab/>
      </w:r>
      <w:r>
        <w:tab/>
        <w:t>Rule 40</w:t>
      </w:r>
    </w:p>
    <w:p w14:paraId="5D7FAEC4" w14:textId="77777777" w:rsidR="00DA4913" w:rsidRDefault="00DA4913" w:rsidP="00DA4913">
      <w:pPr>
        <w:pStyle w:val="SingleTxtG"/>
      </w:pPr>
      <w:r>
        <w:t>Amendments to ADR and ADN requiring or calling for harmonization with provisions relating to the transport of dangerous goods by rail shall be prepared by the Joint Meeting of the RID Committee of Experts for the Carriage of Dangerous Goods of the Intergovernmental Organization for International Carriage by Rail (OTIF) and WP.15 (RID/ADR/ADN Joint Meeting) (WP.15/AC.1).  It is understood that the long</w:t>
      </w:r>
      <w:r>
        <w:noBreakHyphen/>
        <w:t>standing cooperation between ECE and OTIF in the matter of organizing this joint meeting may be extended to other competent intergovernmental organizations administering international agreements on the international carriage of dangerous goods by rail that are applicable in Contracting Parties to ADR and ADN.</w:t>
      </w:r>
    </w:p>
    <w:p w14:paraId="368F95D4" w14:textId="4E7060F3" w:rsidR="00DA4913" w:rsidRDefault="00DA4913" w:rsidP="00DA4913">
      <w:pPr>
        <w:pStyle w:val="H23G"/>
      </w:pPr>
      <w:r>
        <w:tab/>
      </w:r>
      <w:r>
        <w:tab/>
        <w:t>Rule 41</w:t>
      </w:r>
    </w:p>
    <w:p w14:paraId="5D4E668E" w14:textId="1AF21DC0" w:rsidR="00DA4913" w:rsidRDefault="00DA4913" w:rsidP="00DA4913">
      <w:pPr>
        <w:pStyle w:val="SingleTxtG"/>
      </w:pPr>
      <w:r>
        <w:t>Amendments to the Regulations annexed to ADN shall be prepared by the Joint Meeting of Experts on the Regulations annexed to the European Agreement concerning the International Carriage of Dangerous Goods by Inland Waterways (ADN)</w:t>
      </w:r>
      <w:r w:rsidR="00CC4263">
        <w:t xml:space="preserve"> </w:t>
      </w:r>
      <w:r w:rsidR="009D0CD0">
        <w:t>(ADN Safety Committee)</w:t>
      </w:r>
      <w:r>
        <w:t>, in partnership with the Central Commission for the Navigation of the Rhine (CCNR) and ECE at special sessions of WP.15 (WP.15/AC.2).  It is understood that, pursuant to the resolution adopted on 25 May 2000 by the Diplomatic Conference for the Adoption of a European Agreement concerning the International Carriage of Dangerous Goods by Inland Waterways (ADN), cooperation in organizing this joint meeting of experts could be extended to the Danube Commission.</w:t>
      </w:r>
    </w:p>
    <w:p w14:paraId="37B6DCB3" w14:textId="278105C3" w:rsidR="009D0CD0" w:rsidRDefault="009D0CD0" w:rsidP="009D0CD0">
      <w:pPr>
        <w:pStyle w:val="H23G"/>
      </w:pPr>
      <w:r>
        <w:tab/>
      </w:r>
      <w:r>
        <w:tab/>
        <w:t>Rule 42</w:t>
      </w:r>
    </w:p>
    <w:p w14:paraId="629E133C" w14:textId="23433CF5" w:rsidR="00DA4913" w:rsidRDefault="00DA4913" w:rsidP="00DA4913">
      <w:pPr>
        <w:pStyle w:val="SingleTxtG"/>
      </w:pPr>
      <w:r w:rsidRPr="0056559C">
        <w:t>The above rules of procedure shall apply mutatis mutandis to special sessions of WP.15.</w:t>
      </w:r>
      <w:r w:rsidR="00E05127" w:rsidRPr="0056559C">
        <w:rPr>
          <w:rStyle w:val="FootnoteReference"/>
        </w:rPr>
        <w:footnoteReference w:id="7"/>
      </w:r>
    </w:p>
    <w:p w14:paraId="05F6ED88" w14:textId="130B67CE" w:rsidR="009D0CD0" w:rsidRDefault="009D0CD0" w:rsidP="009D0CD0">
      <w:pPr>
        <w:pStyle w:val="H23G"/>
      </w:pPr>
      <w:r>
        <w:tab/>
      </w:r>
      <w:r>
        <w:tab/>
        <w:t>Rule 43</w:t>
      </w:r>
    </w:p>
    <w:p w14:paraId="52706C8D" w14:textId="379A07F4" w:rsidR="00DA4913" w:rsidRDefault="00DA4913" w:rsidP="00DA4913">
      <w:pPr>
        <w:pStyle w:val="SingleTxtG"/>
      </w:pPr>
      <w:r>
        <w:t xml:space="preserve">Between sessions, WP.15 may be assisted in its tasks by ad hoc groups.  To be established and hold meetings, such groups must be hosted and invited by a participant in WP.15 as defined in Rule 1.  </w:t>
      </w:r>
    </w:p>
    <w:p w14:paraId="5897772B" w14:textId="5003D529" w:rsidR="00BB763D" w:rsidRDefault="00BB763D" w:rsidP="00BB763D">
      <w:pPr>
        <w:pStyle w:val="H1G"/>
      </w:pPr>
      <w:r>
        <w:tab/>
      </w:r>
      <w:r>
        <w:tab/>
      </w:r>
      <w:r w:rsidR="001A76A0">
        <w:t xml:space="preserve">Chapter </w:t>
      </w:r>
      <w:r>
        <w:t xml:space="preserve">XI - </w:t>
      </w:r>
      <w:r w:rsidR="001A76A0">
        <w:t>Amendments</w:t>
      </w:r>
    </w:p>
    <w:p w14:paraId="28E9FA6B" w14:textId="1B6E0DCA" w:rsidR="008A5FB8" w:rsidRDefault="008A5FB8" w:rsidP="008A5FB8">
      <w:pPr>
        <w:pStyle w:val="H23G"/>
      </w:pPr>
      <w:r>
        <w:tab/>
      </w:r>
      <w:r>
        <w:tab/>
        <w:t>Rule 44</w:t>
      </w:r>
    </w:p>
    <w:p w14:paraId="752C41B4" w14:textId="4A8FA577" w:rsidR="008A5FB8" w:rsidRDefault="008A5FB8" w:rsidP="008A5FB8">
      <w:pPr>
        <w:pStyle w:val="SingleTxtG"/>
      </w:pPr>
      <w:r>
        <w:t xml:space="preserve">Any of these </w:t>
      </w:r>
      <w:r w:rsidR="005E3F0C">
        <w:t xml:space="preserve">rules </w:t>
      </w:r>
      <w:r>
        <w:t xml:space="preserve">of </w:t>
      </w:r>
      <w:r w:rsidR="005E3F0C">
        <w:t xml:space="preserve">procedure </w:t>
      </w:r>
      <w:r>
        <w:t>may be amended in accordance with Rule 35.  However, any proposed amendment shall require the approval of the Inland Transport Committee and the endorsement of the Executive Committee of ECE.</w:t>
      </w:r>
    </w:p>
    <w:p w14:paraId="7A55A451" w14:textId="18F7086A" w:rsidR="00AF04DC" w:rsidRDefault="00AF04DC" w:rsidP="001A76A0">
      <w:pPr>
        <w:pStyle w:val="H1G"/>
      </w:pPr>
      <w:r>
        <w:tab/>
      </w:r>
      <w:r>
        <w:tab/>
      </w:r>
      <w:r w:rsidR="001A76A0">
        <w:t xml:space="preserve">Annex </w:t>
      </w:r>
      <w:r>
        <w:t xml:space="preserve">- </w:t>
      </w:r>
      <w:r w:rsidR="001A76A0">
        <w:t>Rules concerning documents to be submitted to the Working Party on the Transport of Dangerous Goods</w:t>
      </w:r>
    </w:p>
    <w:p w14:paraId="22875993" w14:textId="5087FDDD" w:rsidR="001C6663" w:rsidRDefault="00A50C75" w:rsidP="00A50C75">
      <w:pPr>
        <w:pStyle w:val="H4G"/>
      </w:pPr>
      <w:r>
        <w:tab/>
      </w:r>
      <w:r>
        <w:tab/>
        <w:t>Official documents</w:t>
      </w:r>
    </w:p>
    <w:p w14:paraId="4C196062" w14:textId="77777777" w:rsidR="00611B18" w:rsidRDefault="00611B18" w:rsidP="00611B18">
      <w:pPr>
        <w:pStyle w:val="SingleTxtG"/>
      </w:pPr>
      <w:r>
        <w:t>1.</w:t>
      </w:r>
      <w:r>
        <w:tab/>
        <w:t xml:space="preserve">Documents for consideration under each agenda item of a session shall be transmitted as early as possible so that they </w:t>
      </w:r>
      <w:r>
        <w:rPr>
          <w:u w:val="single"/>
        </w:rPr>
        <w:t>reach</w:t>
      </w:r>
      <w:r>
        <w:t xml:space="preserve"> the secretariat not less than </w:t>
      </w:r>
      <w:r>
        <w:rPr>
          <w:u w:val="single"/>
        </w:rPr>
        <w:t>12 weeks</w:t>
      </w:r>
      <w:r>
        <w:t xml:space="preserve"> before the opening of the session or, if they are transmitted simultaneously in English, French </w:t>
      </w:r>
      <w:r>
        <w:rPr>
          <w:u w:val="single"/>
        </w:rPr>
        <w:t>and</w:t>
      </w:r>
      <w:r>
        <w:t xml:space="preserve"> Russian, not less than 6 weeks before.</w:t>
      </w:r>
    </w:p>
    <w:p w14:paraId="26B9A04B" w14:textId="77777777" w:rsidR="00611B18" w:rsidRDefault="00611B18" w:rsidP="00611B18">
      <w:pPr>
        <w:pStyle w:val="SingleTxtG"/>
      </w:pPr>
      <w:r>
        <w:t>2.</w:t>
      </w:r>
      <w:r>
        <w:tab/>
        <w:t>They shall be transmitted to the secretariat by e</w:t>
      </w:r>
      <w:r>
        <w:noBreakHyphen/>
        <w:t>mail.</w:t>
      </w:r>
    </w:p>
    <w:p w14:paraId="5616BB53" w14:textId="77777777" w:rsidR="00611B18" w:rsidRDefault="00611B18" w:rsidP="00611B18">
      <w:pPr>
        <w:pStyle w:val="SingleTxtG"/>
      </w:pPr>
      <w:r>
        <w:lastRenderedPageBreak/>
        <w:t>3.</w:t>
      </w:r>
      <w:r>
        <w:tab/>
        <w:t xml:space="preserve">Documents, including reports of working groups, shall be as brief and concise as possible and not exceed 20 pages, except in exceptional instances where long passages from regulations or recommendations are the subject of proposed draft amendments. </w:t>
      </w:r>
    </w:p>
    <w:p w14:paraId="17D888B1" w14:textId="77777777" w:rsidR="00611B18" w:rsidRDefault="00611B18" w:rsidP="00611B18">
      <w:pPr>
        <w:pStyle w:val="SingleTxtG"/>
      </w:pPr>
      <w:r>
        <w:t>4.</w:t>
      </w:r>
      <w:r>
        <w:tab/>
        <w:t>All documents containing proposed amendments to regulations or recommendations shall comply with the standard presentation shown in the appendix to these rules, include a brief summary and, where necessary, a justification taking into account the following criteria:</w:t>
      </w:r>
    </w:p>
    <w:p w14:paraId="59A41172" w14:textId="2DEE1A96" w:rsidR="00611B18" w:rsidRDefault="00611B18" w:rsidP="00611B18">
      <w:pPr>
        <w:pStyle w:val="SingleTxtG"/>
      </w:pPr>
      <w:r>
        <w:t>Safety:</w:t>
      </w:r>
      <w:r>
        <w:tab/>
      </w:r>
      <w:r>
        <w:tab/>
        <w:t>What are the safety implications?</w:t>
      </w:r>
    </w:p>
    <w:p w14:paraId="185E74D2" w14:textId="0128BF9C" w:rsidR="00611B18" w:rsidRDefault="00611B18" w:rsidP="00611B18">
      <w:pPr>
        <w:pStyle w:val="SingleTxtG"/>
        <w:tabs>
          <w:tab w:val="clear" w:pos="1701"/>
        </w:tabs>
        <w:ind w:left="2268" w:hanging="1134"/>
      </w:pPr>
      <w:r>
        <w:t>Feasibility:</w:t>
      </w:r>
      <w:r>
        <w:tab/>
        <w:t>Which economic sector or public service is concerned by the proposed amendments?</w:t>
      </w:r>
    </w:p>
    <w:p w14:paraId="7AB46770" w14:textId="134B8144" w:rsidR="00611B18" w:rsidRDefault="00611B18" w:rsidP="00611B18">
      <w:pPr>
        <w:pStyle w:val="SingleTxtG"/>
        <w:tabs>
          <w:tab w:val="clear" w:pos="1701"/>
        </w:tabs>
        <w:ind w:left="2268" w:hanging="1134"/>
      </w:pPr>
      <w:r>
        <w:tab/>
        <w:t>What are the consequences in terms of the advantages and disadvantages?</w:t>
      </w:r>
    </w:p>
    <w:p w14:paraId="75F13B01" w14:textId="52AACD05" w:rsidR="00611B18" w:rsidRDefault="00611B18" w:rsidP="00611B18">
      <w:pPr>
        <w:pStyle w:val="SingleTxtG"/>
        <w:tabs>
          <w:tab w:val="clear" w:pos="1701"/>
        </w:tabs>
        <w:ind w:left="2268" w:hanging="1134"/>
      </w:pPr>
      <w:r>
        <w:tab/>
        <w:t>Is a transitional period required?</w:t>
      </w:r>
    </w:p>
    <w:p w14:paraId="1AC8AA52" w14:textId="63A97FF7" w:rsidR="00611B18" w:rsidRDefault="00611B18" w:rsidP="00611B18">
      <w:pPr>
        <w:pStyle w:val="SingleTxtG"/>
      </w:pPr>
      <w:r>
        <w:t>Enforceability:</w:t>
      </w:r>
      <w:r>
        <w:tab/>
        <w:t>Once implemented, can the amendments be observed or monitored?</w:t>
      </w:r>
    </w:p>
    <w:p w14:paraId="34E64EF9" w14:textId="5F84B858" w:rsidR="00A50C75" w:rsidRDefault="006B0062" w:rsidP="00611B18">
      <w:pPr>
        <w:pStyle w:val="SingleTxtG"/>
      </w:pPr>
      <w:r>
        <w:t>This rule shall not apply to editing amendments, amendments proposed by a working group or amendments proposed with a view to harmonization with the United Nations Recommendations on the Transport of Dangerous Goods or any other regulations.</w:t>
      </w:r>
    </w:p>
    <w:p w14:paraId="06F7D5A4" w14:textId="77777777" w:rsidR="0039386C" w:rsidRDefault="0039386C" w:rsidP="0039386C">
      <w:pPr>
        <w:pStyle w:val="SingleTxtG"/>
      </w:pPr>
      <w:r>
        <w:t>5.</w:t>
      </w:r>
      <w:r>
        <w:tab/>
        <w:t>The secretariat may decide:</w:t>
      </w:r>
    </w:p>
    <w:p w14:paraId="5AA7C204" w14:textId="04487ABF" w:rsidR="0039386C" w:rsidRDefault="0039386C" w:rsidP="0039386C">
      <w:pPr>
        <w:pStyle w:val="SingleTxtG"/>
        <w:ind w:left="1701" w:hanging="567"/>
      </w:pPr>
      <w:r>
        <w:t>(a)</w:t>
      </w:r>
      <w:r>
        <w:tab/>
        <w:t>To postpone until the next session documents which have not reached it 12 weeks before the opening of a session;</w:t>
      </w:r>
    </w:p>
    <w:p w14:paraId="37CF7BF3" w14:textId="15DEEFAD" w:rsidR="0039386C" w:rsidRDefault="0039386C" w:rsidP="0039386C">
      <w:pPr>
        <w:pStyle w:val="SingleTxtG"/>
        <w:ind w:left="1701" w:hanging="567"/>
        <w:rPr>
          <w:szCs w:val="24"/>
          <w:lang w:val="en-US"/>
        </w:rPr>
      </w:pPr>
      <w:r>
        <w:rPr>
          <w:szCs w:val="24"/>
          <w:lang w:val="en-US"/>
        </w:rPr>
        <w:t>(b)</w:t>
      </w:r>
      <w:r>
        <w:rPr>
          <w:szCs w:val="24"/>
          <w:lang w:val="en-US"/>
        </w:rPr>
        <w:tab/>
        <w:t>Only to translate parts of documents more than 20 pages long, so as not to delay their distribution, when they contain lengthy explanatory technical annexes or tables which it is not intended to include in the regulations or recommendations;</w:t>
      </w:r>
    </w:p>
    <w:p w14:paraId="0DB7BAC0" w14:textId="5FF68F6B" w:rsidR="0039386C" w:rsidRDefault="0039386C" w:rsidP="0039386C">
      <w:pPr>
        <w:pStyle w:val="SingleTxtG"/>
        <w:ind w:left="1701" w:hanging="567"/>
      </w:pPr>
      <w:r>
        <w:t>(c)</w:t>
      </w:r>
      <w:r>
        <w:tab/>
        <w:t xml:space="preserve">To return the document to the sender if the presentation does not conform to that of the appendix to these rules.  In such cases the document may be recast in accordance with the presentation required in rule 4, provided that the revised version </w:t>
      </w:r>
      <w:r>
        <w:rPr>
          <w:u w:val="single"/>
        </w:rPr>
        <w:t>reaches</w:t>
      </w:r>
      <w:r>
        <w:t xml:space="preserve"> the secretariat not less than 10 weeks before the opening of the session;</w:t>
      </w:r>
    </w:p>
    <w:p w14:paraId="303D0796" w14:textId="51E03408" w:rsidR="006B0062" w:rsidRDefault="0039386C" w:rsidP="0039386C">
      <w:pPr>
        <w:pStyle w:val="SingleTxtG"/>
      </w:pPr>
      <w:r>
        <w:t>If this is not the case, the document will nevertheless be distributed in its initial form.</w:t>
      </w:r>
    </w:p>
    <w:p w14:paraId="684BC616" w14:textId="21CF9392" w:rsidR="0039386C" w:rsidRDefault="0039386C" w:rsidP="0039386C">
      <w:pPr>
        <w:pStyle w:val="H4G"/>
      </w:pPr>
      <w:r>
        <w:tab/>
      </w:r>
      <w:r>
        <w:tab/>
        <w:t>Informal documents</w:t>
      </w:r>
    </w:p>
    <w:p w14:paraId="6AEC6A2E" w14:textId="682B6AEA" w:rsidR="00DA4D48" w:rsidRDefault="00DA4D48" w:rsidP="00DA4D48">
      <w:pPr>
        <w:pStyle w:val="SingleTxtG"/>
      </w:pPr>
      <w:r>
        <w:t>6.</w:t>
      </w:r>
      <w:r>
        <w:tab/>
      </w:r>
      <w:r w:rsidR="00070549" w:rsidRPr="007856AC">
        <w:t>Informal documents may be submitted for consideration at a session provided:</w:t>
      </w:r>
    </w:p>
    <w:p w14:paraId="7928B07E" w14:textId="3907552D" w:rsidR="00DA4D48" w:rsidRDefault="00DA4D48" w:rsidP="009E0AFF">
      <w:pPr>
        <w:pStyle w:val="SingleTxtG"/>
        <w:ind w:left="1701" w:hanging="567"/>
      </w:pPr>
      <w:r>
        <w:t>(a)</w:t>
      </w:r>
      <w:r>
        <w:tab/>
        <w:t>That they contain specific commentaries or additional information concerning a new document included in the provisional agenda and that it has not therefore been possible to submit them in time;</w:t>
      </w:r>
    </w:p>
    <w:p w14:paraId="2BCD1878" w14:textId="4331BC11" w:rsidR="00DA4D48" w:rsidRDefault="00DA4D48" w:rsidP="009E0AFF">
      <w:pPr>
        <w:pStyle w:val="SingleTxtG"/>
        <w:ind w:left="1701" w:hanging="567"/>
      </w:pPr>
      <w:r>
        <w:t>(b)</w:t>
      </w:r>
      <w:r>
        <w:tab/>
        <w:t xml:space="preserve">That they are </w:t>
      </w:r>
      <w:r w:rsidRPr="009E0AFF">
        <w:rPr>
          <w:szCs w:val="24"/>
          <w:lang w:val="en-US"/>
        </w:rPr>
        <w:t>submitted</w:t>
      </w:r>
      <w:r>
        <w:t xml:space="preserve"> solely for information purposes and require no decision from the Working Party;</w:t>
      </w:r>
    </w:p>
    <w:p w14:paraId="3C9270D2" w14:textId="4BF74C1E" w:rsidR="00DA4D48" w:rsidRDefault="009E0AFF" w:rsidP="009E0AFF">
      <w:pPr>
        <w:pStyle w:val="SingleTxtG"/>
        <w:ind w:left="1701" w:hanging="567"/>
      </w:pPr>
      <w:r>
        <w:t>(c)</w:t>
      </w:r>
      <w:r>
        <w:tab/>
      </w:r>
      <w:r w:rsidR="00DA4D48">
        <w:t xml:space="preserve">That they are intended to correct flagrant errors in existing texts; </w:t>
      </w:r>
    </w:p>
    <w:p w14:paraId="488BCE79" w14:textId="64B17550" w:rsidR="00DA4D48" w:rsidRDefault="00DA4D48" w:rsidP="009E0AFF">
      <w:pPr>
        <w:pStyle w:val="SingleTxtG"/>
        <w:ind w:left="1701" w:hanging="567"/>
      </w:pPr>
      <w:r>
        <w:t>(d)</w:t>
      </w:r>
      <w:r>
        <w:tab/>
      </w:r>
      <w:r w:rsidR="00E85170" w:rsidRPr="007856AC">
        <w:t>That they call for an initial opinion about the interpretation of existing texts;</w:t>
      </w:r>
      <w:r w:rsidR="00E85170">
        <w:t xml:space="preserve"> or</w:t>
      </w:r>
    </w:p>
    <w:p w14:paraId="6D4453E2" w14:textId="06EE63E5" w:rsidR="00DA4D48" w:rsidRDefault="00DA4D48" w:rsidP="009E0AFF">
      <w:pPr>
        <w:pStyle w:val="SingleTxtG"/>
        <w:ind w:left="1701" w:hanging="567"/>
      </w:pPr>
      <w:r>
        <w:t>(e)</w:t>
      </w:r>
      <w:r>
        <w:tab/>
        <w:t>That they contain the report of an informal working group.</w:t>
      </w:r>
    </w:p>
    <w:p w14:paraId="50E6C0B7" w14:textId="702A197F" w:rsidR="003D7380" w:rsidRDefault="003D7380" w:rsidP="003D7380">
      <w:pPr>
        <w:pStyle w:val="SingleTxtG"/>
      </w:pPr>
      <w:r>
        <w:t>7.</w:t>
      </w:r>
      <w:r>
        <w:tab/>
        <w:t>These informal documents must be sent to the secretariat by e</w:t>
      </w:r>
      <w:r>
        <w:noBreakHyphen/>
        <w:t>mail, allowing sufficient time to post them on the ECE website</w:t>
      </w:r>
      <w:r>
        <w:rPr>
          <w:rStyle w:val="FootnoteReference"/>
        </w:rPr>
        <w:footnoteReference w:id="8"/>
      </w:r>
      <w:r>
        <w:t>.  As a rule, save in exceptional circumstances, the secretariat shall neither reproduce nor distribute paper copies of these informal documents.</w:t>
      </w:r>
    </w:p>
    <w:p w14:paraId="172A6583" w14:textId="77777777" w:rsidR="003D7380" w:rsidRDefault="003D7380" w:rsidP="003D7380">
      <w:pPr>
        <w:pStyle w:val="SingleTxtG"/>
      </w:pPr>
      <w:r>
        <w:t>8.</w:t>
      </w:r>
      <w:r>
        <w:tab/>
        <w:t>The secretariat shall assign an “INF” symbol to informal documents which shall be transmitted to the author of the document who may send advance copies to other delegations.  The author of an informal document shall indicate clearly the title of his communication, the official document to which it refers, where relevant, and the agenda item under which it should be considered.</w:t>
      </w:r>
    </w:p>
    <w:p w14:paraId="4AD4FF1D" w14:textId="1AFE8393" w:rsidR="0039386C" w:rsidRDefault="003D7380" w:rsidP="003D7380">
      <w:pPr>
        <w:pStyle w:val="SingleTxtG"/>
      </w:pPr>
      <w:r>
        <w:lastRenderedPageBreak/>
        <w:t>9.</w:t>
      </w:r>
      <w:r>
        <w:tab/>
        <w:t>Other documents may be distributed to delegations during the session, for example, informal documents unrelated to an agenda item, advance copies of future proposals, etc.  These documents shall not be assigned an “INF” symbol, and must be reproduced and distributed by their author and not by the secretariat.  They shall not be considered during the session, unless the Working Party decides otherwise.</w:t>
      </w:r>
    </w:p>
    <w:p w14:paraId="6CB881AD" w14:textId="027AF5E7" w:rsidR="00C437E1" w:rsidRDefault="00C437E1" w:rsidP="00C437E1">
      <w:pPr>
        <w:pStyle w:val="H1G"/>
      </w:pPr>
      <w:r>
        <w:tab/>
      </w:r>
      <w:r>
        <w:tab/>
        <w:t xml:space="preserve">Appendix – Standard </w:t>
      </w:r>
      <w:r w:rsidR="00CA5025">
        <w:t>content for documents</w:t>
      </w:r>
      <w:r w:rsidR="00F91039">
        <w:t xml:space="preserve"> </w:t>
      </w:r>
      <w:r w:rsidR="00F91039" w:rsidRPr="00F91039">
        <w:t>(for proposals regarding regulatory texts or recommendations)</w:t>
      </w:r>
    </w:p>
    <w:p w14:paraId="6F654C84" w14:textId="228CA1DC" w:rsidR="008766A2" w:rsidRDefault="002F4362" w:rsidP="002F4362">
      <w:pPr>
        <w:pStyle w:val="Bullet1G"/>
      </w:pPr>
      <w:r>
        <w:t>Title of agenda item</w:t>
      </w:r>
    </w:p>
    <w:p w14:paraId="561A2EAE" w14:textId="47905A28" w:rsidR="002F4362" w:rsidRDefault="002F5071" w:rsidP="002F4362">
      <w:pPr>
        <w:pStyle w:val="Bullet1G"/>
      </w:pPr>
      <w:r w:rsidRPr="002F5071">
        <w:t>Title of proposal, setting out the question</w:t>
      </w:r>
    </w:p>
    <w:p w14:paraId="237C0AD4" w14:textId="21E00A06" w:rsidR="002F5071" w:rsidRDefault="002F5071" w:rsidP="002F4362">
      <w:pPr>
        <w:pStyle w:val="Bullet1G"/>
      </w:pPr>
      <w:r>
        <w:t>Submitted by…</w:t>
      </w:r>
    </w:p>
    <w:p w14:paraId="6BAE9B56" w14:textId="14986186" w:rsidR="002F5071" w:rsidRDefault="002F5071" w:rsidP="002F4362">
      <w:pPr>
        <w:pStyle w:val="Bullet1G"/>
      </w:pPr>
      <w:r>
        <w:t>Summary:</w:t>
      </w:r>
    </w:p>
    <w:p w14:paraId="2327D4A4" w14:textId="226A6EC7" w:rsidR="00CC7C84" w:rsidRDefault="00CC7C84" w:rsidP="00CC7C84">
      <w:pPr>
        <w:pStyle w:val="Bullet2G"/>
      </w:pPr>
      <w:r>
        <w:t>Executive summary: This description outlines the proposed objective (amendment, information only; etc.)</w:t>
      </w:r>
    </w:p>
    <w:p w14:paraId="4A154E20" w14:textId="78B8B157" w:rsidR="00CC7C84" w:rsidRDefault="00CC7C84" w:rsidP="00CC7C84">
      <w:pPr>
        <w:pStyle w:val="Bullet2G"/>
      </w:pPr>
      <w:r>
        <w:t>Action to be taken: Reference is made to the paragraphs of the regulations or other texts to be amended.</w:t>
      </w:r>
    </w:p>
    <w:p w14:paraId="5E1A9F22" w14:textId="03F4B188" w:rsidR="002F5071" w:rsidRDefault="00CC7C84" w:rsidP="00CC7C84">
      <w:pPr>
        <w:pStyle w:val="Bullet2G"/>
      </w:pPr>
      <w:r>
        <w:t>Related documents: Other key documents are listed.</w:t>
      </w:r>
    </w:p>
    <w:p w14:paraId="328EEEE6" w14:textId="2EBFF446" w:rsidR="00CC7C84" w:rsidRDefault="001C3A8B" w:rsidP="00CC7C84">
      <w:pPr>
        <w:pStyle w:val="Bullet1G"/>
      </w:pPr>
      <w:r w:rsidRPr="001C3A8B">
        <w:t>Introduction</w:t>
      </w:r>
      <w:r>
        <w:t xml:space="preserve">: </w:t>
      </w:r>
      <w:r w:rsidRPr="001C3A8B">
        <w:t>Motive/developments, which urgently justify the amendment.</w:t>
      </w:r>
    </w:p>
    <w:p w14:paraId="4F2A4473" w14:textId="33878F4D" w:rsidR="001C3A8B" w:rsidRDefault="00332629" w:rsidP="00CC7C84">
      <w:pPr>
        <w:pStyle w:val="Bullet1G"/>
      </w:pPr>
      <w:r w:rsidRPr="00332629">
        <w:t>Proposal</w:t>
      </w:r>
      <w:r>
        <w:t xml:space="preserve">: </w:t>
      </w:r>
      <w:r w:rsidRPr="00332629">
        <w:t>Description of the proposed amendment,</w:t>
      </w:r>
      <w:r>
        <w:t xml:space="preserve"> including </w:t>
      </w:r>
      <w:r w:rsidR="00D106F3" w:rsidRPr="00D106F3">
        <w:t>amended text of paragraphs and ensuing amendments.</w:t>
      </w:r>
    </w:p>
    <w:p w14:paraId="188CA61A" w14:textId="77777777" w:rsidR="00291262" w:rsidRDefault="00291262" w:rsidP="00CC7C84">
      <w:pPr>
        <w:pStyle w:val="Bullet1G"/>
      </w:pPr>
      <w:r w:rsidRPr="00291262">
        <w:t>Justification</w:t>
      </w:r>
      <w:r>
        <w:t xml:space="preserve">: </w:t>
      </w:r>
    </w:p>
    <w:p w14:paraId="4BF5E428" w14:textId="114FF4C9" w:rsidR="00D106F3" w:rsidRDefault="00291262" w:rsidP="00291262">
      <w:pPr>
        <w:pStyle w:val="Bullet2G"/>
      </w:pPr>
      <w:r w:rsidRPr="00291262">
        <w:t>Safety: What are the safety implications?</w:t>
      </w:r>
    </w:p>
    <w:p w14:paraId="01F81E77" w14:textId="1523A5C6" w:rsidR="00291262" w:rsidRDefault="004014A2" w:rsidP="00291262">
      <w:pPr>
        <w:pStyle w:val="Bullet2G"/>
      </w:pPr>
      <w:r w:rsidRPr="004014A2">
        <w:t xml:space="preserve">Feasibility: Which economic sector or public service is concerned by the </w:t>
      </w:r>
      <w:r w:rsidRPr="004014A2">
        <w:tab/>
        <w:t xml:space="preserve"> proposed amendment?</w:t>
      </w:r>
      <w:r>
        <w:t xml:space="preserve"> </w:t>
      </w:r>
      <w:r w:rsidR="00AD5B0A" w:rsidRPr="00AD5B0A">
        <w:t>What are the consequences in terms of advantages and disadvantages?</w:t>
      </w:r>
      <w:r w:rsidR="00AD5B0A">
        <w:t xml:space="preserve"> </w:t>
      </w:r>
      <w:r w:rsidR="008F1886" w:rsidRPr="008F1886">
        <w:t>Is a transitional period required?</w:t>
      </w:r>
    </w:p>
    <w:p w14:paraId="41B6A9DA" w14:textId="3F0D33C2" w:rsidR="0029751A" w:rsidRDefault="0029751A" w:rsidP="0029751A">
      <w:pPr>
        <w:pStyle w:val="Bullet2G"/>
      </w:pPr>
      <w:r w:rsidRPr="0029751A">
        <w:t>Enforceability: Once implemented, can the amendments be observed or monitored?</w:t>
      </w:r>
    </w:p>
    <w:p w14:paraId="0FEAE1C4" w14:textId="42384AC0" w:rsidR="00D87B00" w:rsidRDefault="00A2572C" w:rsidP="0029751A">
      <w:pPr>
        <w:pStyle w:val="Bullet2G"/>
      </w:pPr>
      <w:r w:rsidRPr="006E6E63">
        <w:rPr>
          <w:rFonts w:eastAsia="SimSun"/>
          <w:lang w:eastAsia="zh-CN"/>
        </w:rPr>
        <w:t>Circular economy, sustainable use of natural resources and Sustainable Development Goals</w:t>
      </w:r>
      <w:r>
        <w:rPr>
          <w:rFonts w:eastAsia="SimSun"/>
          <w:lang w:eastAsia="zh-CN"/>
        </w:rPr>
        <w:t xml:space="preserve"> (SDGs): Could the proposed amendments have an impact on the transition to circular economy? Could the proposed amendments help to achieve sustainable management and use </w:t>
      </w:r>
      <w:r w:rsidR="00767EAA">
        <w:rPr>
          <w:rFonts w:eastAsia="SimSun"/>
          <w:lang w:eastAsia="zh-CN"/>
        </w:rPr>
        <w:t xml:space="preserve">of </w:t>
      </w:r>
      <w:r>
        <w:rPr>
          <w:rFonts w:eastAsia="SimSun"/>
          <w:lang w:eastAsia="zh-CN"/>
        </w:rPr>
        <w:t xml:space="preserve">natural resources? How the proposed amendments could contribute to achieve some of the SDGs and their related targets in accordance with the </w:t>
      </w:r>
      <w:r w:rsidRPr="0017181D">
        <w:rPr>
          <w:rFonts w:eastAsia="SimSun"/>
          <w:lang w:eastAsia="zh-CN"/>
        </w:rPr>
        <w:t>2030 Agenda for Sustainable Development</w:t>
      </w:r>
      <w:r>
        <w:rPr>
          <w:rFonts w:eastAsia="SimSun"/>
          <w:lang w:eastAsia="zh-CN"/>
        </w:rPr>
        <w:t>?</w:t>
      </w:r>
    </w:p>
    <w:p w14:paraId="5B57852A" w14:textId="32EDA8AE" w:rsidR="00435068" w:rsidRDefault="00435068">
      <w:r>
        <w:br w:type="page"/>
      </w:r>
    </w:p>
    <w:p w14:paraId="59A65858" w14:textId="4FC6344C" w:rsidR="00435068" w:rsidRDefault="00435068" w:rsidP="00435068">
      <w:pPr>
        <w:pStyle w:val="HChG"/>
      </w:pPr>
      <w:r>
        <w:lastRenderedPageBreak/>
        <w:t>Annex III</w:t>
      </w:r>
    </w:p>
    <w:p w14:paraId="5D97FF69" w14:textId="21EC0D37" w:rsidR="00435068" w:rsidRDefault="00435068" w:rsidP="00435068">
      <w:pPr>
        <w:pStyle w:val="HChG"/>
      </w:pPr>
      <w:r>
        <w:tab/>
      </w:r>
      <w:r>
        <w:tab/>
      </w:r>
      <w:r w:rsidR="00B374BA">
        <w:t>M</w:t>
      </w:r>
      <w:r w:rsidR="00B374BA" w:rsidRPr="0019308F">
        <w:t>ethods of work of the Working Party</w:t>
      </w:r>
    </w:p>
    <w:p w14:paraId="1BD2B5F4" w14:textId="04988B90" w:rsidR="00541037" w:rsidRDefault="00071BDA" w:rsidP="00071BDA">
      <w:pPr>
        <w:pStyle w:val="H1G"/>
      </w:pPr>
      <w:r>
        <w:tab/>
      </w:r>
      <w:r w:rsidR="009E5E19">
        <w:t>I.</w:t>
      </w:r>
      <w:r>
        <w:tab/>
      </w:r>
      <w:r w:rsidR="009E5E19">
        <w:t>A</w:t>
      </w:r>
      <w:r w:rsidR="00541037">
        <w:t>doption of draft amendments adopted by the RID/ADR/ADN Joint Meeting</w:t>
      </w:r>
    </w:p>
    <w:p w14:paraId="51BE257C" w14:textId="140C81FD" w:rsidR="00541037" w:rsidRDefault="00541037" w:rsidP="00272542">
      <w:pPr>
        <w:pStyle w:val="SingleTxtG"/>
      </w:pPr>
      <w:r>
        <w:t>Draft amendments adopted by the RID/ADR/ADN Joint Meeting should be endorsed by the Working Party. If the Working Party decides not to endorse such amendments, this decision shall be brought to the attention of the Joint</w:t>
      </w:r>
      <w:r w:rsidR="00272542">
        <w:t xml:space="preserve"> </w:t>
      </w:r>
      <w:r>
        <w:t>Meeting together with arguments justifying the decision, for further</w:t>
      </w:r>
      <w:r w:rsidR="00272542">
        <w:t xml:space="preserve"> </w:t>
      </w:r>
      <w:r>
        <w:t>consideration by the Joint Meeting.</w:t>
      </w:r>
    </w:p>
    <w:p w14:paraId="4E528D8E" w14:textId="703A2ED5" w:rsidR="00541037" w:rsidRDefault="009E5E19" w:rsidP="009E5E19">
      <w:pPr>
        <w:pStyle w:val="H1G"/>
      </w:pPr>
      <w:r>
        <w:tab/>
        <w:t>II.</w:t>
      </w:r>
      <w:r>
        <w:tab/>
        <w:t>A</w:t>
      </w:r>
      <w:r w:rsidR="00541037">
        <w:t>genda of the Working Party at the last session of an</w:t>
      </w:r>
      <w:r w:rsidR="00272542">
        <w:t xml:space="preserve"> </w:t>
      </w:r>
      <w:r w:rsidR="00541037">
        <w:t>amendment period</w:t>
      </w:r>
    </w:p>
    <w:p w14:paraId="5B93C805" w14:textId="77777777" w:rsidR="00071BDA" w:rsidRPr="00071BDA" w:rsidRDefault="00071BDA" w:rsidP="00071BDA">
      <w:pPr>
        <w:pStyle w:val="SingleTxtG"/>
        <w:rPr>
          <w:rFonts w:eastAsia="Calibri"/>
        </w:rPr>
      </w:pPr>
      <w:r w:rsidRPr="00071BDA">
        <w:rPr>
          <w:rFonts w:eastAsia="Calibri"/>
        </w:rPr>
        <w:t>At the last (November) session of an amendment period, WP.15 shall consider the texts of all amendments adopted at previous meetings of WP.15 and the Joint Meeting.</w:t>
      </w:r>
    </w:p>
    <w:p w14:paraId="4F6D3C43" w14:textId="77777777" w:rsidR="00071BDA" w:rsidRPr="00071BDA" w:rsidRDefault="00071BDA" w:rsidP="00071BDA">
      <w:pPr>
        <w:pStyle w:val="SingleTxtG"/>
        <w:rPr>
          <w:rFonts w:eastAsia="Calibri"/>
        </w:rPr>
      </w:pPr>
      <w:r w:rsidRPr="00071BDA">
        <w:rPr>
          <w:rFonts w:eastAsia="Calibri"/>
        </w:rPr>
        <w:t xml:space="preserve">WP.15 may also consider </w:t>
      </w:r>
      <w:r w:rsidRPr="00071BDA">
        <w:t>new proposals for amendments at this session if time allows. In this case, priority should be given to new documents which:</w:t>
      </w:r>
    </w:p>
    <w:p w14:paraId="2CADA504" w14:textId="156DD820" w:rsidR="00071BDA" w:rsidRDefault="00071BDA" w:rsidP="00071BDA">
      <w:pPr>
        <w:pStyle w:val="Bullet1G"/>
        <w:rPr>
          <w:rFonts w:eastAsia="Calibri"/>
        </w:rPr>
      </w:pPr>
      <w:r w:rsidRPr="0019308F">
        <w:rPr>
          <w:rFonts w:eastAsia="Calibri"/>
        </w:rPr>
        <w:t>Relate to modifications of the amended text</w:t>
      </w:r>
      <w:r>
        <w:rPr>
          <w:rFonts w:eastAsia="Calibri"/>
        </w:rPr>
        <w:t>;</w:t>
      </w:r>
    </w:p>
    <w:p w14:paraId="626CF19A" w14:textId="1CA059A8" w:rsidR="00435068" w:rsidRPr="0023051D" w:rsidRDefault="00071BDA" w:rsidP="00071BDA">
      <w:pPr>
        <w:pStyle w:val="Bullet1G"/>
      </w:pPr>
      <w:r w:rsidRPr="0019308F">
        <w:rPr>
          <w:rFonts w:eastAsia="Calibri"/>
        </w:rPr>
        <w:t>Bring the Annexes into line with other international agreements concerning the transport of dangerous goods.</w:t>
      </w:r>
    </w:p>
    <w:p w14:paraId="2781F536" w14:textId="0FC1C157" w:rsidR="00AB7842" w:rsidRDefault="00AB7842" w:rsidP="00AB7842">
      <w:pPr>
        <w:pStyle w:val="H1G"/>
      </w:pPr>
      <w:r>
        <w:tab/>
        <w:t>III.</w:t>
      </w:r>
      <w:r>
        <w:tab/>
        <w:t>Documents to be submitted to the Working Party on the Transport of Dangerous Goods</w:t>
      </w:r>
    </w:p>
    <w:p w14:paraId="7FDA29B7" w14:textId="555DC44D" w:rsidR="00AB7842" w:rsidRDefault="00AB7842" w:rsidP="00AB7842">
      <w:pPr>
        <w:pStyle w:val="SingleTxtG"/>
      </w:pPr>
      <w:r>
        <w:t xml:space="preserve">See annex and appendix of the </w:t>
      </w:r>
      <w:r w:rsidR="005E3F0C">
        <w:t xml:space="preserve">rules </w:t>
      </w:r>
      <w:r w:rsidR="000C791E">
        <w:t>of procedure of the Working Party</w:t>
      </w:r>
      <w:r w:rsidR="002C75CB">
        <w:t xml:space="preserve"> on the Transport of Dangerous Goods (WP.15) </w:t>
      </w:r>
      <w:r w:rsidR="000C791E">
        <w:t>in annex II above.</w:t>
      </w:r>
    </w:p>
    <w:p w14:paraId="237B8D53" w14:textId="714FDB99" w:rsidR="002C75CB" w:rsidRPr="008627E0" w:rsidRDefault="008627E0" w:rsidP="008627E0">
      <w:pPr>
        <w:spacing w:before="240"/>
        <w:jc w:val="center"/>
        <w:rPr>
          <w:u w:val="single"/>
        </w:rPr>
      </w:pPr>
      <w:r>
        <w:rPr>
          <w:u w:val="single"/>
        </w:rPr>
        <w:tab/>
      </w:r>
      <w:r>
        <w:rPr>
          <w:u w:val="single"/>
        </w:rPr>
        <w:tab/>
      </w:r>
      <w:r>
        <w:rPr>
          <w:u w:val="single"/>
        </w:rPr>
        <w:tab/>
      </w:r>
    </w:p>
    <w:sectPr w:rsidR="002C75CB" w:rsidRPr="008627E0" w:rsidSect="00503BF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402A" w14:textId="77777777" w:rsidR="00381727" w:rsidRDefault="00381727"/>
  </w:endnote>
  <w:endnote w:type="continuationSeparator" w:id="0">
    <w:p w14:paraId="4A5C8406" w14:textId="77777777" w:rsidR="00381727" w:rsidRDefault="00381727"/>
  </w:endnote>
  <w:endnote w:type="continuationNotice" w:id="1">
    <w:p w14:paraId="2841B75B" w14:textId="77777777" w:rsidR="00381727" w:rsidRDefault="0038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77E6" w14:textId="0494F188" w:rsidR="000A0717" w:rsidRPr="00AF2321" w:rsidRDefault="00503BF6" w:rsidP="00AF2321">
    <w:pPr>
      <w:pStyle w:val="Footer"/>
      <w:tabs>
        <w:tab w:val="right" w:pos="9638"/>
      </w:tabs>
      <w:rPr>
        <w:sz w:val="18"/>
      </w:rPr>
    </w:pPr>
    <w:r w:rsidRPr="00503BF6">
      <w:rPr>
        <w:b/>
        <w:sz w:val="18"/>
      </w:rPr>
      <w:fldChar w:fldCharType="begin"/>
    </w:r>
    <w:r w:rsidRPr="00503BF6">
      <w:rPr>
        <w:b/>
        <w:sz w:val="18"/>
      </w:rPr>
      <w:instrText xml:space="preserve"> PAGE  \* MERGEFORMAT </w:instrText>
    </w:r>
    <w:r w:rsidRPr="00503BF6">
      <w:rPr>
        <w:b/>
        <w:sz w:val="18"/>
      </w:rPr>
      <w:fldChar w:fldCharType="separate"/>
    </w:r>
    <w:r w:rsidRPr="00503BF6">
      <w:rPr>
        <w:b/>
        <w:noProof/>
        <w:sz w:val="18"/>
      </w:rPr>
      <w:t>2</w:t>
    </w:r>
    <w:r w:rsidRPr="00503B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F8E" w14:textId="24E22C10" w:rsidR="000A0717" w:rsidRPr="00AF2321" w:rsidRDefault="00503BF6" w:rsidP="00AF2321">
    <w:pPr>
      <w:pStyle w:val="Footer"/>
      <w:tabs>
        <w:tab w:val="right" w:pos="9638"/>
      </w:tabs>
      <w:rPr>
        <w:b/>
        <w:sz w:val="18"/>
      </w:rPr>
    </w:pPr>
    <w:r>
      <w:tab/>
    </w:r>
    <w:r w:rsidRPr="00503BF6">
      <w:rPr>
        <w:b/>
        <w:sz w:val="18"/>
      </w:rPr>
      <w:fldChar w:fldCharType="begin"/>
    </w:r>
    <w:r w:rsidRPr="00503BF6">
      <w:rPr>
        <w:b/>
        <w:sz w:val="18"/>
      </w:rPr>
      <w:instrText xml:space="preserve"> PAGE  \* MERGEFORMAT </w:instrText>
    </w:r>
    <w:r w:rsidRPr="00503BF6">
      <w:rPr>
        <w:b/>
        <w:sz w:val="18"/>
      </w:rPr>
      <w:fldChar w:fldCharType="separate"/>
    </w:r>
    <w:r w:rsidRPr="00503BF6">
      <w:rPr>
        <w:b/>
        <w:noProof/>
        <w:sz w:val="18"/>
      </w:rPr>
      <w:t>3</w:t>
    </w:r>
    <w:r w:rsidRPr="00503B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4A3" w14:textId="12843B35" w:rsidR="008500CE" w:rsidRDefault="008500CE" w:rsidP="008500CE">
    <w:pPr>
      <w:pStyle w:val="Footer"/>
    </w:pPr>
    <w:r w:rsidRPr="0027112F">
      <w:rPr>
        <w:noProof/>
        <w:lang w:val="en-US"/>
      </w:rPr>
      <w:drawing>
        <wp:anchor distT="0" distB="0" distL="114300" distR="114300" simplePos="0" relativeHeight="251659264" behindDoc="0" locked="1" layoutInCell="1" allowOverlap="1" wp14:anchorId="75E02602" wp14:editId="331F1F0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DAE778" w14:textId="0B32BC5A" w:rsidR="008500CE" w:rsidRPr="008500CE" w:rsidRDefault="008500CE" w:rsidP="008500CE">
    <w:pPr>
      <w:pStyle w:val="Footer"/>
      <w:ind w:right="1134"/>
      <w:rPr>
        <w:sz w:val="20"/>
      </w:rPr>
    </w:pPr>
    <w:r>
      <w:rPr>
        <w:sz w:val="20"/>
      </w:rPr>
      <w:t>GE.24-00969(E)</w:t>
    </w:r>
    <w:r>
      <w:rPr>
        <w:noProof/>
        <w:sz w:val="20"/>
      </w:rPr>
      <w:drawing>
        <wp:anchor distT="0" distB="0" distL="114300" distR="114300" simplePos="0" relativeHeight="251660288" behindDoc="0" locked="0" layoutInCell="1" allowOverlap="1" wp14:anchorId="426CA6B9" wp14:editId="62441BEC">
          <wp:simplePos x="0" y="0"/>
          <wp:positionH relativeFrom="margin">
            <wp:posOffset>5615940</wp:posOffset>
          </wp:positionH>
          <wp:positionV relativeFrom="margin">
            <wp:posOffset>8905875</wp:posOffset>
          </wp:positionV>
          <wp:extent cx="561975" cy="561975"/>
          <wp:effectExtent l="0" t="0" r="9525" b="9525"/>
          <wp:wrapNone/>
          <wp:docPr id="1347096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5F87" w14:textId="77777777" w:rsidR="00381727" w:rsidRPr="000B175B" w:rsidRDefault="00381727" w:rsidP="000B175B">
      <w:pPr>
        <w:tabs>
          <w:tab w:val="right" w:pos="2155"/>
        </w:tabs>
        <w:spacing w:after="80"/>
        <w:ind w:left="680"/>
        <w:rPr>
          <w:u w:val="single"/>
        </w:rPr>
      </w:pPr>
      <w:r>
        <w:rPr>
          <w:u w:val="single"/>
        </w:rPr>
        <w:tab/>
      </w:r>
    </w:p>
  </w:footnote>
  <w:footnote w:type="continuationSeparator" w:id="0">
    <w:p w14:paraId="13155A18" w14:textId="77777777" w:rsidR="00381727" w:rsidRPr="00FC68B7" w:rsidRDefault="00381727" w:rsidP="00FC68B7">
      <w:pPr>
        <w:tabs>
          <w:tab w:val="left" w:pos="2155"/>
        </w:tabs>
        <w:spacing w:after="80"/>
        <w:ind w:left="680"/>
        <w:rPr>
          <w:u w:val="single"/>
        </w:rPr>
      </w:pPr>
      <w:r>
        <w:rPr>
          <w:u w:val="single"/>
        </w:rPr>
        <w:tab/>
      </w:r>
    </w:p>
  </w:footnote>
  <w:footnote w:type="continuationNotice" w:id="1">
    <w:p w14:paraId="413E2D2C" w14:textId="77777777" w:rsidR="00381727" w:rsidRDefault="00381727"/>
  </w:footnote>
  <w:footnote w:id="2">
    <w:p w14:paraId="46ED2DFE" w14:textId="77777777" w:rsidR="00C47591" w:rsidRPr="00763EB1" w:rsidRDefault="00C47591" w:rsidP="00C47591">
      <w:pPr>
        <w:pStyle w:val="FootnoteText"/>
        <w:rPr>
          <w:lang w:val="fr-CH"/>
        </w:rPr>
      </w:pPr>
      <w:r>
        <w:rPr>
          <w:rStyle w:val="FootnoteReference"/>
        </w:rPr>
        <w:tab/>
      </w:r>
      <w:r w:rsidRPr="00841BF7">
        <w:rPr>
          <w:rStyle w:val="FootnoteReference"/>
          <w:b/>
          <w:sz w:val="20"/>
        </w:rPr>
        <w:t>*</w:t>
      </w:r>
      <w:r>
        <w:rPr>
          <w:rStyle w:val="FootnoteReference"/>
          <w:sz w:val="20"/>
          <w:vertAlign w:val="baseline"/>
        </w:rPr>
        <w:tab/>
      </w:r>
      <w:r>
        <w:rPr>
          <w:rStyle w:val="FootnoteReference"/>
          <w:sz w:val="20"/>
          <w:vertAlign w:val="baseline"/>
        </w:rPr>
        <w:tab/>
      </w:r>
      <w:r w:rsidRPr="000D104F">
        <w:t>A/78/6 (Sect. 20), table 20.5</w:t>
      </w:r>
      <w:r>
        <w:t>.</w:t>
      </w:r>
    </w:p>
  </w:footnote>
  <w:footnote w:id="3">
    <w:p w14:paraId="7D204A26" w14:textId="33088177" w:rsidR="001625E2" w:rsidRPr="001625E2" w:rsidRDefault="001625E2" w:rsidP="001625E2">
      <w:pPr>
        <w:pStyle w:val="FootnoteText"/>
        <w:widowControl w:val="0"/>
        <w:tabs>
          <w:tab w:val="clear" w:pos="1021"/>
          <w:tab w:val="right" w:pos="1020"/>
        </w:tabs>
        <w:suppressAutoHyphens/>
        <w:rPr>
          <w:lang w:val="fr-CH"/>
        </w:rPr>
      </w:pPr>
      <w:r>
        <w:tab/>
      </w:r>
      <w:r>
        <w:rPr>
          <w:rStyle w:val="FootnoteReference"/>
        </w:rPr>
        <w:footnoteRef/>
      </w:r>
      <w:r>
        <w:tab/>
      </w:r>
      <w:r w:rsidRPr="001625E2">
        <w:t>“The Commission shall invite any Member of the United Nations not a member of the Commission to participate in a consultative capacity in its consideration of any matter of particular concern to that non member.”</w:t>
      </w:r>
      <w:r>
        <w:t xml:space="preserve"> </w:t>
      </w:r>
    </w:p>
  </w:footnote>
  <w:footnote w:id="4">
    <w:p w14:paraId="016EB60C" w14:textId="2396DB4B" w:rsidR="001625E2" w:rsidRPr="001625E2" w:rsidRDefault="001625E2" w:rsidP="001625E2">
      <w:pPr>
        <w:pStyle w:val="FootnoteText"/>
        <w:widowControl w:val="0"/>
        <w:tabs>
          <w:tab w:val="clear" w:pos="1021"/>
          <w:tab w:val="right" w:pos="1020"/>
        </w:tabs>
        <w:suppressAutoHyphens/>
        <w:rPr>
          <w:lang w:val="fr-CH"/>
        </w:rPr>
      </w:pPr>
      <w:r>
        <w:tab/>
      </w:r>
      <w:r>
        <w:rPr>
          <w:rStyle w:val="FootnoteReference"/>
        </w:rPr>
        <w:footnoteRef/>
      </w:r>
      <w:r>
        <w:tab/>
      </w:r>
      <w:r w:rsidRPr="001625E2">
        <w:t>“The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5">
    <w:p w14:paraId="774E8A3C" w14:textId="5BCC26C5" w:rsidR="001625E2" w:rsidRPr="001625E2" w:rsidRDefault="001625E2" w:rsidP="001625E2">
      <w:pPr>
        <w:pStyle w:val="FootnoteText"/>
        <w:widowControl w:val="0"/>
        <w:tabs>
          <w:tab w:val="clear" w:pos="1021"/>
          <w:tab w:val="right" w:pos="1020"/>
        </w:tabs>
        <w:suppressAutoHyphens/>
        <w:rPr>
          <w:lang w:val="fr-CH"/>
        </w:rPr>
      </w:pPr>
      <w:r>
        <w:tab/>
      </w:r>
      <w:r>
        <w:rPr>
          <w:rStyle w:val="FootnoteReference"/>
        </w:rPr>
        <w:footnoteRef/>
      </w:r>
      <w:r>
        <w:tab/>
      </w:r>
      <w:r w:rsidRPr="001625E2">
        <w:t>“The Commission shall make arrangements for consultation with non governmental organizations which have been granted consultative status by the Economic and Social Council, in accordance with the principles approved by the Council for this purpose and contained in Council resolution 1996/31, parts I and II.”</w:t>
      </w:r>
    </w:p>
  </w:footnote>
  <w:footnote w:id="6">
    <w:p w14:paraId="54EBB0A6" w14:textId="74C4B888" w:rsidR="006B3AA3" w:rsidRPr="006B3AA3" w:rsidRDefault="006B3AA3" w:rsidP="006B3AA3">
      <w:pPr>
        <w:pStyle w:val="FootnoteText"/>
        <w:widowControl w:val="0"/>
        <w:tabs>
          <w:tab w:val="clear" w:pos="1021"/>
          <w:tab w:val="right" w:pos="1020"/>
        </w:tabs>
        <w:suppressAutoHyphens/>
        <w:rPr>
          <w:lang w:val="fr-CH"/>
        </w:rPr>
      </w:pPr>
      <w:r>
        <w:tab/>
      </w:r>
      <w:r>
        <w:rPr>
          <w:rStyle w:val="FootnoteReference"/>
        </w:rPr>
        <w:footnoteRef/>
      </w:r>
      <w:r>
        <w:tab/>
      </w:r>
      <w:r w:rsidR="00AF2321" w:rsidRPr="00AF2321">
        <w:t>https://unece.org/info/events/unece-meetings-and-events/transport/dangerous%20goods</w:t>
      </w:r>
      <w:r>
        <w:t xml:space="preserve"> </w:t>
      </w:r>
    </w:p>
  </w:footnote>
  <w:footnote w:id="7">
    <w:p w14:paraId="145F1DBC" w14:textId="65A586A4" w:rsidR="00E05127" w:rsidRPr="0023051D" w:rsidRDefault="00E05127" w:rsidP="0023051D">
      <w:pPr>
        <w:pStyle w:val="FootnoteText"/>
        <w:widowControl w:val="0"/>
        <w:suppressAutoHyphens/>
        <w:rPr>
          <w:lang w:val="fr-CH"/>
        </w:rPr>
      </w:pPr>
      <w:r>
        <w:tab/>
      </w:r>
      <w:r>
        <w:rPr>
          <w:rStyle w:val="FootnoteReference"/>
        </w:rPr>
        <w:footnoteRef/>
      </w:r>
      <w:r>
        <w:tab/>
      </w:r>
      <w:r w:rsidR="00CF6D12">
        <w:t xml:space="preserve">For the RID/ADR/ADN Joint Meeting, </w:t>
      </w:r>
      <w:r w:rsidR="00803806">
        <w:t xml:space="preserve">see </w:t>
      </w:r>
      <w:r w:rsidR="00803806" w:rsidRPr="00B6121E">
        <w:t>ECE/TRANS/WP.15/AC.1/112/Add.2 as amended in ECE/TRANS/WP.15/AC.1/120 and ECE/TRANS/WP.15/AC.1/122</w:t>
      </w:r>
      <w:r w:rsidR="00803806">
        <w:t xml:space="preserve">. </w:t>
      </w:r>
      <w:r>
        <w:t xml:space="preserve">For the ADN Safety Committee see </w:t>
      </w:r>
      <w:r w:rsidR="00CF6D12" w:rsidRPr="00B6121E">
        <w:t>annex V to ECE/TRANS/2023/9</w:t>
      </w:r>
      <w:r w:rsidR="00CF6D12">
        <w:t>.</w:t>
      </w:r>
    </w:p>
  </w:footnote>
  <w:footnote w:id="8">
    <w:p w14:paraId="24F88B93" w14:textId="75485FA5" w:rsidR="003D7380" w:rsidRPr="003D7380" w:rsidRDefault="003D7380" w:rsidP="003D7380">
      <w:pPr>
        <w:pStyle w:val="FootnoteText"/>
        <w:widowControl w:val="0"/>
        <w:tabs>
          <w:tab w:val="clear" w:pos="1021"/>
          <w:tab w:val="right" w:pos="1020"/>
        </w:tabs>
        <w:suppressAutoHyphens/>
        <w:rPr>
          <w:lang w:val="fr-CH"/>
        </w:rPr>
      </w:pPr>
      <w:r>
        <w:tab/>
      </w:r>
      <w:r>
        <w:rPr>
          <w:rStyle w:val="FootnoteReference"/>
        </w:rPr>
        <w:footnoteRef/>
      </w:r>
      <w:r>
        <w:tab/>
        <w:t xml:space="preserve"> </w:t>
      </w:r>
      <w:r w:rsidR="008766A2" w:rsidRPr="008766A2">
        <w:t>https://unece.org/info/events/unece-meetings-and-events/transport/dangerous%20goods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8539" w14:textId="36936644" w:rsidR="00503BF6" w:rsidRPr="00503BF6" w:rsidRDefault="006E42BF">
    <w:pPr>
      <w:pStyle w:val="Header"/>
    </w:pPr>
    <w:fldSimple w:instr=" TITLE  \* MERGEFORMAT ">
      <w:r w:rsidR="006F373D">
        <w:t>ECE/TRANS/WP.15/2024/9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B2E6" w14:textId="563E9153" w:rsidR="00503BF6" w:rsidRPr="00503BF6" w:rsidRDefault="006E42BF" w:rsidP="00503BF6">
    <w:pPr>
      <w:pStyle w:val="Header"/>
      <w:jc w:val="right"/>
    </w:pPr>
    <w:fldSimple w:instr=" TITLE  \* MERGEFORMAT ">
      <w:r w:rsidR="006F373D">
        <w:t>ECE/TRANS/WP.15/2024/9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061F0"/>
    <w:multiLevelType w:val="hybridMultilevel"/>
    <w:tmpl w:val="5E1CDD0A"/>
    <w:lvl w:ilvl="0" w:tplc="AEC43C7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13201026">
    <w:abstractNumId w:val="1"/>
  </w:num>
  <w:num w:numId="2" w16cid:durableId="26223920">
    <w:abstractNumId w:val="0"/>
  </w:num>
  <w:num w:numId="3" w16cid:durableId="716390222">
    <w:abstractNumId w:val="2"/>
  </w:num>
  <w:num w:numId="4" w16cid:durableId="1817409556">
    <w:abstractNumId w:val="3"/>
  </w:num>
  <w:num w:numId="5" w16cid:durableId="653609164">
    <w:abstractNumId w:val="8"/>
  </w:num>
  <w:num w:numId="6" w16cid:durableId="1444181324">
    <w:abstractNumId w:val="9"/>
  </w:num>
  <w:num w:numId="7" w16cid:durableId="1479112635">
    <w:abstractNumId w:val="7"/>
  </w:num>
  <w:num w:numId="8" w16cid:durableId="144472029">
    <w:abstractNumId w:val="6"/>
  </w:num>
  <w:num w:numId="9" w16cid:durableId="895045039">
    <w:abstractNumId w:val="5"/>
  </w:num>
  <w:num w:numId="10" w16cid:durableId="1509903969">
    <w:abstractNumId w:val="4"/>
  </w:num>
  <w:num w:numId="11" w16cid:durableId="1139570946">
    <w:abstractNumId w:val="16"/>
  </w:num>
  <w:num w:numId="12" w16cid:durableId="1486048890">
    <w:abstractNumId w:val="14"/>
  </w:num>
  <w:num w:numId="13" w16cid:durableId="2139755566">
    <w:abstractNumId w:val="10"/>
  </w:num>
  <w:num w:numId="14" w16cid:durableId="418911970">
    <w:abstractNumId w:val="12"/>
  </w:num>
  <w:num w:numId="15" w16cid:durableId="1176652618">
    <w:abstractNumId w:val="17"/>
  </w:num>
  <w:num w:numId="16" w16cid:durableId="207187756">
    <w:abstractNumId w:val="13"/>
  </w:num>
  <w:num w:numId="17" w16cid:durableId="114980850">
    <w:abstractNumId w:val="18"/>
  </w:num>
  <w:num w:numId="18" w16cid:durableId="45109842">
    <w:abstractNumId w:val="19"/>
  </w:num>
  <w:num w:numId="19" w16cid:durableId="1659504492">
    <w:abstractNumId w:val="11"/>
  </w:num>
  <w:num w:numId="20" w16cid:durableId="1031108280">
    <w:abstractNumId w:val="11"/>
  </w:num>
  <w:num w:numId="21" w16cid:durableId="1519918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F6"/>
    <w:rsid w:val="00000C75"/>
    <w:rsid w:val="00002A7D"/>
    <w:rsid w:val="000038A8"/>
    <w:rsid w:val="00006790"/>
    <w:rsid w:val="00027624"/>
    <w:rsid w:val="00050F6B"/>
    <w:rsid w:val="00057457"/>
    <w:rsid w:val="000678CD"/>
    <w:rsid w:val="0007036D"/>
    <w:rsid w:val="00070549"/>
    <w:rsid w:val="00071BDA"/>
    <w:rsid w:val="00071DEC"/>
    <w:rsid w:val="00072C8C"/>
    <w:rsid w:val="00081CE0"/>
    <w:rsid w:val="00084D30"/>
    <w:rsid w:val="00090320"/>
    <w:rsid w:val="000931C0"/>
    <w:rsid w:val="0009732C"/>
    <w:rsid w:val="000A01F9"/>
    <w:rsid w:val="000A0717"/>
    <w:rsid w:val="000A2E09"/>
    <w:rsid w:val="000B175B"/>
    <w:rsid w:val="000B3A0F"/>
    <w:rsid w:val="000C791E"/>
    <w:rsid w:val="000E0415"/>
    <w:rsid w:val="000F720C"/>
    <w:rsid w:val="000F7715"/>
    <w:rsid w:val="00142630"/>
    <w:rsid w:val="00156B99"/>
    <w:rsid w:val="001625E2"/>
    <w:rsid w:val="00166124"/>
    <w:rsid w:val="00184849"/>
    <w:rsid w:val="00184DDA"/>
    <w:rsid w:val="001900CD"/>
    <w:rsid w:val="001A0452"/>
    <w:rsid w:val="001A64A8"/>
    <w:rsid w:val="001A6547"/>
    <w:rsid w:val="001A76A0"/>
    <w:rsid w:val="001B4B04"/>
    <w:rsid w:val="001B5875"/>
    <w:rsid w:val="001C3A8B"/>
    <w:rsid w:val="001C4B9C"/>
    <w:rsid w:val="001C6663"/>
    <w:rsid w:val="001C7895"/>
    <w:rsid w:val="001C7B67"/>
    <w:rsid w:val="001D26DF"/>
    <w:rsid w:val="001D5608"/>
    <w:rsid w:val="001E2F34"/>
    <w:rsid w:val="001E555D"/>
    <w:rsid w:val="001F1599"/>
    <w:rsid w:val="001F19C4"/>
    <w:rsid w:val="002043F0"/>
    <w:rsid w:val="00211E0B"/>
    <w:rsid w:val="0023051D"/>
    <w:rsid w:val="00232575"/>
    <w:rsid w:val="00235A1A"/>
    <w:rsid w:val="0024591C"/>
    <w:rsid w:val="00246802"/>
    <w:rsid w:val="00247258"/>
    <w:rsid w:val="00257CAC"/>
    <w:rsid w:val="00264441"/>
    <w:rsid w:val="0027237A"/>
    <w:rsid w:val="00272542"/>
    <w:rsid w:val="00291262"/>
    <w:rsid w:val="002943AC"/>
    <w:rsid w:val="002974E9"/>
    <w:rsid w:val="0029751A"/>
    <w:rsid w:val="002A7F94"/>
    <w:rsid w:val="002B109A"/>
    <w:rsid w:val="002C29AC"/>
    <w:rsid w:val="002C6D45"/>
    <w:rsid w:val="002C75CB"/>
    <w:rsid w:val="002D6E53"/>
    <w:rsid w:val="002E2A96"/>
    <w:rsid w:val="002F046D"/>
    <w:rsid w:val="002F3023"/>
    <w:rsid w:val="002F4362"/>
    <w:rsid w:val="002F5071"/>
    <w:rsid w:val="00301764"/>
    <w:rsid w:val="003229D8"/>
    <w:rsid w:val="00325145"/>
    <w:rsid w:val="00332629"/>
    <w:rsid w:val="00336C97"/>
    <w:rsid w:val="00336D3E"/>
    <w:rsid w:val="00337F88"/>
    <w:rsid w:val="00342432"/>
    <w:rsid w:val="0035223F"/>
    <w:rsid w:val="00352D4B"/>
    <w:rsid w:val="0035638C"/>
    <w:rsid w:val="00362DBB"/>
    <w:rsid w:val="00381727"/>
    <w:rsid w:val="0039386C"/>
    <w:rsid w:val="003A409B"/>
    <w:rsid w:val="003A46BB"/>
    <w:rsid w:val="003A4EC7"/>
    <w:rsid w:val="003A7295"/>
    <w:rsid w:val="003B1F60"/>
    <w:rsid w:val="003C189E"/>
    <w:rsid w:val="003C2CC4"/>
    <w:rsid w:val="003D4B23"/>
    <w:rsid w:val="003D7380"/>
    <w:rsid w:val="003E0A05"/>
    <w:rsid w:val="003E278A"/>
    <w:rsid w:val="004014A2"/>
    <w:rsid w:val="00413520"/>
    <w:rsid w:val="00423C57"/>
    <w:rsid w:val="00430D57"/>
    <w:rsid w:val="004325CB"/>
    <w:rsid w:val="00435068"/>
    <w:rsid w:val="0043536A"/>
    <w:rsid w:val="00440A07"/>
    <w:rsid w:val="0046107E"/>
    <w:rsid w:val="00462880"/>
    <w:rsid w:val="00476F24"/>
    <w:rsid w:val="004818B6"/>
    <w:rsid w:val="00497BA5"/>
    <w:rsid w:val="004C35CB"/>
    <w:rsid w:val="004C55B0"/>
    <w:rsid w:val="004D57ED"/>
    <w:rsid w:val="004D5962"/>
    <w:rsid w:val="004E2D26"/>
    <w:rsid w:val="004F6BA0"/>
    <w:rsid w:val="005038DF"/>
    <w:rsid w:val="00503BEA"/>
    <w:rsid w:val="00503BF6"/>
    <w:rsid w:val="00514DC0"/>
    <w:rsid w:val="00533616"/>
    <w:rsid w:val="00535ABA"/>
    <w:rsid w:val="0053768B"/>
    <w:rsid w:val="00541037"/>
    <w:rsid w:val="005420F2"/>
    <w:rsid w:val="00542413"/>
    <w:rsid w:val="0054285C"/>
    <w:rsid w:val="005529BB"/>
    <w:rsid w:val="00560E79"/>
    <w:rsid w:val="0056559C"/>
    <w:rsid w:val="00573382"/>
    <w:rsid w:val="00584173"/>
    <w:rsid w:val="00595520"/>
    <w:rsid w:val="00597023"/>
    <w:rsid w:val="005A44B9"/>
    <w:rsid w:val="005B1BA0"/>
    <w:rsid w:val="005B3DB3"/>
    <w:rsid w:val="005D15CA"/>
    <w:rsid w:val="005D7969"/>
    <w:rsid w:val="005E334B"/>
    <w:rsid w:val="005E3F0C"/>
    <w:rsid w:val="005F08DF"/>
    <w:rsid w:val="005F3066"/>
    <w:rsid w:val="005F3E61"/>
    <w:rsid w:val="00604DDD"/>
    <w:rsid w:val="006115CC"/>
    <w:rsid w:val="00611B18"/>
    <w:rsid w:val="00611FC4"/>
    <w:rsid w:val="006176FB"/>
    <w:rsid w:val="00630FCB"/>
    <w:rsid w:val="006360E6"/>
    <w:rsid w:val="00640B26"/>
    <w:rsid w:val="0065766B"/>
    <w:rsid w:val="00666106"/>
    <w:rsid w:val="006770B2"/>
    <w:rsid w:val="00686A48"/>
    <w:rsid w:val="006940E1"/>
    <w:rsid w:val="006A3C72"/>
    <w:rsid w:val="006A7392"/>
    <w:rsid w:val="006B0062"/>
    <w:rsid w:val="006B03A1"/>
    <w:rsid w:val="006B1A4A"/>
    <w:rsid w:val="006B3AA3"/>
    <w:rsid w:val="006B67D9"/>
    <w:rsid w:val="006C5535"/>
    <w:rsid w:val="006D0589"/>
    <w:rsid w:val="006E42BF"/>
    <w:rsid w:val="006E564B"/>
    <w:rsid w:val="006E7154"/>
    <w:rsid w:val="006E7434"/>
    <w:rsid w:val="006F373D"/>
    <w:rsid w:val="007003CD"/>
    <w:rsid w:val="0070701E"/>
    <w:rsid w:val="00715C0D"/>
    <w:rsid w:val="007173E0"/>
    <w:rsid w:val="0072632A"/>
    <w:rsid w:val="00735835"/>
    <w:rsid w:val="007358E8"/>
    <w:rsid w:val="00736ECE"/>
    <w:rsid w:val="0074533B"/>
    <w:rsid w:val="007643BC"/>
    <w:rsid w:val="00766273"/>
    <w:rsid w:val="0076732E"/>
    <w:rsid w:val="00767EAA"/>
    <w:rsid w:val="007801C5"/>
    <w:rsid w:val="00780C68"/>
    <w:rsid w:val="00791054"/>
    <w:rsid w:val="007959FE"/>
    <w:rsid w:val="00795F77"/>
    <w:rsid w:val="007A0CF1"/>
    <w:rsid w:val="007A478E"/>
    <w:rsid w:val="007B6BA5"/>
    <w:rsid w:val="007C3390"/>
    <w:rsid w:val="007C42D8"/>
    <w:rsid w:val="007C4F4B"/>
    <w:rsid w:val="007D7362"/>
    <w:rsid w:val="007E2EAB"/>
    <w:rsid w:val="007F5CE2"/>
    <w:rsid w:val="007F6611"/>
    <w:rsid w:val="00800522"/>
    <w:rsid w:val="00802E4A"/>
    <w:rsid w:val="00803806"/>
    <w:rsid w:val="00810BAC"/>
    <w:rsid w:val="008175E9"/>
    <w:rsid w:val="00821891"/>
    <w:rsid w:val="008242D7"/>
    <w:rsid w:val="0082577B"/>
    <w:rsid w:val="008261B2"/>
    <w:rsid w:val="008272DD"/>
    <w:rsid w:val="008332B5"/>
    <w:rsid w:val="00846D40"/>
    <w:rsid w:val="008500CE"/>
    <w:rsid w:val="008627E0"/>
    <w:rsid w:val="00865B4A"/>
    <w:rsid w:val="00866893"/>
    <w:rsid w:val="00866F02"/>
    <w:rsid w:val="00867D18"/>
    <w:rsid w:val="00871F9A"/>
    <w:rsid w:val="00871FD5"/>
    <w:rsid w:val="008766A2"/>
    <w:rsid w:val="0088172E"/>
    <w:rsid w:val="00881EFA"/>
    <w:rsid w:val="00882320"/>
    <w:rsid w:val="008879CB"/>
    <w:rsid w:val="008979B1"/>
    <w:rsid w:val="00897B74"/>
    <w:rsid w:val="008A5FB8"/>
    <w:rsid w:val="008A6B25"/>
    <w:rsid w:val="008A6C4F"/>
    <w:rsid w:val="008A77AE"/>
    <w:rsid w:val="008B389E"/>
    <w:rsid w:val="008B42B3"/>
    <w:rsid w:val="008D045E"/>
    <w:rsid w:val="008D3F25"/>
    <w:rsid w:val="008D4D82"/>
    <w:rsid w:val="008E04B6"/>
    <w:rsid w:val="008E0E46"/>
    <w:rsid w:val="008E7116"/>
    <w:rsid w:val="008F143B"/>
    <w:rsid w:val="008F1886"/>
    <w:rsid w:val="008F2C8F"/>
    <w:rsid w:val="008F3882"/>
    <w:rsid w:val="008F4478"/>
    <w:rsid w:val="008F4B7C"/>
    <w:rsid w:val="009269C7"/>
    <w:rsid w:val="00926E47"/>
    <w:rsid w:val="00941465"/>
    <w:rsid w:val="00947162"/>
    <w:rsid w:val="00953A55"/>
    <w:rsid w:val="00956931"/>
    <w:rsid w:val="009610D0"/>
    <w:rsid w:val="00962930"/>
    <w:rsid w:val="0096375C"/>
    <w:rsid w:val="009662E6"/>
    <w:rsid w:val="0097095E"/>
    <w:rsid w:val="0098592B"/>
    <w:rsid w:val="00985FC4"/>
    <w:rsid w:val="00990766"/>
    <w:rsid w:val="00991261"/>
    <w:rsid w:val="009964C4"/>
    <w:rsid w:val="009A7B81"/>
    <w:rsid w:val="009D01C0"/>
    <w:rsid w:val="009D0CD0"/>
    <w:rsid w:val="009D6A08"/>
    <w:rsid w:val="009E0A16"/>
    <w:rsid w:val="009E0AFF"/>
    <w:rsid w:val="009E5E19"/>
    <w:rsid w:val="009E6CB7"/>
    <w:rsid w:val="009E7970"/>
    <w:rsid w:val="009F0109"/>
    <w:rsid w:val="009F1AC6"/>
    <w:rsid w:val="009F2EAC"/>
    <w:rsid w:val="009F57E3"/>
    <w:rsid w:val="00A10F4F"/>
    <w:rsid w:val="00A11067"/>
    <w:rsid w:val="00A1704A"/>
    <w:rsid w:val="00A22C2B"/>
    <w:rsid w:val="00A2572C"/>
    <w:rsid w:val="00A40A56"/>
    <w:rsid w:val="00A425EB"/>
    <w:rsid w:val="00A50C75"/>
    <w:rsid w:val="00A54FA4"/>
    <w:rsid w:val="00A71F62"/>
    <w:rsid w:val="00A72F22"/>
    <w:rsid w:val="00A733BC"/>
    <w:rsid w:val="00A748A6"/>
    <w:rsid w:val="00A76A69"/>
    <w:rsid w:val="00A879A4"/>
    <w:rsid w:val="00AA0FF8"/>
    <w:rsid w:val="00AB7842"/>
    <w:rsid w:val="00AC0F2C"/>
    <w:rsid w:val="00AC502A"/>
    <w:rsid w:val="00AD5B0A"/>
    <w:rsid w:val="00AF04DC"/>
    <w:rsid w:val="00AF2321"/>
    <w:rsid w:val="00AF58C1"/>
    <w:rsid w:val="00B04A3F"/>
    <w:rsid w:val="00B06643"/>
    <w:rsid w:val="00B15055"/>
    <w:rsid w:val="00B20551"/>
    <w:rsid w:val="00B23D55"/>
    <w:rsid w:val="00B30179"/>
    <w:rsid w:val="00B32D22"/>
    <w:rsid w:val="00B33FC7"/>
    <w:rsid w:val="00B374BA"/>
    <w:rsid w:val="00B37B15"/>
    <w:rsid w:val="00B45C02"/>
    <w:rsid w:val="00B70B63"/>
    <w:rsid w:val="00B72A1E"/>
    <w:rsid w:val="00B76677"/>
    <w:rsid w:val="00B76D55"/>
    <w:rsid w:val="00B81E12"/>
    <w:rsid w:val="00BA339B"/>
    <w:rsid w:val="00BB23CC"/>
    <w:rsid w:val="00BB763D"/>
    <w:rsid w:val="00BC1E7E"/>
    <w:rsid w:val="00BC74E9"/>
    <w:rsid w:val="00BE36A9"/>
    <w:rsid w:val="00BE50A4"/>
    <w:rsid w:val="00BE618E"/>
    <w:rsid w:val="00BE7BEC"/>
    <w:rsid w:val="00BF0A5A"/>
    <w:rsid w:val="00BF0E63"/>
    <w:rsid w:val="00BF12A3"/>
    <w:rsid w:val="00BF16D7"/>
    <w:rsid w:val="00BF2373"/>
    <w:rsid w:val="00BF7389"/>
    <w:rsid w:val="00C0294F"/>
    <w:rsid w:val="00C044E2"/>
    <w:rsid w:val="00C048CB"/>
    <w:rsid w:val="00C066F3"/>
    <w:rsid w:val="00C408B7"/>
    <w:rsid w:val="00C411EB"/>
    <w:rsid w:val="00C437E1"/>
    <w:rsid w:val="00C442A2"/>
    <w:rsid w:val="00C463DD"/>
    <w:rsid w:val="00C46E2A"/>
    <w:rsid w:val="00C47591"/>
    <w:rsid w:val="00C7287A"/>
    <w:rsid w:val="00C745C3"/>
    <w:rsid w:val="00C87F86"/>
    <w:rsid w:val="00C978F5"/>
    <w:rsid w:val="00CA24A4"/>
    <w:rsid w:val="00CA459C"/>
    <w:rsid w:val="00CA5025"/>
    <w:rsid w:val="00CB0A16"/>
    <w:rsid w:val="00CB348D"/>
    <w:rsid w:val="00CC4263"/>
    <w:rsid w:val="00CC632F"/>
    <w:rsid w:val="00CC7C84"/>
    <w:rsid w:val="00CD46F5"/>
    <w:rsid w:val="00CE4A8F"/>
    <w:rsid w:val="00CE78F6"/>
    <w:rsid w:val="00CF071D"/>
    <w:rsid w:val="00CF6D12"/>
    <w:rsid w:val="00D0123D"/>
    <w:rsid w:val="00D106F3"/>
    <w:rsid w:val="00D1120E"/>
    <w:rsid w:val="00D14AB6"/>
    <w:rsid w:val="00D15B04"/>
    <w:rsid w:val="00D2031B"/>
    <w:rsid w:val="00D22BBE"/>
    <w:rsid w:val="00D25FE2"/>
    <w:rsid w:val="00D271D3"/>
    <w:rsid w:val="00D368BE"/>
    <w:rsid w:val="00D37DA9"/>
    <w:rsid w:val="00D406A7"/>
    <w:rsid w:val="00D40765"/>
    <w:rsid w:val="00D43252"/>
    <w:rsid w:val="00D44D86"/>
    <w:rsid w:val="00D50B7D"/>
    <w:rsid w:val="00D52012"/>
    <w:rsid w:val="00D704E5"/>
    <w:rsid w:val="00D71F80"/>
    <w:rsid w:val="00D72727"/>
    <w:rsid w:val="00D87B00"/>
    <w:rsid w:val="00D978C6"/>
    <w:rsid w:val="00DA0956"/>
    <w:rsid w:val="00DA357F"/>
    <w:rsid w:val="00DA3E12"/>
    <w:rsid w:val="00DA4913"/>
    <w:rsid w:val="00DA4D48"/>
    <w:rsid w:val="00DA6C54"/>
    <w:rsid w:val="00DB5745"/>
    <w:rsid w:val="00DB6908"/>
    <w:rsid w:val="00DC18AD"/>
    <w:rsid w:val="00DF7CAE"/>
    <w:rsid w:val="00E05127"/>
    <w:rsid w:val="00E275CD"/>
    <w:rsid w:val="00E30D9F"/>
    <w:rsid w:val="00E416B3"/>
    <w:rsid w:val="00E423C0"/>
    <w:rsid w:val="00E6414C"/>
    <w:rsid w:val="00E67CCD"/>
    <w:rsid w:val="00E7260F"/>
    <w:rsid w:val="00E7457C"/>
    <w:rsid w:val="00E85170"/>
    <w:rsid w:val="00E8702D"/>
    <w:rsid w:val="00E905F4"/>
    <w:rsid w:val="00E916A9"/>
    <w:rsid w:val="00E916DE"/>
    <w:rsid w:val="00E925AD"/>
    <w:rsid w:val="00E95164"/>
    <w:rsid w:val="00E96630"/>
    <w:rsid w:val="00ED18DC"/>
    <w:rsid w:val="00ED2499"/>
    <w:rsid w:val="00ED6201"/>
    <w:rsid w:val="00ED7A2A"/>
    <w:rsid w:val="00EF1D7F"/>
    <w:rsid w:val="00F0137E"/>
    <w:rsid w:val="00F175D3"/>
    <w:rsid w:val="00F21786"/>
    <w:rsid w:val="00F3742B"/>
    <w:rsid w:val="00F41FDB"/>
    <w:rsid w:val="00F50596"/>
    <w:rsid w:val="00F56D63"/>
    <w:rsid w:val="00F609A9"/>
    <w:rsid w:val="00F62FA7"/>
    <w:rsid w:val="00F679B7"/>
    <w:rsid w:val="00F80C99"/>
    <w:rsid w:val="00F867EC"/>
    <w:rsid w:val="00F91039"/>
    <w:rsid w:val="00F91B2B"/>
    <w:rsid w:val="00F944D1"/>
    <w:rsid w:val="00FB60A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23E8273"/>
  <w15:docId w15:val="{6C32840E-254D-4366-B9FA-EFE84DF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C47591"/>
    <w:rPr>
      <w:b/>
      <w:sz w:val="28"/>
      <w:lang w:val="en-GB"/>
    </w:rPr>
  </w:style>
  <w:style w:type="character" w:styleId="CommentReference">
    <w:name w:val="annotation reference"/>
    <w:basedOn w:val="DefaultParagraphFont"/>
    <w:semiHidden/>
    <w:unhideWhenUsed/>
    <w:rsid w:val="008B42B3"/>
    <w:rPr>
      <w:sz w:val="16"/>
      <w:szCs w:val="16"/>
    </w:rPr>
  </w:style>
  <w:style w:type="paragraph" w:styleId="CommentText">
    <w:name w:val="annotation text"/>
    <w:basedOn w:val="Normal"/>
    <w:link w:val="CommentTextChar"/>
    <w:unhideWhenUsed/>
    <w:rsid w:val="008B42B3"/>
    <w:pPr>
      <w:spacing w:line="240" w:lineRule="auto"/>
    </w:pPr>
  </w:style>
  <w:style w:type="character" w:customStyle="1" w:styleId="CommentTextChar">
    <w:name w:val="Comment Text Char"/>
    <w:basedOn w:val="DefaultParagraphFont"/>
    <w:link w:val="CommentText"/>
    <w:rsid w:val="008B42B3"/>
    <w:rPr>
      <w:lang w:val="en-GB"/>
    </w:rPr>
  </w:style>
  <w:style w:type="paragraph" w:styleId="CommentSubject">
    <w:name w:val="annotation subject"/>
    <w:basedOn w:val="CommentText"/>
    <w:next w:val="CommentText"/>
    <w:link w:val="CommentSubjectChar"/>
    <w:semiHidden/>
    <w:unhideWhenUsed/>
    <w:rsid w:val="008B42B3"/>
    <w:rPr>
      <w:b/>
      <w:bCs/>
    </w:rPr>
  </w:style>
  <w:style w:type="character" w:customStyle="1" w:styleId="CommentSubjectChar">
    <w:name w:val="Comment Subject Char"/>
    <w:basedOn w:val="CommentTextChar"/>
    <w:link w:val="CommentSubject"/>
    <w:semiHidden/>
    <w:rsid w:val="008B42B3"/>
    <w:rPr>
      <w:b/>
      <w:bCs/>
      <w:lang w:val="en-GB"/>
    </w:rPr>
  </w:style>
  <w:style w:type="paragraph" w:styleId="Revision">
    <w:name w:val="Revision"/>
    <w:hidden/>
    <w:uiPriority w:val="99"/>
    <w:semiHidden/>
    <w:rsid w:val="00E30D9F"/>
    <w:pPr>
      <w:spacing w:line="240" w:lineRule="auto"/>
    </w:pPr>
    <w:rPr>
      <w:lang w:val="en-GB"/>
    </w:rPr>
  </w:style>
  <w:style w:type="character" w:customStyle="1" w:styleId="Heading1Char">
    <w:name w:val="Heading 1 Char"/>
    <w:aliases w:val="Table_G Char"/>
    <w:basedOn w:val="DefaultParagraphFont"/>
    <w:link w:val="Heading1"/>
    <w:rsid w:val="0007036D"/>
    <w:rPr>
      <w:lang w:val="en-GB"/>
    </w:rPr>
  </w:style>
  <w:style w:type="character" w:customStyle="1" w:styleId="Heading2Char">
    <w:name w:val="Heading 2 Char"/>
    <w:basedOn w:val="DefaultParagraphFont"/>
    <w:link w:val="Heading2"/>
    <w:rsid w:val="0007036D"/>
    <w:rPr>
      <w:lang w:val="en-GB"/>
    </w:rPr>
  </w:style>
  <w:style w:type="character" w:customStyle="1" w:styleId="FootnoteTextChar">
    <w:name w:val="Footnote Text Char"/>
    <w:aliases w:val="5_G Char"/>
    <w:basedOn w:val="DefaultParagraphFont"/>
    <w:link w:val="FootnoteText"/>
    <w:rsid w:val="00325145"/>
    <w:rPr>
      <w:sz w:val="18"/>
      <w:lang w:val="en-GB"/>
    </w:rPr>
  </w:style>
  <w:style w:type="paragraph" w:customStyle="1" w:styleId="Style1">
    <w:name w:val="Style1"/>
    <w:basedOn w:val="Normal"/>
    <w:rsid w:val="00325145"/>
    <w:pPr>
      <w:widowControl w:val="0"/>
      <w:spacing w:line="240" w:lineRule="auto"/>
      <w:jc w:val="both"/>
    </w:pPr>
    <w:rPr>
      <w:snapToGrid w:val="0"/>
      <w:sz w:val="24"/>
      <w:lang w:val="en-US" w:eastAsia="en-US"/>
    </w:rPr>
  </w:style>
  <w:style w:type="character" w:customStyle="1" w:styleId="Heading5Char">
    <w:name w:val="Heading 5 Char"/>
    <w:basedOn w:val="DefaultParagraphFont"/>
    <w:link w:val="Heading5"/>
    <w:rsid w:val="009269C7"/>
    <w:rPr>
      <w:lang w:val="en-GB"/>
    </w:rPr>
  </w:style>
  <w:style w:type="paragraph" w:styleId="BodyText">
    <w:name w:val="Body Text"/>
    <w:basedOn w:val="Normal"/>
    <w:link w:val="BodyTextChar"/>
    <w:rsid w:val="0039386C"/>
    <w:pPr>
      <w:spacing w:line="240" w:lineRule="auto"/>
      <w:jc w:val="both"/>
    </w:pPr>
    <w:rPr>
      <w:sz w:val="24"/>
      <w:lang w:eastAsia="en-US"/>
    </w:rPr>
  </w:style>
  <w:style w:type="character" w:customStyle="1" w:styleId="BodyTextChar">
    <w:name w:val="Body Text Char"/>
    <w:basedOn w:val="DefaultParagraphFont"/>
    <w:link w:val="BodyText"/>
    <w:rsid w:val="0039386C"/>
    <w:rPr>
      <w:sz w:val="24"/>
      <w:lang w:val="en-GB" w:eastAsia="en-US"/>
    </w:rPr>
  </w:style>
  <w:style w:type="paragraph" w:styleId="BodyTextIndent">
    <w:name w:val="Body Text Indent"/>
    <w:basedOn w:val="Normal"/>
    <w:link w:val="BodyTextIndentChar"/>
    <w:unhideWhenUsed/>
    <w:rsid w:val="00CC7C84"/>
    <w:pPr>
      <w:spacing w:after="120"/>
      <w:ind w:left="283"/>
    </w:pPr>
  </w:style>
  <w:style w:type="character" w:customStyle="1" w:styleId="BodyTextIndentChar">
    <w:name w:val="Body Text Indent Char"/>
    <w:basedOn w:val="DefaultParagraphFont"/>
    <w:link w:val="BodyTextIndent"/>
    <w:rsid w:val="00CC7C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DDEBB486-A82B-4EFD-BA91-AF60B7F52445}"/>
</file>

<file path=docProps/app.xml><?xml version="1.0" encoding="utf-8"?>
<Properties xmlns="http://schemas.openxmlformats.org/officeDocument/2006/extended-properties" xmlns:vt="http://schemas.openxmlformats.org/officeDocument/2006/docPropsVTypes">
  <Template>TRANS_WP1_24_E.dotm</Template>
  <TotalTime>0</TotalTime>
  <Pages>12</Pages>
  <Words>4099</Words>
  <Characters>21710</Characters>
  <Application>Microsoft Office Word</Application>
  <DocSecurity>0</DocSecurity>
  <Lines>427</Lines>
  <Paragraphs>205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ECE/TRANS/WP.15/2024/9</dc:title>
  <dc:subject>2400969</dc:subject>
  <dc:creator>Editorial</dc:creator>
  <cp:keywords/>
  <dc:description/>
  <cp:lastModifiedBy>Cecile Pacis</cp:lastModifiedBy>
  <cp:revision>2</cp:revision>
  <cp:lastPrinted>2009-02-18T00:36:00Z</cp:lastPrinted>
  <dcterms:created xsi:type="dcterms:W3CDTF">2024-01-19T14:47:00Z</dcterms:created>
  <dcterms:modified xsi:type="dcterms:W3CDTF">2024-01-19T14:47:00Z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