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11C78581" w14:textId="77777777" w:rsidTr="000D1B89">
        <w:trPr>
          <w:cantSplit/>
          <w:trHeight w:hRule="exact" w:val="851"/>
        </w:trPr>
        <w:tc>
          <w:tcPr>
            <w:tcW w:w="1276" w:type="dxa"/>
            <w:tcBorders>
              <w:bottom w:val="single" w:sz="4" w:space="0" w:color="auto"/>
            </w:tcBorders>
            <w:vAlign w:val="bottom"/>
          </w:tcPr>
          <w:p w14:paraId="2FDC5703" w14:textId="77777777" w:rsidR="00717266" w:rsidRDefault="00717266" w:rsidP="000D1B89">
            <w:pPr>
              <w:spacing w:after="80"/>
            </w:pPr>
          </w:p>
        </w:tc>
        <w:tc>
          <w:tcPr>
            <w:tcW w:w="2268" w:type="dxa"/>
            <w:tcBorders>
              <w:bottom w:val="single" w:sz="4" w:space="0" w:color="auto"/>
            </w:tcBorders>
            <w:vAlign w:val="bottom"/>
          </w:tcPr>
          <w:p w14:paraId="3302DDD1"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0045898" w14:textId="77777777" w:rsidR="00717266" w:rsidRPr="00D47EEA" w:rsidRDefault="007B45D6" w:rsidP="007B45D6">
            <w:pPr>
              <w:suppressAutoHyphens w:val="0"/>
              <w:spacing w:after="20"/>
              <w:jc w:val="right"/>
            </w:pPr>
            <w:r w:rsidRPr="007B45D6">
              <w:rPr>
                <w:sz w:val="40"/>
              </w:rPr>
              <w:t>ECE</w:t>
            </w:r>
            <w:r>
              <w:t>/TRANS/WP.15/AC.1/2024/6</w:t>
            </w:r>
          </w:p>
        </w:tc>
      </w:tr>
      <w:tr w:rsidR="00717266" w14:paraId="4F100FB5" w14:textId="77777777" w:rsidTr="000D1B89">
        <w:trPr>
          <w:cantSplit/>
          <w:trHeight w:hRule="exact" w:val="2835"/>
        </w:trPr>
        <w:tc>
          <w:tcPr>
            <w:tcW w:w="1276" w:type="dxa"/>
            <w:tcBorders>
              <w:top w:val="single" w:sz="4" w:space="0" w:color="auto"/>
              <w:bottom w:val="single" w:sz="12" w:space="0" w:color="auto"/>
            </w:tcBorders>
          </w:tcPr>
          <w:p w14:paraId="2E5967E0" w14:textId="77777777" w:rsidR="00717266" w:rsidRDefault="00717266" w:rsidP="000D1B89">
            <w:pPr>
              <w:spacing w:before="120"/>
            </w:pPr>
            <w:r>
              <w:rPr>
                <w:noProof/>
                <w:lang w:val="fr-CH" w:eastAsia="fr-CH"/>
              </w:rPr>
              <w:drawing>
                <wp:inline distT="0" distB="0" distL="0" distR="0" wp14:anchorId="66D6E179" wp14:editId="5C94CF6C">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F2D730"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40FE897" w14:textId="77777777" w:rsidR="007B45D6" w:rsidRPr="00584E7E" w:rsidRDefault="007B45D6" w:rsidP="007B45D6">
            <w:pPr>
              <w:spacing w:before="240" w:line="240" w:lineRule="exact"/>
              <w:rPr>
                <w:lang w:val="en-CA"/>
              </w:rPr>
            </w:pPr>
            <w:r>
              <w:t>Distr.: General</w:t>
            </w:r>
          </w:p>
          <w:p w14:paraId="615AC4A4" w14:textId="77777777" w:rsidR="007B45D6" w:rsidRPr="00584E7E" w:rsidRDefault="007B45D6" w:rsidP="007B45D6">
            <w:pPr>
              <w:spacing w:line="240" w:lineRule="exact"/>
              <w:rPr>
                <w:lang w:val="en-CA"/>
              </w:rPr>
            </w:pPr>
            <w:r>
              <w:t>18 December 2023</w:t>
            </w:r>
          </w:p>
          <w:p w14:paraId="37C995CA" w14:textId="77777777" w:rsidR="007B45D6" w:rsidRDefault="007B45D6" w:rsidP="007B45D6">
            <w:pPr>
              <w:spacing w:line="240" w:lineRule="exact"/>
            </w:pPr>
            <w:r>
              <w:t xml:space="preserve">English </w:t>
            </w:r>
          </w:p>
          <w:p w14:paraId="11504266" w14:textId="4B843E6C" w:rsidR="007B45D6" w:rsidRDefault="007B45D6" w:rsidP="007B45D6">
            <w:pPr>
              <w:suppressAutoHyphens w:val="0"/>
            </w:pPr>
            <w:r>
              <w:t>Original: Russian</w:t>
            </w:r>
          </w:p>
        </w:tc>
      </w:tr>
    </w:tbl>
    <w:p w14:paraId="5193BBE1" w14:textId="77777777" w:rsidR="007B45D6" w:rsidRPr="00417E97" w:rsidRDefault="007B45D6" w:rsidP="007B45D6">
      <w:pPr>
        <w:spacing w:before="120"/>
        <w:rPr>
          <w:b/>
          <w:bCs/>
          <w:sz w:val="28"/>
          <w:szCs w:val="28"/>
          <w:lang w:val="en-CA"/>
        </w:rPr>
      </w:pPr>
      <w:r w:rsidRPr="00417E97">
        <w:rPr>
          <w:b/>
          <w:bCs/>
          <w:sz w:val="28"/>
          <w:szCs w:val="28"/>
        </w:rPr>
        <w:t>Economic Commission for Europe</w:t>
      </w:r>
    </w:p>
    <w:p w14:paraId="2B9B9376" w14:textId="77777777" w:rsidR="007B45D6" w:rsidRPr="00417E97" w:rsidRDefault="007B45D6" w:rsidP="007B45D6">
      <w:pPr>
        <w:spacing w:before="120"/>
        <w:rPr>
          <w:bCs/>
          <w:sz w:val="28"/>
          <w:szCs w:val="28"/>
          <w:lang w:val="en-CA"/>
        </w:rPr>
      </w:pPr>
      <w:r w:rsidRPr="00417E97">
        <w:rPr>
          <w:sz w:val="28"/>
          <w:szCs w:val="28"/>
        </w:rPr>
        <w:t>Inland Transport Committee</w:t>
      </w:r>
    </w:p>
    <w:p w14:paraId="0A74DEDA" w14:textId="77777777" w:rsidR="007B45D6" w:rsidRPr="00417E97" w:rsidRDefault="007B45D6" w:rsidP="007B45D6">
      <w:pPr>
        <w:spacing w:before="120"/>
        <w:rPr>
          <w:b/>
          <w:bCs/>
          <w:sz w:val="24"/>
          <w:szCs w:val="24"/>
          <w:lang w:val="en-CA"/>
        </w:rPr>
      </w:pPr>
      <w:r w:rsidRPr="00417E97">
        <w:rPr>
          <w:b/>
          <w:bCs/>
          <w:sz w:val="24"/>
          <w:szCs w:val="24"/>
        </w:rPr>
        <w:t>Working Party on the Transport of Dangerous Goods</w:t>
      </w:r>
    </w:p>
    <w:p w14:paraId="40960186" w14:textId="02282284" w:rsidR="007B45D6" w:rsidRPr="00584E7E" w:rsidRDefault="007B45D6" w:rsidP="007B45D6">
      <w:pPr>
        <w:spacing w:before="120"/>
        <w:rPr>
          <w:b/>
          <w:bCs/>
          <w:lang w:val="en-CA"/>
        </w:rPr>
      </w:pPr>
      <w:r>
        <w:rPr>
          <w:b/>
          <w:bCs/>
        </w:rPr>
        <w:t xml:space="preserve">Joint Meeting of the RID Committee of Experts and the </w:t>
      </w:r>
      <w:r w:rsidR="00417E97">
        <w:rPr>
          <w:b/>
          <w:bCs/>
        </w:rPr>
        <w:br/>
      </w:r>
      <w:r>
        <w:rPr>
          <w:b/>
          <w:bCs/>
        </w:rPr>
        <w:t>Working Party on the Transport of Dangerous Goods</w:t>
      </w:r>
    </w:p>
    <w:p w14:paraId="55C55196" w14:textId="77777777" w:rsidR="007B45D6" w:rsidRPr="00584E7E" w:rsidRDefault="007B45D6" w:rsidP="007B45D6">
      <w:pPr>
        <w:rPr>
          <w:lang w:val="en-CA"/>
        </w:rPr>
      </w:pPr>
      <w:r>
        <w:t>Bern, 25–28 March 2024</w:t>
      </w:r>
    </w:p>
    <w:p w14:paraId="0DD7D484" w14:textId="77777777" w:rsidR="007B45D6" w:rsidRPr="00584E7E" w:rsidRDefault="007B45D6" w:rsidP="007B45D6">
      <w:pPr>
        <w:rPr>
          <w:lang w:val="en-CA"/>
        </w:rPr>
      </w:pPr>
      <w:r>
        <w:t>Item 5 (b) of the provisional agenda</w:t>
      </w:r>
    </w:p>
    <w:p w14:paraId="2C008A72" w14:textId="77777777" w:rsidR="007B45D6" w:rsidRPr="00584E7E" w:rsidRDefault="007B45D6" w:rsidP="007B45D6">
      <w:pPr>
        <w:rPr>
          <w:b/>
          <w:bCs/>
          <w:lang w:val="en-CA"/>
        </w:rPr>
      </w:pPr>
      <w:r>
        <w:rPr>
          <w:b/>
          <w:bCs/>
        </w:rPr>
        <w:t>Proposals for amendments to RID/ADR/ADN:</w:t>
      </w:r>
    </w:p>
    <w:p w14:paraId="2BCBFDA0" w14:textId="77777777" w:rsidR="007B45D6" w:rsidRPr="00584E7E" w:rsidRDefault="007B45D6" w:rsidP="007B45D6">
      <w:pPr>
        <w:rPr>
          <w:b/>
          <w:bCs/>
          <w:lang w:val="en-CA"/>
        </w:rPr>
      </w:pPr>
      <w:r>
        <w:rPr>
          <w:b/>
          <w:bCs/>
        </w:rPr>
        <w:t>new proposals</w:t>
      </w:r>
    </w:p>
    <w:p w14:paraId="4BCD9E2B" w14:textId="77777777" w:rsidR="007B45D6" w:rsidRPr="00584E7E" w:rsidRDefault="007B45D6" w:rsidP="007B45D6">
      <w:pPr>
        <w:pStyle w:val="HChG"/>
        <w:rPr>
          <w:lang w:val="en-CA"/>
        </w:rPr>
      </w:pPr>
      <w:r>
        <w:tab/>
      </w:r>
      <w:r>
        <w:tab/>
      </w:r>
      <w:r>
        <w:rPr>
          <w:bCs/>
        </w:rPr>
        <w:t>Proposal for amendments to 1.2.1 of Annex A of ADR</w:t>
      </w:r>
    </w:p>
    <w:p w14:paraId="2A39B68F" w14:textId="13B35D7F" w:rsidR="007B45D6" w:rsidRPr="00584E7E" w:rsidRDefault="007B45D6" w:rsidP="007B45D6">
      <w:pPr>
        <w:pStyle w:val="H1G"/>
        <w:rPr>
          <w:lang w:val="en-CA"/>
        </w:rPr>
      </w:pPr>
      <w:r>
        <w:tab/>
      </w:r>
      <w:r>
        <w:tab/>
      </w:r>
      <w:r>
        <w:rPr>
          <w:bCs/>
        </w:rPr>
        <w:t>Transmitted by the Government of the Russian Federation</w:t>
      </w:r>
      <w:r w:rsidRPr="00F46E70">
        <w:rPr>
          <w:rStyle w:val="FootnoteReference"/>
          <w:b w:val="0"/>
          <w:bCs/>
          <w:sz w:val="20"/>
          <w:vertAlign w:val="baseline"/>
        </w:rPr>
        <w:t>*</w:t>
      </w:r>
      <w:r w:rsidRPr="00F46E70">
        <w:rPr>
          <w:rStyle w:val="FootnoteReference"/>
          <w:b w:val="0"/>
          <w:bCs/>
          <w:position w:val="8"/>
          <w:sz w:val="20"/>
          <w:vertAlign w:val="baseline"/>
        </w:rPr>
        <w:t>,</w:t>
      </w:r>
      <w:r w:rsidRPr="00F46E70">
        <w:rPr>
          <w:rStyle w:val="FootnoteReference"/>
          <w:b w:val="0"/>
          <w:bCs/>
          <w:sz w:val="20"/>
          <w:vertAlign w:val="baseline"/>
        </w:rPr>
        <w:footnoteReference w:customMarkFollows="1" w:id="1"/>
        <w:t>*</w:t>
      </w:r>
      <w:r w:rsidRPr="00F46E70">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9"/>
      </w:tblGrid>
      <w:tr w:rsidR="00E75170" w14:paraId="3013B50C" w14:textId="77777777" w:rsidTr="00FE7339">
        <w:trPr>
          <w:jc w:val="center"/>
        </w:trPr>
        <w:tc>
          <w:tcPr>
            <w:tcW w:w="9637" w:type="dxa"/>
            <w:tcBorders>
              <w:bottom w:val="nil"/>
            </w:tcBorders>
          </w:tcPr>
          <w:p w14:paraId="068B7BA9" w14:textId="77777777" w:rsidR="00E75170" w:rsidRPr="00387D40" w:rsidRDefault="00E75170" w:rsidP="00FE7339">
            <w:pPr>
              <w:tabs>
                <w:tab w:val="left" w:pos="255"/>
              </w:tabs>
              <w:suppressAutoHyphens w:val="0"/>
              <w:spacing w:before="240" w:after="120"/>
              <w:rPr>
                <w:sz w:val="24"/>
                <w:lang w:val="fr-CH" w:eastAsia="ru-RU"/>
              </w:rPr>
            </w:pPr>
            <w:r>
              <w:rPr>
                <w:lang w:val="fr-CH" w:eastAsia="ru-RU"/>
              </w:rPr>
              <w:tab/>
            </w:r>
            <w:proofErr w:type="spellStart"/>
            <w:r>
              <w:rPr>
                <w:i/>
                <w:sz w:val="24"/>
                <w:lang w:val="fr-CH" w:eastAsia="ru-RU"/>
              </w:rPr>
              <w:t>Summary</w:t>
            </w:r>
            <w:proofErr w:type="spellEnd"/>
          </w:p>
        </w:tc>
      </w:tr>
      <w:tr w:rsidR="00E75170" w14:paraId="71EE6F2A" w14:textId="77777777" w:rsidTr="00FE7339">
        <w:trPr>
          <w:jc w:val="center"/>
        </w:trPr>
        <w:tc>
          <w:tcPr>
            <w:tcW w:w="9637" w:type="dxa"/>
            <w:tcBorders>
              <w:top w:val="nil"/>
              <w:bottom w:val="nil"/>
            </w:tcBorders>
            <w:shd w:val="clear" w:color="auto" w:fill="auto"/>
          </w:tcPr>
          <w:p w14:paraId="7F155F1A" w14:textId="77777777" w:rsidR="00E75170" w:rsidRDefault="00E75170" w:rsidP="00FE7339">
            <w:pPr>
              <w:pStyle w:val="SingleTxtG"/>
              <w:tabs>
                <w:tab w:val="clear" w:pos="1701"/>
                <w:tab w:val="clear" w:pos="2268"/>
              </w:tabs>
              <w:spacing w:after="60"/>
              <w:ind w:left="2552" w:hanging="2268"/>
              <w:rPr>
                <w:lang w:val="fr-CH" w:eastAsia="ru-RU"/>
              </w:rPr>
            </w:pPr>
            <w:r>
              <w:rPr>
                <w:b/>
                <w:bCs/>
              </w:rPr>
              <w:t xml:space="preserve">Executive </w:t>
            </w:r>
            <w:r w:rsidRPr="00387D40">
              <w:rPr>
                <w:b/>
                <w:szCs w:val="22"/>
                <w:lang w:eastAsia="en-US"/>
              </w:rPr>
              <w:t>summary</w:t>
            </w:r>
            <w:r w:rsidRPr="0051255F">
              <w:t>:</w:t>
            </w:r>
            <w:r>
              <w:tab/>
              <w:t>Introduce definitions of gross mass and net mass</w:t>
            </w:r>
          </w:p>
        </w:tc>
      </w:tr>
      <w:tr w:rsidR="00E75170" w14:paraId="19150184" w14:textId="77777777" w:rsidTr="00FE7339">
        <w:trPr>
          <w:jc w:val="center"/>
        </w:trPr>
        <w:tc>
          <w:tcPr>
            <w:tcW w:w="9637" w:type="dxa"/>
            <w:tcBorders>
              <w:top w:val="nil"/>
              <w:bottom w:val="nil"/>
            </w:tcBorders>
            <w:shd w:val="clear" w:color="auto" w:fill="auto"/>
          </w:tcPr>
          <w:p w14:paraId="632B8EE0" w14:textId="77777777" w:rsidR="00E75170" w:rsidRDefault="00E75170" w:rsidP="00FE7339">
            <w:pPr>
              <w:pStyle w:val="SingleTxtG"/>
              <w:tabs>
                <w:tab w:val="clear" w:pos="1701"/>
                <w:tab w:val="clear" w:pos="2268"/>
              </w:tabs>
              <w:spacing w:after="60"/>
              <w:ind w:left="2552" w:hanging="2268"/>
              <w:rPr>
                <w:lang w:val="fr-CH" w:eastAsia="ru-RU"/>
              </w:rPr>
            </w:pPr>
            <w:r>
              <w:rPr>
                <w:b/>
                <w:bCs/>
              </w:rPr>
              <w:t xml:space="preserve">Action to be </w:t>
            </w:r>
            <w:r w:rsidRPr="00387D40">
              <w:rPr>
                <w:b/>
                <w:szCs w:val="22"/>
              </w:rPr>
              <w:t>taken</w:t>
            </w:r>
            <w:r w:rsidRPr="0051255F">
              <w:t>:</w:t>
            </w:r>
            <w:r>
              <w:tab/>
              <w:t>Add definitions of gross mass and net mass</w:t>
            </w:r>
          </w:p>
        </w:tc>
      </w:tr>
      <w:tr w:rsidR="00E75170" w14:paraId="3D5AC39F" w14:textId="77777777" w:rsidTr="00FE7339">
        <w:trPr>
          <w:jc w:val="center"/>
        </w:trPr>
        <w:tc>
          <w:tcPr>
            <w:tcW w:w="9637" w:type="dxa"/>
            <w:tcBorders>
              <w:top w:val="nil"/>
              <w:bottom w:val="nil"/>
            </w:tcBorders>
            <w:shd w:val="clear" w:color="auto" w:fill="auto"/>
          </w:tcPr>
          <w:p w14:paraId="55E7EC22" w14:textId="77777777" w:rsidR="00E75170" w:rsidRDefault="00E75170" w:rsidP="00FE7339">
            <w:pPr>
              <w:pStyle w:val="SingleTxtG"/>
              <w:tabs>
                <w:tab w:val="clear" w:pos="1701"/>
                <w:tab w:val="clear" w:pos="2268"/>
              </w:tabs>
              <w:spacing w:after="60"/>
              <w:ind w:left="2552" w:hanging="2268"/>
              <w:rPr>
                <w:lang w:val="fr-CH" w:eastAsia="ru-RU"/>
              </w:rPr>
            </w:pPr>
            <w:r>
              <w:rPr>
                <w:b/>
                <w:bCs/>
              </w:rPr>
              <w:t xml:space="preserve">Related </w:t>
            </w:r>
            <w:r w:rsidRPr="00387D40">
              <w:rPr>
                <w:b/>
                <w:szCs w:val="22"/>
              </w:rPr>
              <w:t>documents</w:t>
            </w:r>
            <w:r w:rsidRPr="0051255F">
              <w:t>:</w:t>
            </w:r>
            <w:r>
              <w:tab/>
            </w:r>
          </w:p>
        </w:tc>
      </w:tr>
      <w:tr w:rsidR="00E75170" w14:paraId="12DACB14" w14:textId="77777777" w:rsidTr="00FE7339">
        <w:trPr>
          <w:jc w:val="center"/>
        </w:trPr>
        <w:tc>
          <w:tcPr>
            <w:tcW w:w="9637" w:type="dxa"/>
            <w:tcBorders>
              <w:top w:val="nil"/>
            </w:tcBorders>
          </w:tcPr>
          <w:p w14:paraId="5E0F7A7C" w14:textId="77777777" w:rsidR="00E75170" w:rsidRDefault="00E75170" w:rsidP="00FE7339">
            <w:pPr>
              <w:suppressAutoHyphens w:val="0"/>
              <w:rPr>
                <w:lang w:val="fr-CH" w:eastAsia="ru-RU"/>
              </w:rPr>
            </w:pPr>
          </w:p>
        </w:tc>
      </w:tr>
    </w:tbl>
    <w:p w14:paraId="653E97E5" w14:textId="77777777" w:rsidR="007B45D6" w:rsidRDefault="007B45D6" w:rsidP="007B45D6">
      <w:pPr>
        <w:pStyle w:val="HChG"/>
      </w:pPr>
      <w:r>
        <w:tab/>
      </w:r>
      <w:r>
        <w:tab/>
      </w:r>
      <w:r>
        <w:rPr>
          <w:bCs/>
        </w:rPr>
        <w:t>Introduction</w:t>
      </w:r>
    </w:p>
    <w:p w14:paraId="2D562A13" w14:textId="70C278B4" w:rsidR="007B45D6" w:rsidRPr="00584E7E" w:rsidRDefault="007B45D6" w:rsidP="007B45D6">
      <w:pPr>
        <w:pStyle w:val="SingleTxtG"/>
        <w:rPr>
          <w:lang w:val="en-CA"/>
        </w:rPr>
      </w:pPr>
      <w:r>
        <w:t>1.</w:t>
      </w:r>
      <w:r>
        <w:tab/>
        <w:t xml:space="preserve">Requirements related to net and gross mass appear in the text of Annexes A and B of the ADR Agreement. 1.2.1 of Annex A contains definitions of </w:t>
      </w:r>
      <w:r w:rsidR="00E75170">
        <w:t>“</w:t>
      </w:r>
      <w:r>
        <w:t>maximum permissible gross mass</w:t>
      </w:r>
      <w:r w:rsidR="00E75170">
        <w:t>”</w:t>
      </w:r>
      <w:r>
        <w:t xml:space="preserve"> and </w:t>
      </w:r>
      <w:r w:rsidR="00E75170">
        <w:t>“</w:t>
      </w:r>
      <w:r>
        <w:t>maximum net mass</w:t>
      </w:r>
      <w:r w:rsidR="00E75170">
        <w:t>”</w:t>
      </w:r>
      <w:r>
        <w:t>. However, these terms do not fully describe or explain these concepts. For example, the concept of the net mass of dissolved gases is found in 1.1.3.6.3. However, the solvent is actually not packaging and so it is not clear whether it is the mass of the gas alone or the total including the solvent that should be counted.</w:t>
      </w:r>
    </w:p>
    <w:p w14:paraId="5D98D45F" w14:textId="77777777" w:rsidR="007B45D6" w:rsidRPr="00584E7E" w:rsidRDefault="007B45D6" w:rsidP="007B45D6">
      <w:pPr>
        <w:pStyle w:val="HChG"/>
        <w:rPr>
          <w:lang w:val="en-CA"/>
        </w:rPr>
      </w:pPr>
      <w:r>
        <w:tab/>
      </w:r>
      <w:r>
        <w:tab/>
      </w:r>
      <w:r>
        <w:rPr>
          <w:bCs/>
        </w:rPr>
        <w:t>Proposal submitted for a vote</w:t>
      </w:r>
    </w:p>
    <w:p w14:paraId="4B182690" w14:textId="77777777" w:rsidR="007B45D6" w:rsidRPr="00584E7E" w:rsidRDefault="007B45D6" w:rsidP="007B45D6">
      <w:pPr>
        <w:pStyle w:val="SingleTxtG"/>
        <w:rPr>
          <w:lang w:val="en-CA"/>
        </w:rPr>
      </w:pPr>
      <w:r>
        <w:t>2.</w:t>
      </w:r>
      <w:r>
        <w:tab/>
        <w:t>The following definitions should be added to 1.2.1 of Annex A of ADR:</w:t>
      </w:r>
    </w:p>
    <w:p w14:paraId="788C4B49" w14:textId="2C911D55" w:rsidR="007B45D6" w:rsidRPr="00584E7E" w:rsidRDefault="007B45D6" w:rsidP="007B45D6">
      <w:pPr>
        <w:pStyle w:val="SingleTxtG"/>
        <w:rPr>
          <w:lang w:val="en-CA"/>
        </w:rPr>
      </w:pPr>
      <w:r>
        <w:tab/>
        <w:t>(a)</w:t>
      </w:r>
      <w:r>
        <w:tab/>
      </w:r>
      <w:r w:rsidR="00E75170">
        <w:t>“</w:t>
      </w:r>
      <w:r>
        <w:t>Net mass of dissolved gas</w:t>
      </w:r>
      <w:r w:rsidR="00E75170">
        <w:t>”</w:t>
      </w:r>
      <w:r>
        <w:t xml:space="preserve"> means the mass of the gas excluding the solvent;</w:t>
      </w:r>
    </w:p>
    <w:p w14:paraId="39311BB7" w14:textId="094609F1" w:rsidR="007B45D6" w:rsidRPr="00584E7E" w:rsidRDefault="007B45D6" w:rsidP="007B45D6">
      <w:pPr>
        <w:pStyle w:val="SingleTxtG"/>
        <w:rPr>
          <w:lang w:val="en-CA"/>
        </w:rPr>
      </w:pPr>
      <w:r>
        <w:tab/>
        <w:t>(b)</w:t>
      </w:r>
      <w:r>
        <w:tab/>
      </w:r>
      <w:r w:rsidR="00E75170">
        <w:t>“</w:t>
      </w:r>
      <w:r>
        <w:t>Gross mass of dissolved gas</w:t>
      </w:r>
      <w:r w:rsidR="00E75170">
        <w:t>”</w:t>
      </w:r>
      <w:r>
        <w:t xml:space="preserve"> means the mass of the gas and the solvent, excluding the mass of the receptacle and the porous absorbent material.</w:t>
      </w:r>
    </w:p>
    <w:p w14:paraId="2C012069" w14:textId="77777777" w:rsidR="007B45D6" w:rsidRPr="00584E7E" w:rsidRDefault="007B45D6" w:rsidP="007B45D6">
      <w:pPr>
        <w:pStyle w:val="HChG"/>
        <w:rPr>
          <w:lang w:val="en-CA"/>
        </w:rPr>
      </w:pPr>
      <w:r>
        <w:lastRenderedPageBreak/>
        <w:tab/>
      </w:r>
      <w:r>
        <w:tab/>
      </w:r>
      <w:r>
        <w:rPr>
          <w:bCs/>
        </w:rPr>
        <w:t>Cost</w:t>
      </w:r>
    </w:p>
    <w:p w14:paraId="42452952" w14:textId="77777777" w:rsidR="007B45D6" w:rsidRPr="00584E7E" w:rsidRDefault="007B45D6" w:rsidP="007B45D6">
      <w:pPr>
        <w:pStyle w:val="SingleTxtG"/>
        <w:rPr>
          <w:lang w:val="en-CA"/>
        </w:rPr>
      </w:pPr>
      <w:r>
        <w:t>3.</w:t>
      </w:r>
      <w:r>
        <w:tab/>
        <w:t>None.</w:t>
      </w:r>
    </w:p>
    <w:p w14:paraId="724F0C12" w14:textId="77777777" w:rsidR="007B45D6" w:rsidRPr="00584E7E" w:rsidRDefault="007B45D6" w:rsidP="007B45D6">
      <w:pPr>
        <w:pStyle w:val="HChG"/>
        <w:rPr>
          <w:lang w:val="en-CA"/>
        </w:rPr>
      </w:pPr>
      <w:r>
        <w:tab/>
      </w:r>
      <w:r>
        <w:tab/>
      </w:r>
      <w:r>
        <w:rPr>
          <w:bCs/>
        </w:rPr>
        <w:t>Enforceability</w:t>
      </w:r>
    </w:p>
    <w:p w14:paraId="5D8F1436" w14:textId="77777777" w:rsidR="007B45D6" w:rsidRPr="00584E7E" w:rsidRDefault="007B45D6" w:rsidP="007B45D6">
      <w:pPr>
        <w:pStyle w:val="SingleTxtG"/>
        <w:rPr>
          <w:lang w:val="en-CA"/>
        </w:rPr>
      </w:pPr>
      <w:r>
        <w:t>4.</w:t>
      </w:r>
      <w:r>
        <w:tab/>
        <w:t>No problems are foreseen with the implementation of the proposals.</w:t>
      </w:r>
    </w:p>
    <w:p w14:paraId="55073741" w14:textId="77777777" w:rsidR="007B45D6" w:rsidRPr="00F15593" w:rsidRDefault="007B45D6" w:rsidP="007B45D6">
      <w:pPr>
        <w:spacing w:before="240"/>
        <w:jc w:val="center"/>
        <w:rPr>
          <w:u w:val="single"/>
          <w:lang w:val="en-US"/>
        </w:rPr>
      </w:pPr>
      <w:r>
        <w:rPr>
          <w:u w:val="single"/>
          <w:lang w:val="en-US"/>
        </w:rPr>
        <w:tab/>
      </w:r>
      <w:r>
        <w:rPr>
          <w:u w:val="single"/>
          <w:lang w:val="en-US"/>
        </w:rPr>
        <w:tab/>
      </w:r>
      <w:r>
        <w:rPr>
          <w:u w:val="single"/>
          <w:lang w:val="en-US"/>
        </w:rPr>
        <w:tab/>
      </w:r>
    </w:p>
    <w:sectPr w:rsidR="007B45D6" w:rsidRPr="00F15593"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EE90" w14:textId="77777777" w:rsidR="009D3CB0" w:rsidRPr="00FB1744" w:rsidRDefault="009D3CB0" w:rsidP="00FB1744">
      <w:pPr>
        <w:pStyle w:val="Footer"/>
      </w:pPr>
    </w:p>
  </w:endnote>
  <w:endnote w:type="continuationSeparator" w:id="0">
    <w:p w14:paraId="463FC769" w14:textId="77777777" w:rsidR="009D3CB0" w:rsidRPr="00FB1744" w:rsidRDefault="009D3CB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1F14B" w14:textId="77777777" w:rsidR="007B45D6" w:rsidRDefault="007B45D6" w:rsidP="007B45D6">
    <w:pPr>
      <w:pStyle w:val="Footer"/>
      <w:tabs>
        <w:tab w:val="right" w:pos="9638"/>
      </w:tabs>
    </w:pPr>
    <w:r w:rsidRPr="007B45D6">
      <w:rPr>
        <w:b/>
        <w:bCs/>
        <w:sz w:val="18"/>
      </w:rPr>
      <w:fldChar w:fldCharType="begin"/>
    </w:r>
    <w:r w:rsidRPr="007B45D6">
      <w:rPr>
        <w:b/>
        <w:bCs/>
        <w:sz w:val="18"/>
      </w:rPr>
      <w:instrText xml:space="preserve"> PAGE  \* MERGEFORMAT </w:instrText>
    </w:r>
    <w:r w:rsidRPr="007B45D6">
      <w:rPr>
        <w:b/>
        <w:bCs/>
        <w:sz w:val="18"/>
      </w:rPr>
      <w:fldChar w:fldCharType="separate"/>
    </w:r>
    <w:r w:rsidRPr="007B45D6">
      <w:rPr>
        <w:b/>
        <w:bCs/>
        <w:noProof/>
        <w:sz w:val="18"/>
      </w:rPr>
      <w:t>2</w:t>
    </w:r>
    <w:r w:rsidRPr="007B45D6">
      <w:rPr>
        <w:b/>
        <w:bCs/>
        <w:sz w:val="18"/>
      </w:rPr>
      <w:fldChar w:fldCharType="end"/>
    </w:r>
    <w:r>
      <w:tab/>
      <w:t>GE.23-25437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58849" w14:textId="77777777" w:rsidR="007B45D6" w:rsidRDefault="007B45D6" w:rsidP="007B45D6">
    <w:pPr>
      <w:pStyle w:val="Footer"/>
      <w:tabs>
        <w:tab w:val="right" w:pos="9638"/>
      </w:tabs>
    </w:pPr>
    <w:r>
      <w:t>GE.23-25437</w:t>
    </w:r>
    <w:r>
      <w:tab/>
    </w:r>
    <w:r w:rsidRPr="007B45D6">
      <w:rPr>
        <w:b/>
        <w:bCs/>
        <w:sz w:val="18"/>
      </w:rPr>
      <w:fldChar w:fldCharType="begin"/>
    </w:r>
    <w:r w:rsidRPr="007B45D6">
      <w:rPr>
        <w:b/>
        <w:bCs/>
        <w:sz w:val="18"/>
      </w:rPr>
      <w:instrText xml:space="preserve"> PAGE  \* MERGEFORMAT </w:instrText>
    </w:r>
    <w:r w:rsidRPr="007B45D6">
      <w:rPr>
        <w:b/>
        <w:bCs/>
        <w:sz w:val="18"/>
      </w:rPr>
      <w:fldChar w:fldCharType="separate"/>
    </w:r>
    <w:r w:rsidRPr="007B45D6">
      <w:rPr>
        <w:b/>
        <w:bCs/>
        <w:noProof/>
        <w:sz w:val="18"/>
      </w:rPr>
      <w:t>3</w:t>
    </w:r>
    <w:r w:rsidRPr="007B45D6">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E0E9" w14:textId="77777777" w:rsidR="00C448F7" w:rsidRDefault="007B45D6">
    <w:pPr>
      <w:pStyle w:val="Footer"/>
      <w:rPr>
        <w:sz w:val="20"/>
      </w:rPr>
    </w:pPr>
    <w:r w:rsidRPr="0027112F">
      <w:rPr>
        <w:noProof/>
        <w:lang w:val="en-US"/>
      </w:rPr>
      <w:drawing>
        <wp:anchor distT="0" distB="0" distL="114300" distR="114300" simplePos="0" relativeHeight="251659264" behindDoc="0" locked="1" layoutInCell="1" allowOverlap="1" wp14:anchorId="24D8FE7F" wp14:editId="33A815C5">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BE54BD" w14:textId="0BC1680A" w:rsidR="007B45D6" w:rsidRPr="007B45D6" w:rsidRDefault="007B45D6" w:rsidP="007B45D6">
    <w:pPr>
      <w:pStyle w:val="Footer"/>
      <w:tabs>
        <w:tab w:val="right" w:pos="7370"/>
      </w:tabs>
      <w:rPr>
        <w:sz w:val="20"/>
      </w:rPr>
    </w:pPr>
    <w:r>
      <w:rPr>
        <w:sz w:val="20"/>
      </w:rPr>
      <w:t>GE.23-25437  (E)</w:t>
    </w:r>
    <w:r>
      <w:rPr>
        <w:noProof/>
        <w:sz w:val="20"/>
      </w:rPr>
      <w:drawing>
        <wp:anchor distT="0" distB="0" distL="114300" distR="114300" simplePos="0" relativeHeight="251660288" behindDoc="0" locked="0" layoutInCell="1" allowOverlap="1" wp14:anchorId="5257F2EB" wp14:editId="130EFEBC">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170">
      <w:rPr>
        <w:sz w:val="20"/>
      </w:rPr>
      <w:t xml:space="preserve">    090124    100124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1BE67" w14:textId="77777777" w:rsidR="009D3CB0" w:rsidRPr="00FB1744" w:rsidRDefault="009D3CB0" w:rsidP="00FB1744">
      <w:pPr>
        <w:tabs>
          <w:tab w:val="right" w:pos="2155"/>
        </w:tabs>
        <w:spacing w:after="80" w:line="240" w:lineRule="auto"/>
        <w:ind w:left="680"/>
      </w:pPr>
      <w:r>
        <w:rPr>
          <w:u w:val="single"/>
        </w:rPr>
        <w:tab/>
      </w:r>
    </w:p>
  </w:footnote>
  <w:footnote w:type="continuationSeparator" w:id="0">
    <w:p w14:paraId="3C332E99" w14:textId="77777777" w:rsidR="009D3CB0" w:rsidRPr="00FB1744" w:rsidRDefault="009D3CB0" w:rsidP="00FB1744">
      <w:pPr>
        <w:tabs>
          <w:tab w:val="right" w:pos="2155"/>
        </w:tabs>
        <w:spacing w:after="80" w:line="240" w:lineRule="auto"/>
        <w:ind w:left="680"/>
      </w:pPr>
      <w:r>
        <w:rPr>
          <w:u w:val="single"/>
        </w:rPr>
        <w:tab/>
      </w:r>
    </w:p>
  </w:footnote>
  <w:footnote w:id="1">
    <w:p w14:paraId="10DF9813" w14:textId="77777777" w:rsidR="007B45D6" w:rsidRPr="00584E7E" w:rsidRDefault="007B45D6" w:rsidP="007B45D6">
      <w:pPr>
        <w:pStyle w:val="FootnoteText"/>
        <w:rPr>
          <w:lang w:val="en-CA"/>
        </w:rPr>
      </w:pPr>
      <w:r w:rsidRPr="007B45D6">
        <w:rPr>
          <w:rStyle w:val="FootnoteReference"/>
          <w:vertAlign w:val="baseline"/>
        </w:rPr>
        <w:tab/>
        <w:t>*</w:t>
      </w:r>
      <w:r w:rsidRPr="007B45D6">
        <w:rPr>
          <w:rStyle w:val="FootnoteReference"/>
          <w:vertAlign w:val="baseline"/>
        </w:rPr>
        <w:tab/>
      </w:r>
      <w:r>
        <w:t xml:space="preserve">A/78/6 (sect. 20), table 20.5. </w:t>
      </w:r>
    </w:p>
  </w:footnote>
  <w:footnote w:id="2">
    <w:p w14:paraId="6CD9D41C" w14:textId="77777777" w:rsidR="007B45D6" w:rsidRPr="00584E7E" w:rsidRDefault="007B45D6" w:rsidP="007B45D6">
      <w:pPr>
        <w:pStyle w:val="FootnoteText"/>
        <w:rPr>
          <w:lang w:val="en-CA"/>
        </w:rPr>
      </w:pPr>
      <w:r>
        <w:tab/>
        <w:t>**</w:t>
      </w:r>
      <w:r>
        <w:tab/>
        <w:t>Circulated by the Intergovernmental Organisation for International Carriage by Rail (OTIF) under the symbol OTIF/RID/RC/2023/6.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F95B" w14:textId="77777777" w:rsidR="007B45D6" w:rsidRDefault="007B45D6" w:rsidP="007B45D6">
    <w:pPr>
      <w:pStyle w:val="Header"/>
    </w:pPr>
    <w:r>
      <w:t>ECE/TRANS/WP.15/AC.1/2024/6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7A09" w14:textId="77777777" w:rsidR="007B45D6" w:rsidRDefault="007B45D6" w:rsidP="007B45D6">
    <w:pPr>
      <w:pStyle w:val="Header"/>
      <w:jc w:val="right"/>
    </w:pPr>
    <w:r>
      <w:t>ECE/TRANS/WP.15/AC.1/2024/6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75787273">
    <w:abstractNumId w:val="3"/>
  </w:num>
  <w:num w:numId="2" w16cid:durableId="408043399">
    <w:abstractNumId w:val="2"/>
  </w:num>
  <w:num w:numId="3" w16cid:durableId="935482804">
    <w:abstractNumId w:val="0"/>
  </w:num>
  <w:num w:numId="4" w16cid:durableId="1971085092">
    <w:abstractNumId w:val="4"/>
  </w:num>
  <w:num w:numId="5" w16cid:durableId="784621153">
    <w:abstractNumId w:val="5"/>
  </w:num>
  <w:num w:numId="6" w16cid:durableId="1975672920">
    <w:abstractNumId w:val="6"/>
  </w:num>
  <w:num w:numId="7" w16cid:durableId="12613372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9D3CB0"/>
    <w:rsid w:val="00046E92"/>
    <w:rsid w:val="000D1B89"/>
    <w:rsid w:val="000F6E29"/>
    <w:rsid w:val="001170DC"/>
    <w:rsid w:val="00247E2C"/>
    <w:rsid w:val="002D6C53"/>
    <w:rsid w:val="002F5595"/>
    <w:rsid w:val="00317723"/>
    <w:rsid w:val="00334F6A"/>
    <w:rsid w:val="00342AC8"/>
    <w:rsid w:val="003B4550"/>
    <w:rsid w:val="003E55A8"/>
    <w:rsid w:val="00417E97"/>
    <w:rsid w:val="0043448D"/>
    <w:rsid w:val="00436718"/>
    <w:rsid w:val="00461253"/>
    <w:rsid w:val="005042C2"/>
    <w:rsid w:val="00506C12"/>
    <w:rsid w:val="0051255F"/>
    <w:rsid w:val="0056599A"/>
    <w:rsid w:val="00585AE1"/>
    <w:rsid w:val="00587690"/>
    <w:rsid w:val="00671529"/>
    <w:rsid w:val="006A5598"/>
    <w:rsid w:val="00717266"/>
    <w:rsid w:val="007268F9"/>
    <w:rsid w:val="007B45D6"/>
    <w:rsid w:val="007C52B0"/>
    <w:rsid w:val="009306A5"/>
    <w:rsid w:val="009411B4"/>
    <w:rsid w:val="009D0139"/>
    <w:rsid w:val="009D3CB0"/>
    <w:rsid w:val="009F5CDC"/>
    <w:rsid w:val="00A429CD"/>
    <w:rsid w:val="00A775CF"/>
    <w:rsid w:val="00AB3C7E"/>
    <w:rsid w:val="00B06045"/>
    <w:rsid w:val="00C35A27"/>
    <w:rsid w:val="00C448F7"/>
    <w:rsid w:val="00E02C2B"/>
    <w:rsid w:val="00E665C4"/>
    <w:rsid w:val="00E75170"/>
    <w:rsid w:val="00E929D6"/>
    <w:rsid w:val="00ED6C48"/>
    <w:rsid w:val="00EF76C5"/>
    <w:rsid w:val="00F46E70"/>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61923"/>
  <w15:docId w15:val="{010E8EF3-7A8E-4BB0-9B3A-B3C2F3A2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F1EC80FB-C17C-490A-90EB-78C977517F6F}"/>
</file>

<file path=customXml/itemProps3.xml><?xml version="1.0" encoding="utf-8"?>
<ds:datastoreItem xmlns:ds="http://schemas.openxmlformats.org/officeDocument/2006/customXml" ds:itemID="{A2D9FAAA-1222-412E-9184-55EB6A1DCF1C}"/>
</file>

<file path=docProps/app.xml><?xml version="1.0" encoding="utf-8"?>
<Properties xmlns="http://schemas.openxmlformats.org/officeDocument/2006/extended-properties" xmlns:vt="http://schemas.openxmlformats.org/officeDocument/2006/docPropsVTypes">
  <Template>CESCR.dotm</Template>
  <TotalTime>0</TotalTime>
  <Pages>2</Pages>
  <Words>280</Words>
  <Characters>1418</Characters>
  <Application>Microsoft Office Word</Application>
  <DocSecurity>0</DocSecurity>
  <Lines>42</Lines>
  <Paragraphs>31</Paragraphs>
  <ScaleCrop>false</ScaleCrop>
  <HeadingPairs>
    <vt:vector size="2" baseType="variant">
      <vt:variant>
        <vt:lpstr>Title</vt:lpstr>
      </vt:variant>
      <vt:variant>
        <vt:i4>1</vt:i4>
      </vt:variant>
    </vt:vector>
  </HeadingPairs>
  <TitlesOfParts>
    <vt:vector size="1" baseType="lpstr">
      <vt:lpstr>ECE/TRANS/WP.15/AC.1/2024/6</vt:lpstr>
    </vt:vector>
  </TitlesOfParts>
  <Company>DCM</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ECE/TRANS/WP.15/AC.1/2024/6</dc:title>
  <dc:subject>2325437</dc:subject>
  <dc:creator>cg</dc:creator>
  <cp:keywords/>
  <dc:description/>
  <cp:lastModifiedBy>Maria Rosario Corazon Gatmaytan</cp:lastModifiedBy>
  <cp:revision>2</cp:revision>
  <dcterms:created xsi:type="dcterms:W3CDTF">2024-01-10T10:42:00Z</dcterms:created>
  <dcterms:modified xsi:type="dcterms:W3CDTF">2024-01-10T10:42:00Z</dcterms:modified>
</cp:coreProperties>
</file>