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0D3D8A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3625E0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BD0FB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311115D" w14:textId="2DDB6CAE" w:rsidR="009E6CB7" w:rsidRPr="00D47EEA" w:rsidRDefault="00427A8D" w:rsidP="00427A8D">
            <w:pPr>
              <w:jc w:val="right"/>
            </w:pPr>
            <w:r w:rsidRPr="00427A8D">
              <w:rPr>
                <w:sz w:val="40"/>
              </w:rPr>
              <w:t>ECE</w:t>
            </w:r>
            <w:r>
              <w:t>/TRANS/WP.15/AC.1/2024/12</w:t>
            </w:r>
          </w:p>
        </w:tc>
      </w:tr>
      <w:tr w:rsidR="009E6CB7" w14:paraId="6E4A83B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2B5D8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9BE03D" wp14:editId="4BF657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AFDC3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7479BE" w14:textId="77777777" w:rsidR="009E6CB7" w:rsidRDefault="00427A8D" w:rsidP="00427A8D">
            <w:pPr>
              <w:spacing w:before="240" w:line="240" w:lineRule="exact"/>
            </w:pPr>
            <w:r>
              <w:t>Distr.: General</w:t>
            </w:r>
          </w:p>
          <w:p w14:paraId="211208E9" w14:textId="77777777" w:rsidR="00427A8D" w:rsidRDefault="00427A8D" w:rsidP="00427A8D">
            <w:pPr>
              <w:spacing w:line="240" w:lineRule="exact"/>
            </w:pPr>
            <w:r>
              <w:t>19 December 2023</w:t>
            </w:r>
          </w:p>
          <w:p w14:paraId="4CF338A6" w14:textId="77777777" w:rsidR="00427A8D" w:rsidRDefault="00427A8D" w:rsidP="00427A8D">
            <w:pPr>
              <w:spacing w:line="240" w:lineRule="exact"/>
            </w:pPr>
          </w:p>
          <w:p w14:paraId="61A0BB9E" w14:textId="29D109D4" w:rsidR="00427A8D" w:rsidRDefault="00427A8D" w:rsidP="00427A8D">
            <w:pPr>
              <w:spacing w:line="240" w:lineRule="exact"/>
            </w:pPr>
            <w:r>
              <w:t>Original: English</w:t>
            </w:r>
          </w:p>
        </w:tc>
      </w:tr>
    </w:tbl>
    <w:p w14:paraId="74894343" w14:textId="77777777" w:rsidR="00427A8D" w:rsidRPr="00960236" w:rsidRDefault="00427A8D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50E65554" w14:textId="77777777" w:rsidR="00427A8D" w:rsidRPr="00960236" w:rsidRDefault="00427A8D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2F645840" w14:textId="77777777" w:rsidR="00427A8D" w:rsidRPr="00960236" w:rsidRDefault="00427A8D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379A55D5" w14:textId="77777777" w:rsidR="00427A8D" w:rsidRPr="00960236" w:rsidRDefault="00427A8D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36DBAA44" w14:textId="172EA2BC" w:rsidR="00427A8D" w:rsidRDefault="00427A8D" w:rsidP="00C411EB">
      <w:r>
        <w:t>Bern, 25-28 March 2024</w:t>
      </w:r>
    </w:p>
    <w:p w14:paraId="241FBD09" w14:textId="5CA9AE01" w:rsidR="00427A8D" w:rsidRDefault="00427A8D" w:rsidP="00C411EB">
      <w:r w:rsidRPr="005816F4">
        <w:t xml:space="preserve">Item </w:t>
      </w:r>
      <w:r w:rsidR="005816F4">
        <w:t>5</w:t>
      </w:r>
      <w:r w:rsidR="00BF154F" w:rsidRPr="005816F4">
        <w:t xml:space="preserve"> (</w:t>
      </w:r>
      <w:r w:rsidR="005816F4">
        <w:t>b</w:t>
      </w:r>
      <w:r w:rsidR="00BF154F" w:rsidRPr="005816F4">
        <w:t>)</w:t>
      </w:r>
      <w:r w:rsidRPr="005816F4">
        <w:t xml:space="preserve"> of the provisional agenda</w:t>
      </w:r>
    </w:p>
    <w:p w14:paraId="293E7B90" w14:textId="042386C2" w:rsidR="00A95CC0" w:rsidRDefault="00A95CC0" w:rsidP="00C411EB">
      <w:pPr>
        <w:rPr>
          <w:b/>
        </w:rPr>
      </w:pPr>
      <w:r w:rsidRPr="008D0719">
        <w:rPr>
          <w:b/>
        </w:rPr>
        <w:t>Proposals for amendments to RID/ADR/ADN:</w:t>
      </w:r>
      <w:r>
        <w:rPr>
          <w:b/>
        </w:rPr>
        <w:br/>
        <w:t>N</w:t>
      </w:r>
      <w:r w:rsidRPr="008D0719">
        <w:rPr>
          <w:b/>
        </w:rPr>
        <w:t xml:space="preserve">ew </w:t>
      </w:r>
      <w:proofErr w:type="gramStart"/>
      <w:r w:rsidRPr="008D0719">
        <w:rPr>
          <w:b/>
        </w:rPr>
        <w:t>proposals</w:t>
      </w:r>
      <w:proofErr w:type="gramEnd"/>
    </w:p>
    <w:p w14:paraId="757BCBDF" w14:textId="77777777" w:rsidR="00437CC5" w:rsidRDefault="00437CC5" w:rsidP="00437CC5">
      <w:pPr>
        <w:pStyle w:val="HChG"/>
        <w:rPr>
          <w:rFonts w:eastAsia="Arial Unicode MS"/>
          <w:lang w:val="en-US"/>
        </w:rPr>
      </w:pPr>
      <w:r w:rsidRPr="008D0719">
        <w:tab/>
      </w:r>
      <w:r w:rsidRPr="008D0719">
        <w:tab/>
      </w:r>
      <w:r>
        <w:rPr>
          <w:rFonts w:eastAsia="Arial Unicode MS"/>
          <w:lang w:val="en-US"/>
        </w:rPr>
        <w:tab/>
        <w:t>Modification of requirements for non-UN acetylene cylinder marking</w:t>
      </w:r>
    </w:p>
    <w:p w14:paraId="29492F03" w14:textId="2CB482F4" w:rsidR="00437CC5" w:rsidRDefault="00437CC5" w:rsidP="00BB37AC">
      <w:pPr>
        <w:pStyle w:val="H1G"/>
        <w:rPr>
          <w:rFonts w:eastAsia="Arial Unicode MS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72FA7">
        <w:rPr>
          <w:rFonts w:eastAsia="Arial Unicode MS"/>
          <w:lang w:val="en-US"/>
        </w:rPr>
        <w:t xml:space="preserve">Transmitted by </w:t>
      </w:r>
      <w:r w:rsidR="007F6710">
        <w:rPr>
          <w:rFonts w:eastAsia="Arial Unicode MS"/>
          <w:lang w:val="en-US"/>
        </w:rPr>
        <w:t>European Industrial Gases Association (</w:t>
      </w:r>
      <w:r w:rsidRPr="00972FA7">
        <w:rPr>
          <w:rFonts w:eastAsia="Arial Unicode MS"/>
          <w:lang w:val="en-US"/>
        </w:rPr>
        <w:t>EIGA</w:t>
      </w:r>
      <w:r w:rsidR="007F6710">
        <w:rPr>
          <w:rFonts w:eastAsia="Arial Unicode MS"/>
          <w:lang w:val="en-US"/>
        </w:rPr>
        <w:t>)</w:t>
      </w:r>
      <w:r w:rsidR="00120058" w:rsidRPr="00D82763">
        <w:rPr>
          <w:rStyle w:val="FootnoteReference"/>
        </w:rPr>
        <w:footnoteReference w:customMarkFollows="1" w:id="2"/>
        <w:t>*,</w:t>
      </w:r>
      <w:r w:rsidR="00663818" w:rsidRPr="00437A92">
        <w:rPr>
          <w:rStyle w:val="FootnoteReference"/>
        </w:rPr>
        <w:t xml:space="preserve"> </w:t>
      </w:r>
      <w:r w:rsidR="00120058" w:rsidRPr="00D82763">
        <w:rPr>
          <w:rStyle w:val="FootnoteReference"/>
        </w:rPr>
        <w:footnoteReference w:customMarkFollows="1" w:id="3"/>
        <w:t>**</w:t>
      </w:r>
    </w:p>
    <w:p w14:paraId="6817A5EE" w14:textId="6A267FC7" w:rsidR="00437CC5" w:rsidRPr="008D0719" w:rsidRDefault="00501C56" w:rsidP="00501C56">
      <w:pPr>
        <w:pStyle w:val="HChG"/>
      </w:pPr>
      <w:r>
        <w:tab/>
      </w:r>
      <w:r w:rsidRPr="008D0719">
        <w:t>I.</w:t>
      </w:r>
      <w:r w:rsidRPr="008D0719">
        <w:tab/>
      </w:r>
      <w:r>
        <w:t>I</w:t>
      </w:r>
      <w:r w:rsidR="00437CC5" w:rsidRPr="008D0719">
        <w:t>ntroduction</w:t>
      </w:r>
    </w:p>
    <w:p w14:paraId="6E457DB0" w14:textId="65489E45" w:rsidR="00437CC5" w:rsidRDefault="00501C56" w:rsidP="00501C56">
      <w:pPr>
        <w:pStyle w:val="SingleTxtG"/>
      </w:pPr>
      <w:r>
        <w:t>1.</w:t>
      </w:r>
      <w:r>
        <w:tab/>
      </w:r>
      <w:r w:rsidR="00437CC5">
        <w:t>In document ECE/</w:t>
      </w:r>
      <w:r w:rsidR="00437CC5" w:rsidRPr="00501C56">
        <w:t>TRANS</w:t>
      </w:r>
      <w:r w:rsidR="00437CC5">
        <w:t>/WP.15/AC.1/2021/24/Add.1, submitted to the September 2021 Joint Meeting, the Ad Hoc Working Group on the Harmonization of RID/ADR/ADN with the United Nations Recommendations on the Transport of Dangerous Goods proposed changes to RID/ADR concerning the marking of acetylene cylinders which were subsequently adopted by the Joint Meeting.</w:t>
      </w:r>
    </w:p>
    <w:p w14:paraId="7AF3CE28" w14:textId="688F5192" w:rsidR="00437CC5" w:rsidRDefault="00501C56" w:rsidP="00501C56">
      <w:pPr>
        <w:pStyle w:val="SingleTxtG"/>
      </w:pPr>
      <w:r>
        <w:t>2.</w:t>
      </w:r>
      <w:r>
        <w:tab/>
      </w:r>
      <w:r w:rsidR="00437CC5">
        <w:t>Since 1 July 2023, the changes to 6.2.2.7.3</w:t>
      </w:r>
      <w:r w:rsidR="001F7FD2">
        <w:t xml:space="preserve"> </w:t>
      </w:r>
      <w:r w:rsidR="00437CC5">
        <w:t>(k) (iii) and (l) (iii) require additional marking for new acetylene cylinders.</w:t>
      </w:r>
    </w:p>
    <w:p w14:paraId="7638D33B" w14:textId="036EC01A" w:rsidR="00437CC5" w:rsidRDefault="00501C56" w:rsidP="00501C56">
      <w:pPr>
        <w:pStyle w:val="SingleTxtG"/>
      </w:pPr>
      <w:r>
        <w:t>3.</w:t>
      </w:r>
      <w:r>
        <w:tab/>
      </w:r>
      <w:r w:rsidR="00437CC5">
        <w:t xml:space="preserve">While EIGA agreed to the </w:t>
      </w:r>
      <w:r w:rsidR="00437CC5" w:rsidRPr="00501C56">
        <w:t>proposed</w:t>
      </w:r>
      <w:r w:rsidR="00437CC5">
        <w:t xml:space="preserve"> changes, their application has proven impossible for non-UN acetylene cylinders.</w:t>
      </w:r>
    </w:p>
    <w:p w14:paraId="6448FA9D" w14:textId="04B279CD" w:rsidR="00437CC5" w:rsidRPr="008D0719" w:rsidRDefault="00501C56" w:rsidP="00437CC5">
      <w:pPr>
        <w:pStyle w:val="HChG"/>
      </w:pPr>
      <w:r>
        <w:tab/>
        <w:t>II.</w:t>
      </w:r>
      <w:r>
        <w:tab/>
      </w:r>
      <w:r w:rsidR="00437CC5" w:rsidRPr="008D0719">
        <w:tab/>
        <w:t>Proposal</w:t>
      </w:r>
    </w:p>
    <w:p w14:paraId="5EC3490D" w14:textId="1CDB0324" w:rsidR="00437CC5" w:rsidRDefault="00501C56" w:rsidP="00501C56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437CC5" w:rsidRPr="00F7371B">
        <w:rPr>
          <w:lang w:val="en-US"/>
        </w:rPr>
        <w:t xml:space="preserve">EIGA proposes to </w:t>
      </w:r>
      <w:r w:rsidR="00437CC5" w:rsidRPr="00501C56">
        <w:t>revise</w:t>
      </w:r>
      <w:r w:rsidR="00437CC5" w:rsidRPr="00F7371B">
        <w:rPr>
          <w:lang w:val="en-US"/>
        </w:rPr>
        <w:t xml:space="preserve"> the existing </w:t>
      </w:r>
      <w:r w:rsidR="00437CC5">
        <w:rPr>
          <w:lang w:val="en-US"/>
        </w:rPr>
        <w:t xml:space="preserve">6.2.3.9 by adding a new deviation </w:t>
      </w:r>
      <w:r w:rsidR="00437CC5" w:rsidRPr="00F7371B">
        <w:rPr>
          <w:lang w:val="en-US"/>
        </w:rPr>
        <w:t>as follows:</w:t>
      </w:r>
    </w:p>
    <w:p w14:paraId="04D666C5" w14:textId="77777777" w:rsidR="00437CC5" w:rsidRDefault="00437CC5" w:rsidP="00437CC5">
      <w:pPr>
        <w:pStyle w:val="SingleTxtG"/>
        <w:ind w:left="2829" w:hanging="1335"/>
        <w:rPr>
          <w:lang w:val="en-US"/>
        </w:rPr>
      </w:pPr>
      <w:r>
        <w:rPr>
          <w:lang w:val="en-US"/>
        </w:rPr>
        <w:t>"</w:t>
      </w:r>
      <w:r w:rsidRPr="000304DB">
        <w:rPr>
          <w:lang w:val="en-US"/>
        </w:rPr>
        <w:t>6.2.3.9.9</w:t>
      </w:r>
      <w:r w:rsidRPr="000304DB">
        <w:rPr>
          <w:lang w:val="en-US"/>
        </w:rPr>
        <w:tab/>
      </w:r>
      <w:r>
        <w:rPr>
          <w:lang w:val="en-US"/>
        </w:rPr>
        <w:t xml:space="preserve">Marking of acetylene </w:t>
      </w:r>
      <w:proofErr w:type="gramStart"/>
      <w:r>
        <w:rPr>
          <w:lang w:val="en-US"/>
        </w:rPr>
        <w:t>cylinders</w:t>
      </w:r>
      <w:proofErr w:type="gramEnd"/>
    </w:p>
    <w:p w14:paraId="30314E63" w14:textId="5D82BE28" w:rsidR="00437CC5" w:rsidRPr="000304DB" w:rsidRDefault="00437CC5" w:rsidP="00437CC5">
      <w:pPr>
        <w:pStyle w:val="SingleTxtG"/>
        <w:ind w:left="2829" w:hanging="1335"/>
        <w:rPr>
          <w:lang w:val="en-US"/>
        </w:rPr>
      </w:pPr>
      <w:r>
        <w:rPr>
          <w:lang w:val="en-US"/>
        </w:rPr>
        <w:t>6.2.3.9.9.1</w:t>
      </w:r>
      <w:r w:rsidRPr="000304DB">
        <w:rPr>
          <w:lang w:val="en-US"/>
        </w:rPr>
        <w:tab/>
      </w:r>
      <w:r>
        <w:rPr>
          <w:lang w:val="en-US"/>
        </w:rPr>
        <w:t>In the case of cylinders f</w:t>
      </w:r>
      <w:r w:rsidRPr="000304DB">
        <w:rPr>
          <w:lang w:val="en-US"/>
        </w:rPr>
        <w:t>or UN No. 1001 acetylene, dissolved, marking shall be in accordance with 6.2.2.7.3(k)</w:t>
      </w:r>
      <w:r>
        <w:rPr>
          <w:lang w:val="en-US"/>
        </w:rPr>
        <w:t xml:space="preserve"> </w:t>
      </w:r>
      <w:r w:rsidRPr="000304DB">
        <w:rPr>
          <w:lang w:val="en-US"/>
        </w:rPr>
        <w:t>(</w:t>
      </w:r>
      <w:proofErr w:type="spellStart"/>
      <w:r w:rsidRPr="000304DB">
        <w:rPr>
          <w:lang w:val="en-US"/>
        </w:rPr>
        <w:t>i</w:t>
      </w:r>
      <w:proofErr w:type="spellEnd"/>
      <w:r w:rsidRPr="000304DB">
        <w:rPr>
          <w:lang w:val="en-US"/>
        </w:rPr>
        <w:t>) and (ii) and either 6.2.2.7.3</w:t>
      </w:r>
      <w:r>
        <w:rPr>
          <w:lang w:val="en-US"/>
        </w:rPr>
        <w:t xml:space="preserve"> </w:t>
      </w:r>
      <w:r w:rsidRPr="000304DB">
        <w:rPr>
          <w:lang w:val="en-US"/>
        </w:rPr>
        <w:t>(k)</w:t>
      </w:r>
      <w:r>
        <w:rPr>
          <w:lang w:val="en-US"/>
        </w:rPr>
        <w:t xml:space="preserve"> </w:t>
      </w:r>
      <w:r w:rsidRPr="000304DB">
        <w:rPr>
          <w:lang w:val="en-US"/>
        </w:rPr>
        <w:t xml:space="preserve">(iii) or, in the case only </w:t>
      </w:r>
      <w:r w:rsidR="001F7FD2">
        <w:rPr>
          <w:lang w:val="en-US"/>
        </w:rPr>
        <w:t>“</w:t>
      </w:r>
      <w:r w:rsidRPr="000304DB">
        <w:rPr>
          <w:lang w:val="en-US"/>
        </w:rPr>
        <w:t>Tare S</w:t>
      </w:r>
      <w:r w:rsidR="001F7FD2">
        <w:rPr>
          <w:lang w:val="en-US"/>
        </w:rPr>
        <w:t>”</w:t>
      </w:r>
      <w:r w:rsidRPr="000304DB">
        <w:rPr>
          <w:lang w:val="en-US"/>
        </w:rPr>
        <w:t xml:space="preserve"> is marked, the total mass may be replaced by the maximum acetylene charge, excluding saturation gas, preceded by the letters “MAX</w:t>
      </w:r>
      <w:proofErr w:type="gramStart"/>
      <w:r w:rsidRPr="000304DB">
        <w:rPr>
          <w:lang w:val="en-US"/>
        </w:rPr>
        <w:t>”</w:t>
      </w:r>
      <w:proofErr w:type="gramEnd"/>
      <w:r w:rsidRPr="000304DB">
        <w:rPr>
          <w:lang w:val="en-US"/>
        </w:rPr>
        <w:t xml:space="preserve"> and followed by the letters “KG”.</w:t>
      </w:r>
      <w:r w:rsidR="00B54E78" w:rsidRPr="00B54E78">
        <w:rPr>
          <w:lang w:val="en-US"/>
        </w:rPr>
        <w:t xml:space="preserve"> </w:t>
      </w:r>
      <w:r w:rsidR="00B54E78">
        <w:rPr>
          <w:lang w:val="en-US"/>
        </w:rPr>
        <w:t>"</w:t>
      </w:r>
    </w:p>
    <w:p w14:paraId="6E98F5FE" w14:textId="00F103A4" w:rsidR="00437CC5" w:rsidRPr="008D0719" w:rsidRDefault="00437CC5" w:rsidP="004171CE">
      <w:pPr>
        <w:pStyle w:val="HChG"/>
      </w:pPr>
      <w:r>
        <w:lastRenderedPageBreak/>
        <w:tab/>
      </w:r>
      <w:r w:rsidR="00E614D3">
        <w:t>III.</w:t>
      </w:r>
      <w:r w:rsidR="00E614D3">
        <w:tab/>
      </w:r>
      <w:r w:rsidRPr="008D0719">
        <w:t>Justification</w:t>
      </w:r>
    </w:p>
    <w:p w14:paraId="7D21FCCB" w14:textId="7BC5DBD2" w:rsidR="00437CC5" w:rsidRDefault="00501C56" w:rsidP="004171CE">
      <w:pPr>
        <w:pStyle w:val="SingleTxtG"/>
        <w:keepNext/>
        <w:keepLines/>
      </w:pPr>
      <w:r>
        <w:t>5.</w:t>
      </w:r>
      <w:r>
        <w:tab/>
      </w:r>
      <w:r w:rsidR="00437CC5">
        <w:t xml:space="preserve">The change </w:t>
      </w:r>
      <w:r w:rsidR="00437CC5" w:rsidRPr="00E614D3">
        <w:t>proposed</w:t>
      </w:r>
      <w:r w:rsidR="00437CC5">
        <w:t xml:space="preserve"> has no safety implications.</w:t>
      </w:r>
    </w:p>
    <w:p w14:paraId="1BEBEAC3" w14:textId="7AB6AA3A" w:rsidR="00437CC5" w:rsidRDefault="00501C56" w:rsidP="004171CE">
      <w:pPr>
        <w:pStyle w:val="SingleTxtG"/>
        <w:keepNext/>
        <w:keepLines/>
      </w:pPr>
      <w:r>
        <w:t>6.</w:t>
      </w:r>
      <w:r>
        <w:tab/>
      </w:r>
      <w:r w:rsidR="00437CC5">
        <w:t xml:space="preserve">The </w:t>
      </w:r>
      <w:r w:rsidR="00437CC5" w:rsidRPr="00E614D3">
        <w:t>proposal</w:t>
      </w:r>
      <w:r w:rsidR="00437CC5">
        <w:t xml:space="preserve"> is aligned with </w:t>
      </w:r>
      <w:r w:rsidR="004171CE">
        <w:t xml:space="preserve">standard </w:t>
      </w:r>
      <w:r w:rsidR="00437CC5">
        <w:t>EN ISO 13769 which is applied in several countries. This standard gives the definition of "Tare S".</w:t>
      </w:r>
    </w:p>
    <w:p w14:paraId="385BE1EA" w14:textId="6DBAAFF4" w:rsidR="00B67AD1" w:rsidRDefault="00E614D3" w:rsidP="00E614D3">
      <w:pPr>
        <w:pStyle w:val="SingleTxtG"/>
      </w:pPr>
      <w:r>
        <w:t>7.</w:t>
      </w:r>
      <w:r>
        <w:tab/>
      </w:r>
      <w:r w:rsidR="00437CC5">
        <w:t>Changing the well-established practice could lead to mistakes and confusion without adding any additional safety value.</w:t>
      </w:r>
    </w:p>
    <w:p w14:paraId="61805C38" w14:textId="145EBD4B" w:rsidR="00E614D3" w:rsidRPr="00E614D3" w:rsidRDefault="00E614D3" w:rsidP="00E614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14D3" w:rsidRPr="00E614D3" w:rsidSect="00427A8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C80A" w14:textId="77777777" w:rsidR="00962440" w:rsidRDefault="00962440"/>
  </w:endnote>
  <w:endnote w:type="continuationSeparator" w:id="0">
    <w:p w14:paraId="2CB50C3C" w14:textId="77777777" w:rsidR="00962440" w:rsidRDefault="00962440"/>
  </w:endnote>
  <w:endnote w:type="continuationNotice" w:id="1">
    <w:p w14:paraId="642F71DB" w14:textId="77777777" w:rsidR="00962440" w:rsidRDefault="00962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13CE" w14:textId="3DF85E37" w:rsidR="00427A8D" w:rsidRPr="00427A8D" w:rsidRDefault="00427A8D" w:rsidP="00427A8D">
    <w:pPr>
      <w:pStyle w:val="Footer"/>
      <w:tabs>
        <w:tab w:val="right" w:pos="9638"/>
      </w:tabs>
      <w:rPr>
        <w:sz w:val="18"/>
      </w:rPr>
    </w:pPr>
    <w:r w:rsidRPr="00427A8D">
      <w:rPr>
        <w:b/>
        <w:sz w:val="18"/>
      </w:rPr>
      <w:fldChar w:fldCharType="begin"/>
    </w:r>
    <w:r w:rsidRPr="00427A8D">
      <w:rPr>
        <w:b/>
        <w:sz w:val="18"/>
      </w:rPr>
      <w:instrText xml:space="preserve"> PAGE  \* MERGEFORMAT </w:instrText>
    </w:r>
    <w:r w:rsidRPr="00427A8D">
      <w:rPr>
        <w:b/>
        <w:sz w:val="18"/>
      </w:rPr>
      <w:fldChar w:fldCharType="separate"/>
    </w:r>
    <w:r w:rsidRPr="00427A8D">
      <w:rPr>
        <w:b/>
        <w:noProof/>
        <w:sz w:val="18"/>
      </w:rPr>
      <w:t>2</w:t>
    </w:r>
    <w:r w:rsidRPr="00427A8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4C3C" w14:textId="41EBA4B5" w:rsidR="00427A8D" w:rsidRPr="00427A8D" w:rsidRDefault="00427A8D" w:rsidP="00427A8D">
    <w:pPr>
      <w:pStyle w:val="Footer"/>
      <w:tabs>
        <w:tab w:val="right" w:pos="9638"/>
      </w:tabs>
      <w:rPr>
        <w:b/>
        <w:sz w:val="18"/>
      </w:rPr>
    </w:pPr>
    <w:r>
      <w:tab/>
    </w:r>
    <w:r w:rsidRPr="00427A8D">
      <w:rPr>
        <w:b/>
        <w:sz w:val="18"/>
      </w:rPr>
      <w:fldChar w:fldCharType="begin"/>
    </w:r>
    <w:r w:rsidRPr="00427A8D">
      <w:rPr>
        <w:b/>
        <w:sz w:val="18"/>
      </w:rPr>
      <w:instrText xml:space="preserve"> PAGE  \* MERGEFORMAT </w:instrText>
    </w:r>
    <w:r w:rsidRPr="00427A8D">
      <w:rPr>
        <w:b/>
        <w:sz w:val="18"/>
      </w:rPr>
      <w:fldChar w:fldCharType="separate"/>
    </w:r>
    <w:r w:rsidRPr="00427A8D">
      <w:rPr>
        <w:b/>
        <w:noProof/>
        <w:sz w:val="18"/>
      </w:rPr>
      <w:t>3</w:t>
    </w:r>
    <w:r w:rsidRPr="00427A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BDD8" w14:textId="099670C9" w:rsidR="005441A5" w:rsidRDefault="005441A5" w:rsidP="005441A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032A825" wp14:editId="3269380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7887" w14:textId="0127CA44" w:rsidR="005441A5" w:rsidRPr="005441A5" w:rsidRDefault="005441A5" w:rsidP="005441A5">
    <w:pPr>
      <w:pStyle w:val="Footer"/>
      <w:ind w:right="1134"/>
      <w:rPr>
        <w:sz w:val="20"/>
      </w:rPr>
    </w:pPr>
    <w:r>
      <w:rPr>
        <w:sz w:val="20"/>
      </w:rPr>
      <w:t>GE.23-25597(E)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1049C0" wp14:editId="4B1860A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DA41" w14:textId="77777777" w:rsidR="00962440" w:rsidRPr="000B175B" w:rsidRDefault="009624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56ABE1" w14:textId="77777777" w:rsidR="00962440" w:rsidRPr="00FC68B7" w:rsidRDefault="009624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491F25" w14:textId="77777777" w:rsidR="00962440" w:rsidRDefault="00962440"/>
  </w:footnote>
  <w:footnote w:id="2">
    <w:p w14:paraId="508369C7" w14:textId="77777777" w:rsidR="00120058" w:rsidRPr="00D64B4B" w:rsidRDefault="00120058" w:rsidP="00120058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D82763">
        <w:rPr>
          <w:rStyle w:val="FootnoteReference"/>
          <w:b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 xml:space="preserve"> A/78/6 (Sect.20), table 20.5.</w:t>
      </w:r>
    </w:p>
  </w:footnote>
  <w:footnote w:id="3">
    <w:p w14:paraId="61067FF2" w14:textId="2100A4C6" w:rsidR="00120058" w:rsidRPr="00563AA0" w:rsidRDefault="00120058" w:rsidP="000304D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D82763">
        <w:rPr>
          <w:rStyle w:val="FootnoteReference"/>
          <w:b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 xml:space="preserve"> </w:t>
      </w:r>
      <w:r w:rsidRPr="00F30C99">
        <w:t xml:space="preserve">Circulated by the Intergovernmental Organisation for International Carriage by Rail (OTIF) under the symbol </w:t>
      </w:r>
      <w:r w:rsidRPr="00561474">
        <w:t>OTIF/RID/RC/20</w:t>
      </w:r>
      <w:r>
        <w:t>24</w:t>
      </w:r>
      <w:r w:rsidRPr="00561474">
        <w:t>/</w:t>
      </w:r>
      <w:r>
        <w:t>12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FEC4" w14:textId="5F5AE5F8" w:rsidR="00427A8D" w:rsidRPr="00427A8D" w:rsidRDefault="005441A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7A8D">
      <w:t>ECE/TRANS/WP.15/AC.1/2024/12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480" w14:textId="6B13E2B5" w:rsidR="00427A8D" w:rsidRPr="00427A8D" w:rsidRDefault="005441A5" w:rsidP="00427A8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7A8D">
      <w:t>ECE/TRANS/WP.15/AC.1/2024/12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E4456"/>
    <w:multiLevelType w:val="hybridMultilevel"/>
    <w:tmpl w:val="53F67B84"/>
    <w:lvl w:ilvl="0" w:tplc="DBE4651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2174976">
    <w:abstractNumId w:val="1"/>
  </w:num>
  <w:num w:numId="2" w16cid:durableId="1407921488">
    <w:abstractNumId w:val="0"/>
  </w:num>
  <w:num w:numId="3" w16cid:durableId="1724139563">
    <w:abstractNumId w:val="2"/>
  </w:num>
  <w:num w:numId="4" w16cid:durableId="1125658985">
    <w:abstractNumId w:val="3"/>
  </w:num>
  <w:num w:numId="5" w16cid:durableId="14423399">
    <w:abstractNumId w:val="8"/>
  </w:num>
  <w:num w:numId="6" w16cid:durableId="1835149836">
    <w:abstractNumId w:val="9"/>
  </w:num>
  <w:num w:numId="7" w16cid:durableId="873884084">
    <w:abstractNumId w:val="7"/>
  </w:num>
  <w:num w:numId="8" w16cid:durableId="1683242422">
    <w:abstractNumId w:val="6"/>
  </w:num>
  <w:num w:numId="9" w16cid:durableId="1150829719">
    <w:abstractNumId w:val="5"/>
  </w:num>
  <w:num w:numId="10" w16cid:durableId="1026171300">
    <w:abstractNumId w:val="4"/>
  </w:num>
  <w:num w:numId="11" w16cid:durableId="158810625">
    <w:abstractNumId w:val="16"/>
  </w:num>
  <w:num w:numId="12" w16cid:durableId="2087872779">
    <w:abstractNumId w:val="14"/>
  </w:num>
  <w:num w:numId="13" w16cid:durableId="1931426856">
    <w:abstractNumId w:val="10"/>
  </w:num>
  <w:num w:numId="14" w16cid:durableId="1797025560">
    <w:abstractNumId w:val="12"/>
  </w:num>
  <w:num w:numId="15" w16cid:durableId="122160422">
    <w:abstractNumId w:val="17"/>
  </w:num>
  <w:num w:numId="16" w16cid:durableId="1517116309">
    <w:abstractNumId w:val="13"/>
  </w:num>
  <w:num w:numId="17" w16cid:durableId="1324626396">
    <w:abstractNumId w:val="18"/>
  </w:num>
  <w:num w:numId="18" w16cid:durableId="1872648306">
    <w:abstractNumId w:val="20"/>
  </w:num>
  <w:num w:numId="19" w16cid:durableId="1075320538">
    <w:abstractNumId w:val="11"/>
  </w:num>
  <w:num w:numId="20" w16cid:durableId="1673295045">
    <w:abstractNumId w:val="11"/>
  </w:num>
  <w:num w:numId="21" w16cid:durableId="867912769">
    <w:abstractNumId w:val="15"/>
  </w:num>
  <w:num w:numId="22" w16cid:durableId="7452143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8D"/>
    <w:rsid w:val="00002A7D"/>
    <w:rsid w:val="000038A8"/>
    <w:rsid w:val="00006790"/>
    <w:rsid w:val="00027624"/>
    <w:rsid w:val="000304DB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20058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1F7FD2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00AE"/>
    <w:rsid w:val="003A46BB"/>
    <w:rsid w:val="003A4EC7"/>
    <w:rsid w:val="003A7295"/>
    <w:rsid w:val="003B1F60"/>
    <w:rsid w:val="003C2CC4"/>
    <w:rsid w:val="003D4B23"/>
    <w:rsid w:val="003E278A"/>
    <w:rsid w:val="00413520"/>
    <w:rsid w:val="004171CE"/>
    <w:rsid w:val="00427A8D"/>
    <w:rsid w:val="00430D57"/>
    <w:rsid w:val="004325CB"/>
    <w:rsid w:val="00437A92"/>
    <w:rsid w:val="00437CC5"/>
    <w:rsid w:val="00440A07"/>
    <w:rsid w:val="00462880"/>
    <w:rsid w:val="00476F24"/>
    <w:rsid w:val="004C55B0"/>
    <w:rsid w:val="004F6BA0"/>
    <w:rsid w:val="00501C56"/>
    <w:rsid w:val="00503BEA"/>
    <w:rsid w:val="00533616"/>
    <w:rsid w:val="00535ABA"/>
    <w:rsid w:val="0053768B"/>
    <w:rsid w:val="005420F2"/>
    <w:rsid w:val="0054285C"/>
    <w:rsid w:val="005441A5"/>
    <w:rsid w:val="005816F4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2AE"/>
    <w:rsid w:val="006115CC"/>
    <w:rsid w:val="00611FC4"/>
    <w:rsid w:val="006176FB"/>
    <w:rsid w:val="00630FCB"/>
    <w:rsid w:val="00640B26"/>
    <w:rsid w:val="0065766B"/>
    <w:rsid w:val="00663818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184E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7F6710"/>
    <w:rsid w:val="00800522"/>
    <w:rsid w:val="00810BAC"/>
    <w:rsid w:val="008175E9"/>
    <w:rsid w:val="008242D7"/>
    <w:rsid w:val="0082577B"/>
    <w:rsid w:val="008272DD"/>
    <w:rsid w:val="00833DE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244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95CC0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54E78"/>
    <w:rsid w:val="00B67AD1"/>
    <w:rsid w:val="00B70B63"/>
    <w:rsid w:val="00B72A1E"/>
    <w:rsid w:val="00B81E12"/>
    <w:rsid w:val="00BA339B"/>
    <w:rsid w:val="00BB23CC"/>
    <w:rsid w:val="00BB37AC"/>
    <w:rsid w:val="00BC1E7E"/>
    <w:rsid w:val="00BC74E9"/>
    <w:rsid w:val="00BE36A9"/>
    <w:rsid w:val="00BE618E"/>
    <w:rsid w:val="00BE7BEC"/>
    <w:rsid w:val="00BF0A5A"/>
    <w:rsid w:val="00BF0E63"/>
    <w:rsid w:val="00BF12A3"/>
    <w:rsid w:val="00BF154F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1557"/>
    <w:rsid w:val="00C745C3"/>
    <w:rsid w:val="00C978F5"/>
    <w:rsid w:val="00CA24A4"/>
    <w:rsid w:val="00CA7347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423C0"/>
    <w:rsid w:val="00E614D3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3E7F5"/>
  <w15:docId w15:val="{E6525551-F537-44F6-AD83-C247A6D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120058"/>
    <w:rPr>
      <w:sz w:val="18"/>
      <w:lang w:val="en-GB"/>
    </w:rPr>
  </w:style>
  <w:style w:type="character" w:customStyle="1" w:styleId="H1GChar">
    <w:name w:val="_ H_1_G Char"/>
    <w:link w:val="H1G"/>
    <w:qFormat/>
    <w:locked/>
    <w:rsid w:val="00120058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C1C1-5EDE-4E3E-9F77-798FA43D961E}"/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306</Words>
  <Characters>1740</Characters>
  <Application>Microsoft Office Word</Application>
  <DocSecurity>0</DocSecurity>
  <Lines>46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ECE/TRANS/WP.15/AC.1/2024/12</vt:lpstr>
      <vt:lpstr/>
    </vt:vector>
  </TitlesOfParts>
  <Company>CSD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ECE/TRANS/WP.15/AC.1/2024/12</dc:title>
  <dc:subject>2325597</dc:subject>
  <dc:creator>Alicia DORCA-GARCIA</dc:creator>
  <cp:keywords/>
  <dc:description/>
  <cp:lastModifiedBy>Pauline Anne Escalante</cp:lastModifiedBy>
  <cp:revision>2</cp:revision>
  <cp:lastPrinted>2009-02-18T09:36:00Z</cp:lastPrinted>
  <dcterms:created xsi:type="dcterms:W3CDTF">2023-12-19T11:43:00Z</dcterms:created>
  <dcterms:modified xsi:type="dcterms:W3CDTF">2023-12-19T11:43:00Z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