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1C036E" w14:textId="77777777" w:rsidTr="00B20551">
        <w:trPr>
          <w:cantSplit/>
          <w:trHeight w:hRule="exact" w:val="851"/>
        </w:trPr>
        <w:tc>
          <w:tcPr>
            <w:tcW w:w="1276" w:type="dxa"/>
            <w:tcBorders>
              <w:bottom w:val="single" w:sz="4" w:space="0" w:color="auto"/>
            </w:tcBorders>
            <w:vAlign w:val="bottom"/>
          </w:tcPr>
          <w:p w14:paraId="1E46AF0C" w14:textId="77777777" w:rsidR="009E6CB7" w:rsidRDefault="009E6CB7" w:rsidP="00B20551">
            <w:pPr>
              <w:spacing w:after="80"/>
            </w:pPr>
          </w:p>
        </w:tc>
        <w:tc>
          <w:tcPr>
            <w:tcW w:w="2268" w:type="dxa"/>
            <w:tcBorders>
              <w:bottom w:val="single" w:sz="4" w:space="0" w:color="auto"/>
            </w:tcBorders>
            <w:vAlign w:val="bottom"/>
          </w:tcPr>
          <w:p w14:paraId="18B6169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8D26F3" w14:textId="6B217478" w:rsidR="009E6CB7" w:rsidRPr="00D47EEA" w:rsidRDefault="00871927" w:rsidP="00871927">
            <w:pPr>
              <w:jc w:val="right"/>
            </w:pPr>
            <w:r w:rsidRPr="00871927">
              <w:rPr>
                <w:sz w:val="40"/>
              </w:rPr>
              <w:t>ECE</w:t>
            </w:r>
            <w:r>
              <w:t>/TRANS/WP.15/AC.1/2024/14</w:t>
            </w:r>
          </w:p>
        </w:tc>
      </w:tr>
      <w:tr w:rsidR="009E6CB7" w14:paraId="3CB11AA6" w14:textId="77777777" w:rsidTr="00B20551">
        <w:trPr>
          <w:cantSplit/>
          <w:trHeight w:hRule="exact" w:val="2835"/>
        </w:trPr>
        <w:tc>
          <w:tcPr>
            <w:tcW w:w="1276" w:type="dxa"/>
            <w:tcBorders>
              <w:top w:val="single" w:sz="4" w:space="0" w:color="auto"/>
              <w:bottom w:val="single" w:sz="12" w:space="0" w:color="auto"/>
            </w:tcBorders>
          </w:tcPr>
          <w:p w14:paraId="43BC73EB" w14:textId="77777777" w:rsidR="009E6CB7" w:rsidRDefault="00686A48" w:rsidP="00B20551">
            <w:pPr>
              <w:spacing w:before="120"/>
            </w:pPr>
            <w:r>
              <w:rPr>
                <w:noProof/>
                <w:lang w:val="fr-CH" w:eastAsia="fr-CH"/>
              </w:rPr>
              <w:drawing>
                <wp:inline distT="0" distB="0" distL="0" distR="0" wp14:anchorId="5E3DBDA3" wp14:editId="01A10C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B7DA0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ECCD3C" w14:textId="77777777" w:rsidR="009E6CB7" w:rsidRDefault="00871927" w:rsidP="00871927">
            <w:pPr>
              <w:spacing w:before="240" w:line="240" w:lineRule="exact"/>
            </w:pPr>
            <w:r>
              <w:t>Distr.: General</w:t>
            </w:r>
          </w:p>
          <w:p w14:paraId="7BBF6BD5" w14:textId="39F9EA4B" w:rsidR="00871927" w:rsidRDefault="00871927" w:rsidP="00871927">
            <w:pPr>
              <w:spacing w:line="240" w:lineRule="exact"/>
            </w:pPr>
            <w:r>
              <w:t>2</w:t>
            </w:r>
            <w:r w:rsidR="008D3D24">
              <w:t>1</w:t>
            </w:r>
            <w:r>
              <w:t xml:space="preserve"> December 202</w:t>
            </w:r>
            <w:r w:rsidR="00A2763A">
              <w:t>3</w:t>
            </w:r>
          </w:p>
          <w:p w14:paraId="73E2FBD8" w14:textId="77777777" w:rsidR="00871927" w:rsidRDefault="00871927" w:rsidP="00871927">
            <w:pPr>
              <w:spacing w:line="240" w:lineRule="exact"/>
            </w:pPr>
          </w:p>
          <w:p w14:paraId="3B335E30" w14:textId="65E47FE2" w:rsidR="00871927" w:rsidRDefault="00871927" w:rsidP="00871927">
            <w:pPr>
              <w:spacing w:line="240" w:lineRule="exact"/>
            </w:pPr>
            <w:r>
              <w:t>Original: English</w:t>
            </w:r>
          </w:p>
        </w:tc>
      </w:tr>
    </w:tbl>
    <w:p w14:paraId="2B4B343B" w14:textId="77777777" w:rsidR="00871927" w:rsidRPr="00960236" w:rsidRDefault="00871927" w:rsidP="00C411EB">
      <w:pPr>
        <w:spacing w:before="120"/>
        <w:rPr>
          <w:b/>
          <w:sz w:val="28"/>
          <w:szCs w:val="28"/>
        </w:rPr>
      </w:pPr>
      <w:r w:rsidRPr="00960236">
        <w:rPr>
          <w:b/>
          <w:sz w:val="28"/>
          <w:szCs w:val="28"/>
        </w:rPr>
        <w:t>Economic Commission for Europe</w:t>
      </w:r>
    </w:p>
    <w:p w14:paraId="7F1F872F" w14:textId="77777777" w:rsidR="00871927" w:rsidRPr="00960236" w:rsidRDefault="00871927" w:rsidP="00C411EB">
      <w:pPr>
        <w:spacing w:before="120"/>
        <w:rPr>
          <w:sz w:val="28"/>
          <w:szCs w:val="28"/>
        </w:rPr>
      </w:pPr>
      <w:r w:rsidRPr="00960236">
        <w:rPr>
          <w:sz w:val="28"/>
          <w:szCs w:val="28"/>
        </w:rPr>
        <w:t>Inland Transport Committee</w:t>
      </w:r>
    </w:p>
    <w:p w14:paraId="77920869" w14:textId="77777777" w:rsidR="00871927" w:rsidRPr="00960236" w:rsidRDefault="00871927" w:rsidP="00C411EB">
      <w:pPr>
        <w:spacing w:before="120"/>
        <w:rPr>
          <w:b/>
          <w:sz w:val="24"/>
          <w:szCs w:val="24"/>
        </w:rPr>
      </w:pPr>
      <w:r w:rsidRPr="00960236">
        <w:rPr>
          <w:b/>
          <w:sz w:val="24"/>
          <w:szCs w:val="24"/>
        </w:rPr>
        <w:t>Working Party on the Transport of Dangerous Goods</w:t>
      </w:r>
    </w:p>
    <w:p w14:paraId="3859AB8A" w14:textId="77777777" w:rsidR="00871927" w:rsidRPr="00960236" w:rsidRDefault="00871927"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6316AFA9" w14:textId="379725F2" w:rsidR="00871927" w:rsidRDefault="00A2763A" w:rsidP="00C411EB">
      <w:r>
        <w:t>Bern</w:t>
      </w:r>
      <w:r w:rsidR="00871927">
        <w:t xml:space="preserve">, </w:t>
      </w:r>
      <w:r>
        <w:t>25-28 March 2024</w:t>
      </w:r>
    </w:p>
    <w:p w14:paraId="785DE120" w14:textId="16129C7F" w:rsidR="00871927" w:rsidRDefault="00871927" w:rsidP="00C411EB">
      <w:r>
        <w:t xml:space="preserve">Item </w:t>
      </w:r>
      <w:r w:rsidR="00965A78">
        <w:t>5 (b)</w:t>
      </w:r>
      <w:r>
        <w:t xml:space="preserve"> of the provisional agenda</w:t>
      </w:r>
    </w:p>
    <w:p w14:paraId="7F6A1D7A" w14:textId="10698AE1" w:rsidR="00965A78" w:rsidRDefault="00965A78" w:rsidP="00C411EB">
      <w:pPr>
        <w:rPr>
          <w:b/>
          <w:bCs/>
        </w:rPr>
      </w:pPr>
      <w:r>
        <w:rPr>
          <w:b/>
          <w:bCs/>
        </w:rPr>
        <w:t>Proposal for amendments to RID/ADR/AD</w:t>
      </w:r>
      <w:r w:rsidR="006D1A4B">
        <w:rPr>
          <w:b/>
          <w:bCs/>
        </w:rPr>
        <w:t>N</w:t>
      </w:r>
    </w:p>
    <w:p w14:paraId="42A171BD" w14:textId="3E64F883" w:rsidR="001C6663" w:rsidRDefault="00965A78" w:rsidP="00C411EB">
      <w:pPr>
        <w:rPr>
          <w:b/>
          <w:bCs/>
        </w:rPr>
      </w:pPr>
      <w:r>
        <w:rPr>
          <w:b/>
          <w:bCs/>
        </w:rPr>
        <w:t>New proposal</w:t>
      </w:r>
      <w:r w:rsidR="00A35C67">
        <w:rPr>
          <w:b/>
          <w:bCs/>
        </w:rPr>
        <w:t>s</w:t>
      </w:r>
    </w:p>
    <w:p w14:paraId="4E40F716" w14:textId="582186DC" w:rsidR="00BA2837" w:rsidRPr="00F1677E" w:rsidRDefault="00BA2837" w:rsidP="008D3D24">
      <w:pPr>
        <w:pStyle w:val="HChG"/>
        <w:rPr>
          <w:rFonts w:asciiTheme="minorHAnsi" w:hAnsiTheme="minorHAnsi" w:cstheme="minorHAnsi"/>
        </w:rPr>
      </w:pPr>
      <w:r>
        <w:tab/>
      </w:r>
      <w:r>
        <w:tab/>
      </w:r>
      <w:r w:rsidRPr="00F1677E">
        <w:t>Definition of “</w:t>
      </w:r>
      <w:r w:rsidR="00176D99">
        <w:t>c</w:t>
      </w:r>
      <w:r w:rsidRPr="00F1677E">
        <w:t xml:space="preserve">losed </w:t>
      </w:r>
      <w:r w:rsidR="00176D99">
        <w:t>v</w:t>
      </w:r>
      <w:r w:rsidRPr="00F1677E">
        <w:t>ehicle” in 1.2.1 of ADR</w:t>
      </w:r>
    </w:p>
    <w:p w14:paraId="2D53D5BE" w14:textId="36195A55" w:rsidR="00BA2837" w:rsidRDefault="00BA2837" w:rsidP="008D3D24">
      <w:pPr>
        <w:pStyle w:val="H1G"/>
        <w:rPr>
          <w:szCs w:val="24"/>
          <w:lang w:eastAsia="zh-CN"/>
        </w:rPr>
      </w:pPr>
      <w:r>
        <w:tab/>
      </w:r>
      <w:r>
        <w:tab/>
      </w:r>
      <w:r w:rsidRPr="008D3D24">
        <w:t>Transmitted</w:t>
      </w:r>
      <w:r>
        <w:t xml:space="preserve"> by the Gove</w:t>
      </w:r>
      <w:r w:rsidR="00831D88">
        <w:t>r</w:t>
      </w:r>
      <w:r w:rsidR="00343326">
        <w:t xml:space="preserve">nment </w:t>
      </w:r>
      <w:r w:rsidR="004A2603">
        <w:t xml:space="preserve">of </w:t>
      </w:r>
      <w:r w:rsidR="001D27E7">
        <w:t xml:space="preserve">the </w:t>
      </w:r>
      <w:r>
        <w:t>Netherlands</w:t>
      </w:r>
      <w:r w:rsidR="00744EE0" w:rsidRPr="00FC767F">
        <w:rPr>
          <w:rStyle w:val="FootnoteReference"/>
        </w:rPr>
        <w:footnoteReference w:customMarkFollows="1" w:id="2"/>
        <w:t>*</w:t>
      </w:r>
      <w:r w:rsidR="00035F62" w:rsidRPr="00FC767F">
        <w:rPr>
          <w:rStyle w:val="FootnoteReference"/>
        </w:rPr>
        <w:t xml:space="preserve">, </w:t>
      </w:r>
      <w:r w:rsidR="00035F62" w:rsidRPr="00FC767F">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24280" w14:paraId="1F26550D" w14:textId="77777777" w:rsidTr="004F0C40">
        <w:trPr>
          <w:jc w:val="center"/>
        </w:trPr>
        <w:tc>
          <w:tcPr>
            <w:tcW w:w="9629" w:type="dxa"/>
            <w:shd w:val="clear" w:color="auto" w:fill="auto"/>
          </w:tcPr>
          <w:p w14:paraId="04B14164" w14:textId="77777777" w:rsidR="00524280" w:rsidRPr="00C6263E" w:rsidRDefault="00524280" w:rsidP="006E5E26">
            <w:pPr>
              <w:spacing w:before="240" w:after="120"/>
              <w:ind w:left="255"/>
              <w:rPr>
                <w:i/>
                <w:sz w:val="24"/>
              </w:rPr>
            </w:pPr>
            <w:r w:rsidRPr="00C6263E">
              <w:rPr>
                <w:i/>
                <w:sz w:val="24"/>
              </w:rPr>
              <w:t>Summary</w:t>
            </w:r>
          </w:p>
        </w:tc>
      </w:tr>
      <w:tr w:rsidR="004F0C40" w14:paraId="4B008CE9" w14:textId="77777777" w:rsidTr="004F0C40">
        <w:trPr>
          <w:jc w:val="center"/>
        </w:trPr>
        <w:tc>
          <w:tcPr>
            <w:tcW w:w="9629" w:type="dxa"/>
            <w:shd w:val="clear" w:color="auto" w:fill="auto"/>
          </w:tcPr>
          <w:p w14:paraId="1C999547" w14:textId="13BC3975" w:rsidR="004F0C40" w:rsidRPr="001B7BC7" w:rsidRDefault="004F0C40" w:rsidP="001B7BC7">
            <w:pPr>
              <w:spacing w:after="120"/>
              <w:ind w:left="2694" w:right="713" w:hanging="2127"/>
              <w:jc w:val="both"/>
              <w:rPr>
                <w:b/>
              </w:rPr>
            </w:pPr>
            <w:r w:rsidRPr="001B7BC7">
              <w:rPr>
                <w:b/>
              </w:rPr>
              <w:t>Executive summary:</w:t>
            </w:r>
            <w:r w:rsidRPr="001B7BC7">
              <w:rPr>
                <w:b/>
              </w:rPr>
              <w:tab/>
            </w:r>
            <w:r w:rsidRPr="001B7BC7">
              <w:t>The definition of closed vehicle needs to be amended to explain that bodies of closed vehicles shall be constructed with all rigid panels.</w:t>
            </w:r>
          </w:p>
        </w:tc>
      </w:tr>
      <w:tr w:rsidR="004F0C40" w14:paraId="533FE0E4" w14:textId="77777777" w:rsidTr="004F0C40">
        <w:trPr>
          <w:jc w:val="center"/>
        </w:trPr>
        <w:tc>
          <w:tcPr>
            <w:tcW w:w="9629" w:type="dxa"/>
            <w:shd w:val="clear" w:color="auto" w:fill="auto"/>
          </w:tcPr>
          <w:p w14:paraId="36F4E7B0" w14:textId="1029F859" w:rsidR="004F0C40" w:rsidRPr="00911158" w:rsidRDefault="004F0C40" w:rsidP="004F0C40">
            <w:pPr>
              <w:spacing w:after="120"/>
              <w:ind w:left="2694" w:right="713" w:hanging="2127"/>
              <w:jc w:val="both"/>
              <w:rPr>
                <w:bCs/>
                <w:szCs w:val="22"/>
              </w:rPr>
            </w:pPr>
            <w:r w:rsidRPr="00911158">
              <w:rPr>
                <w:b/>
              </w:rPr>
              <w:t>Action to be taken</w:t>
            </w:r>
            <w:r w:rsidRPr="00911158">
              <w:t>:</w:t>
            </w:r>
            <w:r w:rsidRPr="00911158">
              <w:tab/>
            </w:r>
            <w:r>
              <w:t>Amend the definition of closed vehicle.</w:t>
            </w:r>
          </w:p>
          <w:p w14:paraId="6F2AAD1B" w14:textId="1423D135" w:rsidR="004F0C40" w:rsidRDefault="004F0C40" w:rsidP="00C76542">
            <w:pPr>
              <w:spacing w:after="120"/>
              <w:ind w:left="2694" w:right="713" w:hanging="2127"/>
              <w:jc w:val="both"/>
            </w:pPr>
            <w:r w:rsidRPr="00911158">
              <w:rPr>
                <w:b/>
              </w:rPr>
              <w:t>Related documents:</w:t>
            </w:r>
            <w:r w:rsidRPr="00911158">
              <w:rPr>
                <w:b/>
              </w:rPr>
              <w:tab/>
            </w:r>
            <w:r w:rsidR="00343326">
              <w:rPr>
                <w:bCs/>
              </w:rPr>
              <w:t>In</w:t>
            </w:r>
            <w:r w:rsidR="00343866">
              <w:rPr>
                <w:bCs/>
              </w:rPr>
              <w:t>formal d</w:t>
            </w:r>
            <w:r w:rsidRPr="001B7BC7">
              <w:t>ocument INF.8 of the 114</w:t>
            </w:r>
            <w:r w:rsidRPr="00497674">
              <w:rPr>
                <w:vertAlign w:val="superscript"/>
              </w:rPr>
              <w:t>t</w:t>
            </w:r>
            <w:r w:rsidR="00343866" w:rsidRPr="00497674">
              <w:rPr>
                <w:vertAlign w:val="superscript"/>
              </w:rPr>
              <w:t>h</w:t>
            </w:r>
            <w:r w:rsidRPr="001B7BC7">
              <w:t xml:space="preserve"> session of WP.15 (November 2023) and </w:t>
            </w:r>
            <w:r w:rsidR="008F7ABB">
              <w:t>report</w:t>
            </w:r>
            <w:r w:rsidR="00141A59">
              <w:t xml:space="preserve"> </w:t>
            </w:r>
            <w:r w:rsidRPr="001B7BC7">
              <w:t>ECE/TRANS/WP.15/264, paragraphs 52-53.</w:t>
            </w:r>
          </w:p>
        </w:tc>
      </w:tr>
    </w:tbl>
    <w:p w14:paraId="54F82CCD" w14:textId="14609C00" w:rsidR="00BA2837" w:rsidRPr="009D4E3D" w:rsidRDefault="001B7BC7" w:rsidP="001B7BC7">
      <w:pPr>
        <w:pStyle w:val="HChG"/>
        <w:rPr>
          <w:snapToGrid w:val="0"/>
        </w:rPr>
      </w:pPr>
      <w:r>
        <w:rPr>
          <w:snapToGrid w:val="0"/>
        </w:rPr>
        <w:tab/>
      </w:r>
      <w:r w:rsidRPr="009D4E3D">
        <w:rPr>
          <w:snapToGrid w:val="0"/>
        </w:rPr>
        <w:t>I.</w:t>
      </w:r>
      <w:r w:rsidRPr="009D4E3D">
        <w:rPr>
          <w:snapToGrid w:val="0"/>
        </w:rPr>
        <w:tab/>
      </w:r>
      <w:r w:rsidR="00BA2837" w:rsidRPr="009D4E3D">
        <w:rPr>
          <w:snapToGrid w:val="0"/>
        </w:rPr>
        <w:t>Introduction</w:t>
      </w:r>
    </w:p>
    <w:p w14:paraId="36AA10D2" w14:textId="46107CA4" w:rsidR="00BA2837" w:rsidRPr="009D4E3D" w:rsidRDefault="00BA2837" w:rsidP="001B7BC7">
      <w:pPr>
        <w:pStyle w:val="SingleTxtG"/>
      </w:pPr>
      <w:r w:rsidRPr="000C6E29">
        <w:rPr>
          <w:sz w:val="22"/>
          <w:szCs w:val="22"/>
        </w:rPr>
        <w:t>1.</w:t>
      </w:r>
      <w:r w:rsidRPr="000C6E29">
        <w:rPr>
          <w:sz w:val="22"/>
          <w:szCs w:val="22"/>
        </w:rPr>
        <w:tab/>
      </w:r>
      <w:r w:rsidRPr="009D4E3D">
        <w:t xml:space="preserve">At the </w:t>
      </w:r>
      <w:r w:rsidR="001D27E7">
        <w:t>114</w:t>
      </w:r>
      <w:r w:rsidR="001D27E7" w:rsidRPr="00545DA5">
        <w:rPr>
          <w:vertAlign w:val="superscript"/>
        </w:rPr>
        <w:t>th</w:t>
      </w:r>
      <w:r w:rsidRPr="009D4E3D">
        <w:t xml:space="preserve"> session of WP.15 the Netherlands forwarded </w:t>
      </w:r>
      <w:r w:rsidR="00AC7079">
        <w:t xml:space="preserve">informal </w:t>
      </w:r>
      <w:r w:rsidRPr="009D4E3D">
        <w:t xml:space="preserve">document INF.8 </w:t>
      </w:r>
      <w:r w:rsidR="008F7ABB">
        <w:t>on</w:t>
      </w:r>
      <w:r w:rsidRPr="009D4E3D">
        <w:t xml:space="preserve"> an amendment to the definition of closed vehicle in ADR. </w:t>
      </w:r>
      <w:r w:rsidR="002320E8">
        <w:t>During the</w:t>
      </w:r>
      <w:r w:rsidRPr="009D4E3D">
        <w:t xml:space="preserve"> discussion it was confirmed that the definition could be improved but that the subject should be discussed in the Joint Meeting to also take into account closed wagons.</w:t>
      </w:r>
    </w:p>
    <w:p w14:paraId="747DC263" w14:textId="68480158" w:rsidR="00BA2837" w:rsidRPr="009D4E3D" w:rsidRDefault="00BA2837" w:rsidP="00AC7079">
      <w:pPr>
        <w:pStyle w:val="SingleTxtG"/>
      </w:pPr>
      <w:r>
        <w:rPr>
          <w:sz w:val="22"/>
          <w:szCs w:val="22"/>
        </w:rPr>
        <w:t>2.</w:t>
      </w:r>
      <w:r>
        <w:rPr>
          <w:sz w:val="22"/>
          <w:szCs w:val="22"/>
        </w:rPr>
        <w:tab/>
      </w:r>
      <w:r w:rsidRPr="009D4E3D">
        <w:t>The discussion in particular concerned the interpretation if vehicles with bodies that have rigids front, roof, floor, and rear doors but fabric sides, also known as curtain siders o</w:t>
      </w:r>
      <w:r w:rsidR="006215AD">
        <w:t>r</w:t>
      </w:r>
      <w:r w:rsidRPr="009D4E3D">
        <w:t xml:space="preserve"> tautliners, or fabric roofs were to be seen as a closed vehicle or sheeted vehicle.</w:t>
      </w:r>
    </w:p>
    <w:p w14:paraId="2005B4BC" w14:textId="573D3B93" w:rsidR="00BA2837" w:rsidRPr="009D4E3D" w:rsidRDefault="00BA2837" w:rsidP="00AC7079">
      <w:pPr>
        <w:pStyle w:val="SingleTxtG"/>
      </w:pPr>
      <w:r w:rsidRPr="009D4E3D">
        <w:t>3.</w:t>
      </w:r>
      <w:r w:rsidRPr="009D4E3D">
        <w:tab/>
        <w:t xml:space="preserve">The </w:t>
      </w:r>
      <w:r w:rsidR="00854301" w:rsidRPr="00854301">
        <w:rPr>
          <w:i/>
          <w:iCs/>
        </w:rPr>
        <w:t>UN Model Regulations</w:t>
      </w:r>
      <w:r w:rsidRPr="009D4E3D">
        <w:t xml:space="preserve"> in 1.2.1 contains a definition of “closed cargo transport unit”, that would rule out cargo units with fabric sides and tops. The proposed amendment reflected this definition.</w:t>
      </w:r>
    </w:p>
    <w:p w14:paraId="3591FA05" w14:textId="7CBA1380" w:rsidR="00BA2837" w:rsidRPr="009D4E3D" w:rsidRDefault="00BA2837" w:rsidP="00BA2837">
      <w:pPr>
        <w:pStyle w:val="SingleTxtG"/>
      </w:pPr>
      <w:r w:rsidRPr="009D4E3D">
        <w:lastRenderedPageBreak/>
        <w:t>4.</w:t>
      </w:r>
      <w:r w:rsidRPr="009D4E3D">
        <w:tab/>
        <w:t xml:space="preserve">In </w:t>
      </w:r>
      <w:r w:rsidR="00793092">
        <w:t>paragraph 6 below</w:t>
      </w:r>
      <w:r w:rsidRPr="009D4E3D">
        <w:t xml:space="preserve"> a comparison of definitions is given between RID and ADR. It should be discussed in the Joint Meeting if it is beneficial to amend the definition of closed wagon in RID along the same line as for ADR.</w:t>
      </w:r>
    </w:p>
    <w:p w14:paraId="4B1C2A52" w14:textId="5D5A7EB7" w:rsidR="00BA2837" w:rsidRPr="00CB6CB3" w:rsidRDefault="00762109" w:rsidP="00762109">
      <w:pPr>
        <w:pStyle w:val="HChG"/>
      </w:pPr>
      <w:r>
        <w:tab/>
        <w:t>II.</w:t>
      </w:r>
      <w:r>
        <w:tab/>
      </w:r>
      <w:r w:rsidR="00BA2837" w:rsidRPr="00CB6CB3">
        <w:t>Proposal</w:t>
      </w:r>
    </w:p>
    <w:p w14:paraId="413B8C8D" w14:textId="0CB2F59D" w:rsidR="00BA2837" w:rsidRPr="009D4E3D" w:rsidRDefault="001B7BC7" w:rsidP="00762109">
      <w:pPr>
        <w:pStyle w:val="SingleTxtG"/>
      </w:pPr>
      <w:r w:rsidRPr="009D4E3D">
        <w:t>5.</w:t>
      </w:r>
      <w:r w:rsidRPr="009D4E3D">
        <w:tab/>
      </w:r>
      <w:r w:rsidR="00BA2837" w:rsidRPr="009D4E3D">
        <w:t xml:space="preserve">Amend </w:t>
      </w:r>
      <w:r w:rsidR="00A04F8B" w:rsidRPr="009D4E3D">
        <w:t xml:space="preserve">in 1.2.1 of ADR </w:t>
      </w:r>
      <w:r w:rsidR="00BA2837" w:rsidRPr="009D4E3D">
        <w:t xml:space="preserve">the definition of closed vehicle to read (new words </w:t>
      </w:r>
      <w:r w:rsidR="00BA2837">
        <w:t xml:space="preserve">are </w:t>
      </w:r>
      <w:r w:rsidR="00BA2837" w:rsidRPr="009D4E3D">
        <w:t xml:space="preserve">underlined, </w:t>
      </w:r>
      <w:r w:rsidR="00BA2837">
        <w:t xml:space="preserve">and </w:t>
      </w:r>
      <w:r w:rsidR="00BA2837" w:rsidRPr="009D4E3D">
        <w:t xml:space="preserve">deleted </w:t>
      </w:r>
      <w:r w:rsidR="00BA2837">
        <w:t xml:space="preserve">words are </w:t>
      </w:r>
      <w:r w:rsidR="00BA2837" w:rsidRPr="009D4E3D">
        <w:t>stricken through):</w:t>
      </w:r>
    </w:p>
    <w:p w14:paraId="248BD4D1" w14:textId="28EA43FA" w:rsidR="00BA2837" w:rsidRPr="00762109" w:rsidRDefault="008C4792" w:rsidP="00762109">
      <w:pPr>
        <w:pStyle w:val="SingleTxtG"/>
        <w:rPr>
          <w:i/>
          <w:iCs/>
        </w:rPr>
      </w:pPr>
      <w:r w:rsidRPr="00EC7F89">
        <w:rPr>
          <w:iCs/>
        </w:rPr>
        <w:t>"</w:t>
      </w:r>
      <w:r w:rsidR="00BA2837" w:rsidRPr="00762109">
        <w:rPr>
          <w:i/>
          <w:iCs/>
        </w:rPr>
        <w:t>“</w:t>
      </w:r>
      <w:r w:rsidR="00BA2837" w:rsidRPr="00762109">
        <w:rPr>
          <w:b/>
          <w:bCs/>
          <w:i/>
          <w:iCs/>
        </w:rPr>
        <w:t>Closed vehicle</w:t>
      </w:r>
      <w:r w:rsidR="00BA2837" w:rsidRPr="00762109">
        <w:rPr>
          <w:i/>
          <w:iCs/>
        </w:rPr>
        <w:t xml:space="preserve">” means a vehicle having a body </w:t>
      </w:r>
      <w:r w:rsidR="00BA2837" w:rsidRPr="006801E5">
        <w:rPr>
          <w:i/>
          <w:iCs/>
          <w:u w:val="single"/>
        </w:rPr>
        <w:t>which totally encloses the contents by permanent structures with complete and rigid surfaces. A vehicle having a body with fabric sides or top are not considered a closed vehicle</w:t>
      </w:r>
      <w:r w:rsidR="00BA2837" w:rsidRPr="00762109">
        <w:rPr>
          <w:i/>
          <w:iCs/>
        </w:rPr>
        <w:t xml:space="preserve"> </w:t>
      </w:r>
      <w:r w:rsidR="00BA2837" w:rsidRPr="00762109">
        <w:rPr>
          <w:i/>
          <w:iCs/>
          <w:strike/>
        </w:rPr>
        <w:t>capable of being closed</w:t>
      </w:r>
      <w:r w:rsidR="00BA2837" w:rsidRPr="00762109">
        <w:rPr>
          <w:i/>
          <w:iCs/>
        </w:rPr>
        <w:t>-.</w:t>
      </w:r>
      <w:r w:rsidRPr="00EC7F89">
        <w:rPr>
          <w:iCs/>
        </w:rPr>
        <w:t>"</w:t>
      </w:r>
    </w:p>
    <w:p w14:paraId="1E16CFB8" w14:textId="1CDD35D6" w:rsidR="00BA2837" w:rsidRPr="00CB6CB3" w:rsidRDefault="00762109" w:rsidP="00762109">
      <w:pPr>
        <w:pStyle w:val="HChG"/>
      </w:pPr>
      <w:r>
        <w:tab/>
        <w:t>III.</w:t>
      </w:r>
      <w:r>
        <w:tab/>
      </w:r>
      <w:r w:rsidR="00BA2837" w:rsidRPr="00CB6CB3">
        <w:t>Justification</w:t>
      </w:r>
    </w:p>
    <w:p w14:paraId="5D2D15B0" w14:textId="1AF5AF21" w:rsidR="00BA2837" w:rsidRPr="004B5D37" w:rsidRDefault="00762109" w:rsidP="00762109">
      <w:pPr>
        <w:pStyle w:val="H1G"/>
      </w:pPr>
      <w:r>
        <w:tab/>
      </w:r>
      <w:r>
        <w:tab/>
      </w:r>
      <w:r w:rsidR="00BA2837" w:rsidRPr="004B5D37">
        <w:t>Comparison of definitions between RID and ADR</w:t>
      </w:r>
    </w:p>
    <w:p w14:paraId="6B1C640B" w14:textId="0EBA90A7" w:rsidR="00BA2837" w:rsidRPr="009D4E3D" w:rsidRDefault="001B7BC7" w:rsidP="00762109">
      <w:pPr>
        <w:pStyle w:val="SingleTxtG"/>
      </w:pPr>
      <w:r w:rsidRPr="009D4E3D">
        <w:t>6.</w:t>
      </w:r>
      <w:r w:rsidRPr="009D4E3D">
        <w:tab/>
      </w:r>
      <w:r w:rsidR="00BA2837" w:rsidRPr="009D4E3D">
        <w:t xml:space="preserve">Below </w:t>
      </w:r>
      <w:r w:rsidR="00176D99">
        <w:t xml:space="preserve">table shows </w:t>
      </w:r>
      <w:r w:rsidR="00BA2837" w:rsidRPr="009D4E3D">
        <w:t>an overview of the definitions of superstructures of wagons and vehicles</w:t>
      </w:r>
      <w:r w:rsidR="00D27833">
        <w:t>:</w:t>
      </w:r>
    </w:p>
    <w:tbl>
      <w:tblPr>
        <w:tblStyle w:val="TableGrid"/>
        <w:tblW w:w="8222" w:type="dxa"/>
        <w:tblInd w:w="1129" w:type="dxa"/>
        <w:tblLook w:val="04A0" w:firstRow="1" w:lastRow="0" w:firstColumn="1" w:lastColumn="0" w:noHBand="0" w:noVBand="1"/>
      </w:tblPr>
      <w:tblGrid>
        <w:gridCol w:w="3969"/>
        <w:gridCol w:w="4253"/>
      </w:tblGrid>
      <w:tr w:rsidR="00BA2837" w:rsidRPr="003A5693" w14:paraId="574AEF03" w14:textId="77777777" w:rsidTr="004A099C">
        <w:tc>
          <w:tcPr>
            <w:tcW w:w="3969" w:type="dxa"/>
          </w:tcPr>
          <w:p w14:paraId="446BE7D4" w14:textId="77777777" w:rsidR="00BA2837" w:rsidRPr="009D4E3D" w:rsidRDefault="00BA2837" w:rsidP="004A099C">
            <w:pPr>
              <w:tabs>
                <w:tab w:val="left" w:pos="-666"/>
                <w:tab w:val="left" w:pos="-324"/>
                <w:tab w:val="left" w:pos="1985"/>
                <w:tab w:val="left" w:pos="2431"/>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right="54"/>
              <w:jc w:val="center"/>
              <w:rPr>
                <w:b/>
                <w:bCs/>
              </w:rPr>
            </w:pPr>
            <w:r w:rsidRPr="009D4E3D">
              <w:rPr>
                <w:b/>
                <w:bCs/>
              </w:rPr>
              <w:t>RID 2023</w:t>
            </w:r>
          </w:p>
        </w:tc>
        <w:tc>
          <w:tcPr>
            <w:tcW w:w="4253" w:type="dxa"/>
          </w:tcPr>
          <w:p w14:paraId="7AA99876" w14:textId="77777777" w:rsidR="00BA2837" w:rsidRPr="009D4E3D" w:rsidRDefault="00BA2837" w:rsidP="004A099C">
            <w:pPr>
              <w:tabs>
                <w:tab w:val="left" w:pos="-666"/>
                <w:tab w:val="left" w:pos="-324"/>
                <w:tab w:val="left" w:pos="1985"/>
                <w:tab w:val="left" w:pos="2431"/>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40" w:right="54"/>
              <w:jc w:val="center"/>
              <w:rPr>
                <w:b/>
                <w:bCs/>
              </w:rPr>
            </w:pPr>
            <w:r w:rsidRPr="009D4E3D">
              <w:rPr>
                <w:b/>
                <w:bCs/>
              </w:rPr>
              <w:t>ADR 2023</w:t>
            </w:r>
          </w:p>
        </w:tc>
      </w:tr>
      <w:tr w:rsidR="00BA2837" w:rsidRPr="003A5693" w14:paraId="6498AFB5" w14:textId="77777777" w:rsidTr="004A099C">
        <w:tc>
          <w:tcPr>
            <w:tcW w:w="3969" w:type="dxa"/>
          </w:tcPr>
          <w:p w14:paraId="70C02193" w14:textId="77777777" w:rsidR="00BA2837" w:rsidRPr="009D4E3D" w:rsidRDefault="00BA2837" w:rsidP="004A099C">
            <w:pPr>
              <w:ind w:right="54"/>
            </w:pPr>
            <w:r w:rsidRPr="009D4E3D">
              <w:rPr>
                <w:b/>
                <w:bCs/>
                <w:i/>
                <w:iCs/>
              </w:rPr>
              <w:t>“Open wagon”</w:t>
            </w:r>
            <w:r w:rsidRPr="009D4E3D">
              <w:t xml:space="preserve"> means a wagon with or without side boards and a tail board, the loading surfaces of which are open;</w:t>
            </w:r>
          </w:p>
          <w:p w14:paraId="15D4FC4A" w14:textId="77777777" w:rsidR="00BA2837" w:rsidRPr="009D4E3D" w:rsidRDefault="00BA2837" w:rsidP="004A099C">
            <w:pPr>
              <w:ind w:right="54"/>
            </w:pPr>
          </w:p>
        </w:tc>
        <w:tc>
          <w:tcPr>
            <w:tcW w:w="4253" w:type="dxa"/>
          </w:tcPr>
          <w:p w14:paraId="26DF6E56" w14:textId="77777777" w:rsidR="00BA2837" w:rsidRPr="009D4E3D" w:rsidRDefault="00BA2837" w:rsidP="004A099C">
            <w:pPr>
              <w:ind w:left="140" w:right="54"/>
            </w:pPr>
            <w:r w:rsidRPr="009D4E3D">
              <w:rPr>
                <w:i/>
                <w:iCs/>
              </w:rPr>
              <w:t>“</w:t>
            </w:r>
            <w:r w:rsidRPr="002A2763">
              <w:rPr>
                <w:b/>
                <w:bCs/>
                <w:i/>
                <w:iCs/>
              </w:rPr>
              <w:t>Open vehicle</w:t>
            </w:r>
            <w:r w:rsidRPr="009D4E3D">
              <w:rPr>
                <w:i/>
                <w:iCs/>
              </w:rPr>
              <w:t>”</w:t>
            </w:r>
            <w:r w:rsidRPr="009D4E3D">
              <w:t xml:space="preserve"> means a vehicle the platform of which has no superstructure or is merely provided with side boards and a tail board;</w:t>
            </w:r>
          </w:p>
        </w:tc>
      </w:tr>
      <w:tr w:rsidR="00BA2837" w:rsidRPr="003A5693" w14:paraId="6BE61A3C" w14:textId="77777777" w:rsidTr="004A099C">
        <w:tc>
          <w:tcPr>
            <w:tcW w:w="3969" w:type="dxa"/>
          </w:tcPr>
          <w:p w14:paraId="5099A41F" w14:textId="77777777" w:rsidR="00BA2837" w:rsidRPr="009D4E3D" w:rsidRDefault="00BA2837" w:rsidP="004A099C">
            <w:pPr>
              <w:ind w:right="54"/>
            </w:pPr>
            <w:r w:rsidRPr="009D4E3D">
              <w:rPr>
                <w:b/>
                <w:bCs/>
                <w:i/>
                <w:iCs/>
              </w:rPr>
              <w:t>“Sheeted wagon”</w:t>
            </w:r>
            <w:r w:rsidRPr="009D4E3D">
              <w:rPr>
                <w:b/>
                <w:bCs/>
              </w:rPr>
              <w:t xml:space="preserve"> </w:t>
            </w:r>
            <w:r w:rsidRPr="009D4E3D">
              <w:t xml:space="preserve">means and </w:t>
            </w:r>
            <w:r w:rsidRPr="009D4E3D">
              <w:rPr>
                <w:i/>
                <w:iCs/>
              </w:rPr>
              <w:t>open wagon</w:t>
            </w:r>
            <w:r w:rsidRPr="009D4E3D">
              <w:t xml:space="preserve"> provided with a sheet to protect the load;</w:t>
            </w:r>
          </w:p>
          <w:p w14:paraId="313A0C49" w14:textId="77777777" w:rsidR="00BA2837" w:rsidRPr="009D4E3D" w:rsidRDefault="00BA2837" w:rsidP="004A099C">
            <w:pPr>
              <w:ind w:right="54"/>
            </w:pPr>
          </w:p>
        </w:tc>
        <w:tc>
          <w:tcPr>
            <w:tcW w:w="4253" w:type="dxa"/>
          </w:tcPr>
          <w:p w14:paraId="1AF609E3" w14:textId="77777777" w:rsidR="00BA2837" w:rsidRPr="009D4E3D" w:rsidRDefault="00BA2837" w:rsidP="004A099C">
            <w:pPr>
              <w:ind w:left="140" w:right="54"/>
            </w:pPr>
            <w:r w:rsidRPr="009D4E3D">
              <w:rPr>
                <w:i/>
                <w:iCs/>
              </w:rPr>
              <w:t>“</w:t>
            </w:r>
            <w:r w:rsidRPr="002A2763">
              <w:rPr>
                <w:b/>
                <w:bCs/>
                <w:i/>
                <w:iCs/>
              </w:rPr>
              <w:t>Sheeted vehicle</w:t>
            </w:r>
            <w:r w:rsidRPr="009D4E3D">
              <w:rPr>
                <w:i/>
                <w:iCs/>
              </w:rPr>
              <w:t>”</w:t>
            </w:r>
            <w:r w:rsidRPr="009D4E3D">
              <w:t xml:space="preserve"> means an open vehicle provided with a sheet to protect the load;</w:t>
            </w:r>
          </w:p>
        </w:tc>
      </w:tr>
      <w:tr w:rsidR="00BA2837" w:rsidRPr="003A5693" w14:paraId="7C6F017D" w14:textId="77777777" w:rsidTr="004A099C">
        <w:tc>
          <w:tcPr>
            <w:tcW w:w="3969" w:type="dxa"/>
          </w:tcPr>
          <w:p w14:paraId="758968A7" w14:textId="77777777" w:rsidR="00BA2837" w:rsidRPr="009D4E3D" w:rsidRDefault="00BA2837" w:rsidP="004A099C">
            <w:pPr>
              <w:ind w:right="54"/>
            </w:pPr>
            <w:r w:rsidRPr="009D4E3D">
              <w:rPr>
                <w:b/>
                <w:bCs/>
                <w:i/>
                <w:iCs/>
              </w:rPr>
              <w:t>“Closed wagon”</w:t>
            </w:r>
            <w:r w:rsidRPr="009D4E3D">
              <w:t xml:space="preserve"> means a </w:t>
            </w:r>
            <w:r w:rsidRPr="009D4E3D">
              <w:rPr>
                <w:i/>
                <w:iCs/>
              </w:rPr>
              <w:t>wagon</w:t>
            </w:r>
            <w:r w:rsidRPr="009D4E3D">
              <w:t xml:space="preserve"> with fixed or movable sides or roof;</w:t>
            </w:r>
          </w:p>
          <w:p w14:paraId="3380CE6C" w14:textId="77777777" w:rsidR="00BA2837" w:rsidRPr="009D4E3D" w:rsidRDefault="00BA2837" w:rsidP="004A099C">
            <w:pPr>
              <w:ind w:right="54"/>
            </w:pPr>
          </w:p>
        </w:tc>
        <w:tc>
          <w:tcPr>
            <w:tcW w:w="4253" w:type="dxa"/>
          </w:tcPr>
          <w:p w14:paraId="6F7BD388" w14:textId="77777777" w:rsidR="00BA2837" w:rsidRPr="009D4E3D" w:rsidRDefault="00BA2837" w:rsidP="004A099C">
            <w:pPr>
              <w:ind w:left="140" w:right="54"/>
            </w:pPr>
            <w:r w:rsidRPr="009D4E3D">
              <w:rPr>
                <w:i/>
                <w:iCs/>
              </w:rPr>
              <w:t>“</w:t>
            </w:r>
            <w:r w:rsidRPr="002A2763">
              <w:rPr>
                <w:b/>
                <w:bCs/>
                <w:i/>
                <w:iCs/>
              </w:rPr>
              <w:t>Closed vehicle</w:t>
            </w:r>
            <w:r w:rsidRPr="009D4E3D">
              <w:rPr>
                <w:i/>
                <w:iCs/>
              </w:rPr>
              <w:t xml:space="preserve">” </w:t>
            </w:r>
            <w:r w:rsidRPr="002846A7">
              <w:t>means a vehicle having a body capable of being closed</w:t>
            </w:r>
            <w:r w:rsidRPr="009D4E3D">
              <w:t>;</w:t>
            </w:r>
          </w:p>
        </w:tc>
      </w:tr>
      <w:tr w:rsidR="00BA2837" w:rsidRPr="003A5693" w14:paraId="32576342" w14:textId="77777777" w:rsidTr="004A099C">
        <w:tc>
          <w:tcPr>
            <w:tcW w:w="3969" w:type="dxa"/>
          </w:tcPr>
          <w:p w14:paraId="499906A1" w14:textId="1141D755" w:rsidR="00BA2837" w:rsidRPr="009D4E3D" w:rsidRDefault="00BA2837" w:rsidP="004A099C">
            <w:pPr>
              <w:ind w:right="54"/>
            </w:pPr>
            <w:r w:rsidRPr="009D4E3D">
              <w:rPr>
                <w:b/>
                <w:bCs/>
                <w:i/>
                <w:iCs/>
              </w:rPr>
              <w:t>“Open container</w:t>
            </w:r>
            <w:r w:rsidR="00AD12BF">
              <w:rPr>
                <w:b/>
                <w:bCs/>
                <w:i/>
                <w:iCs/>
              </w:rPr>
              <w:t>”</w:t>
            </w:r>
            <w:r w:rsidRPr="009D4E3D">
              <w:rPr>
                <w:b/>
                <w:bCs/>
              </w:rPr>
              <w:t xml:space="preserve"> </w:t>
            </w:r>
            <w:r w:rsidRPr="009D4E3D">
              <w:t xml:space="preserve">means an open top </w:t>
            </w:r>
            <w:r w:rsidRPr="009D4E3D">
              <w:rPr>
                <w:i/>
                <w:iCs/>
              </w:rPr>
              <w:t>container</w:t>
            </w:r>
            <w:r w:rsidRPr="009D4E3D">
              <w:t xml:space="preserve"> or a </w:t>
            </w:r>
            <w:proofErr w:type="gramStart"/>
            <w:r w:rsidRPr="009D4E3D">
              <w:t>platform based</w:t>
            </w:r>
            <w:proofErr w:type="gramEnd"/>
            <w:r w:rsidRPr="009D4E3D">
              <w:t xml:space="preserve"> container;</w:t>
            </w:r>
          </w:p>
        </w:tc>
        <w:tc>
          <w:tcPr>
            <w:tcW w:w="4253" w:type="dxa"/>
          </w:tcPr>
          <w:p w14:paraId="0EA02FD3" w14:textId="40CD0CF4" w:rsidR="00BA2837" w:rsidRPr="009D4E3D" w:rsidRDefault="00BA2837" w:rsidP="004A099C">
            <w:pPr>
              <w:tabs>
                <w:tab w:val="left" w:pos="-666"/>
                <w:tab w:val="left" w:pos="-324"/>
                <w:tab w:val="left" w:pos="1985"/>
                <w:tab w:val="left" w:pos="2431"/>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40" w:right="54"/>
            </w:pPr>
            <w:r w:rsidRPr="009D4E3D">
              <w:rPr>
                <w:i/>
              </w:rPr>
              <w:t>“</w:t>
            </w:r>
            <w:r w:rsidRPr="002A2763">
              <w:rPr>
                <w:b/>
                <w:bCs/>
                <w:i/>
              </w:rPr>
              <w:t>Open container</w:t>
            </w:r>
            <w:r w:rsidR="00181A4A">
              <w:rPr>
                <w:i/>
              </w:rPr>
              <w:t>”</w:t>
            </w:r>
            <w:r w:rsidRPr="009D4E3D">
              <w:t xml:space="preserve"> means an open top container or a </w:t>
            </w:r>
            <w:proofErr w:type="gramStart"/>
            <w:r w:rsidRPr="009D4E3D">
              <w:t>platform based</w:t>
            </w:r>
            <w:proofErr w:type="gramEnd"/>
            <w:r w:rsidRPr="009D4E3D">
              <w:t xml:space="preserve"> container;</w:t>
            </w:r>
          </w:p>
        </w:tc>
      </w:tr>
      <w:tr w:rsidR="00BA2837" w:rsidRPr="003A5693" w14:paraId="2CA3282D" w14:textId="77777777" w:rsidTr="004A099C">
        <w:tc>
          <w:tcPr>
            <w:tcW w:w="3969" w:type="dxa"/>
          </w:tcPr>
          <w:p w14:paraId="5D8797E4" w14:textId="77777777" w:rsidR="00BA2837" w:rsidRPr="009D4E3D" w:rsidRDefault="00BA2837" w:rsidP="004A099C">
            <w:pPr>
              <w:ind w:right="54"/>
            </w:pPr>
            <w:r w:rsidRPr="009D4E3D">
              <w:rPr>
                <w:b/>
                <w:bCs/>
                <w:i/>
                <w:iCs/>
              </w:rPr>
              <w:t>“Sheeted container”</w:t>
            </w:r>
            <w:r w:rsidRPr="009D4E3D">
              <w:t xml:space="preserve"> means an open top </w:t>
            </w:r>
            <w:r w:rsidRPr="009D4E3D">
              <w:rPr>
                <w:i/>
                <w:iCs/>
              </w:rPr>
              <w:t>container</w:t>
            </w:r>
            <w:r w:rsidRPr="009D4E3D">
              <w:t xml:space="preserve"> equipped with a sheet to protect the goods loaded;</w:t>
            </w:r>
          </w:p>
        </w:tc>
        <w:tc>
          <w:tcPr>
            <w:tcW w:w="4253" w:type="dxa"/>
          </w:tcPr>
          <w:p w14:paraId="35DAF985" w14:textId="77777777" w:rsidR="00BA2837" w:rsidRPr="009D4E3D" w:rsidRDefault="00BA2837" w:rsidP="004A099C">
            <w:pPr>
              <w:tabs>
                <w:tab w:val="left" w:pos="-666"/>
                <w:tab w:val="left" w:pos="-324"/>
                <w:tab w:val="left" w:pos="1985"/>
                <w:tab w:val="left" w:pos="2431"/>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40" w:right="54"/>
            </w:pPr>
            <w:r w:rsidRPr="009D4E3D">
              <w:rPr>
                <w:i/>
                <w:iCs/>
              </w:rPr>
              <w:t>“</w:t>
            </w:r>
            <w:r w:rsidRPr="002A2763">
              <w:rPr>
                <w:b/>
                <w:bCs/>
                <w:i/>
                <w:iCs/>
              </w:rPr>
              <w:t>Sheeted container</w:t>
            </w:r>
            <w:r w:rsidRPr="009D4E3D">
              <w:rPr>
                <w:i/>
                <w:iCs/>
              </w:rPr>
              <w:t>”</w:t>
            </w:r>
            <w:r w:rsidRPr="009D4E3D">
              <w:t xml:space="preserve"> means an open container equipped with a sheet to protect the goods loaded;</w:t>
            </w:r>
          </w:p>
        </w:tc>
      </w:tr>
      <w:tr w:rsidR="001969EB" w:rsidRPr="003A5693" w14:paraId="69A4F49B" w14:textId="77777777" w:rsidTr="00C074D2">
        <w:tc>
          <w:tcPr>
            <w:tcW w:w="8222" w:type="dxa"/>
            <w:gridSpan w:val="2"/>
          </w:tcPr>
          <w:p w14:paraId="31FA47E5" w14:textId="4356C332" w:rsidR="001969EB" w:rsidRPr="009D4E3D" w:rsidRDefault="001969EB" w:rsidP="004A099C">
            <w:pPr>
              <w:tabs>
                <w:tab w:val="left" w:pos="-666"/>
                <w:tab w:val="left" w:pos="-324"/>
                <w:tab w:val="left" w:pos="1985"/>
                <w:tab w:val="left" w:pos="2431"/>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40" w:right="54"/>
            </w:pPr>
            <w:r w:rsidRPr="009D4E3D">
              <w:rPr>
                <w:b/>
                <w:bCs/>
                <w:i/>
                <w:iCs/>
              </w:rPr>
              <w:t>“Closed container”</w:t>
            </w:r>
            <w:r w:rsidRPr="009D4E3D">
              <w:t xml:space="preserve"> means a totally enclosed </w:t>
            </w:r>
            <w:r w:rsidRPr="009D4E3D">
              <w:rPr>
                <w:i/>
                <w:iCs/>
              </w:rPr>
              <w:t>container</w:t>
            </w:r>
            <w:r w:rsidRPr="009D4E3D">
              <w:t xml:space="preserve"> having a rigid roof, rigid side walls, rigid end walls and a floor. The term includes </w:t>
            </w:r>
            <w:r w:rsidRPr="009D4E3D">
              <w:rPr>
                <w:i/>
                <w:iCs/>
              </w:rPr>
              <w:t>containers</w:t>
            </w:r>
            <w:r w:rsidRPr="009D4E3D">
              <w:t xml:space="preserve"> with an opening roof where the roof van be closed during transport; </w:t>
            </w:r>
          </w:p>
        </w:tc>
      </w:tr>
    </w:tbl>
    <w:p w14:paraId="461426F6" w14:textId="6E7FF63C" w:rsidR="00BA2837" w:rsidRPr="009A1BB4" w:rsidRDefault="00762109" w:rsidP="00762109">
      <w:pPr>
        <w:pStyle w:val="H1G"/>
      </w:pPr>
      <w:r>
        <w:tab/>
      </w:r>
      <w:r>
        <w:tab/>
      </w:r>
      <w:r w:rsidR="00BA2837" w:rsidRPr="009A1BB4">
        <w:t>Designation in (road) vehicle body types</w:t>
      </w:r>
    </w:p>
    <w:p w14:paraId="0E2776F9" w14:textId="1F7B382B" w:rsidR="00BA2837" w:rsidRDefault="001B7BC7" w:rsidP="00762109">
      <w:pPr>
        <w:pStyle w:val="SingleTxtG"/>
        <w:rPr>
          <w:lang w:val="fr-FR"/>
        </w:rPr>
      </w:pPr>
      <w:r>
        <w:rPr>
          <w:lang w:val="fr-FR"/>
        </w:rPr>
        <w:t>7.</w:t>
      </w:r>
      <w:r>
        <w:rPr>
          <w:lang w:val="fr-FR"/>
        </w:rPr>
        <w:tab/>
      </w:r>
      <w:r w:rsidR="00BA2837" w:rsidRPr="009D4E3D">
        <w:t xml:space="preserve">Codes for vehicle superstructures </w:t>
      </w:r>
      <w:r w:rsidR="00C06CDC">
        <w:t xml:space="preserve">can be found </w:t>
      </w:r>
      <w:r w:rsidR="00BA2837" w:rsidRPr="009D4E3D">
        <w:t xml:space="preserve">in </w:t>
      </w:r>
      <w:r w:rsidR="00C06CDC" w:rsidRPr="009D4E3D">
        <w:rPr>
          <w:lang w:val="fr-FR"/>
        </w:rPr>
        <w:t>Appendix 2</w:t>
      </w:r>
      <w:r w:rsidR="00C06CDC">
        <w:rPr>
          <w:lang w:val="fr-FR"/>
        </w:rPr>
        <w:t xml:space="preserve"> of </w:t>
      </w:r>
      <w:r w:rsidR="00C06CDC" w:rsidRPr="009D4E3D">
        <w:rPr>
          <w:lang w:val="fr-FR"/>
        </w:rPr>
        <w:t>Annex 1</w:t>
      </w:r>
      <w:r w:rsidR="00C06CDC">
        <w:rPr>
          <w:lang w:val="fr-FR"/>
        </w:rPr>
        <w:t xml:space="preserve"> of</w:t>
      </w:r>
      <w:r w:rsidR="00C06CDC" w:rsidRPr="009D4E3D">
        <w:rPr>
          <w:lang w:val="fr-FR"/>
        </w:rPr>
        <w:t xml:space="preserve"> </w:t>
      </w:r>
      <w:r w:rsidR="00BA2837" w:rsidRPr="009D4E3D">
        <w:t xml:space="preserve">the Regulation (EU) 2018/858 of the European Parliament and of the </w:t>
      </w:r>
      <w:r w:rsidR="000E528B">
        <w:t>C</w:t>
      </w:r>
      <w:r w:rsidR="00BA2837" w:rsidRPr="009D4E3D">
        <w:t xml:space="preserve">ouncil </w:t>
      </w:r>
      <w:r w:rsidR="00BA2837" w:rsidRPr="009D4E3D">
        <w:rPr>
          <w:lang w:val="fr-FR"/>
        </w:rPr>
        <w:t>(</w:t>
      </w:r>
      <w:hyperlink r:id="rId12" w:history="1">
        <w:r w:rsidR="00BA2837" w:rsidRPr="009D4E3D">
          <w:rPr>
            <w:rStyle w:val="Hyperlink"/>
            <w:lang w:val="fr-FR"/>
          </w:rPr>
          <w:t>EUR-Lex - 32018R0858 - EN - EUR-Lex (europa.eu)</w:t>
        </w:r>
      </w:hyperlink>
      <w:r w:rsidR="00BA2837" w:rsidRPr="009D4E3D">
        <w:rPr>
          <w:lang w:val="fr-FR"/>
        </w:rPr>
        <w:t>).</w:t>
      </w:r>
    </w:p>
    <w:p w14:paraId="337CAD43" w14:textId="439C5718" w:rsidR="00BA2837" w:rsidRPr="009D4E3D" w:rsidRDefault="001B7BC7" w:rsidP="00762109">
      <w:pPr>
        <w:pStyle w:val="SingleTxtG"/>
        <w:rPr>
          <w:lang w:val="fr-FR"/>
        </w:rPr>
      </w:pPr>
      <w:r w:rsidRPr="009D4E3D">
        <w:rPr>
          <w:lang w:val="fr-FR"/>
        </w:rPr>
        <w:t>8.</w:t>
      </w:r>
      <w:r w:rsidRPr="009D4E3D">
        <w:rPr>
          <w:lang w:val="fr-FR"/>
        </w:rPr>
        <w:tab/>
      </w:r>
      <w:r w:rsidR="00BA2837" w:rsidRPr="009D4E3D">
        <w:t xml:space="preserve">In this </w:t>
      </w:r>
      <w:r w:rsidR="00B11DC4">
        <w:t>a</w:t>
      </w:r>
      <w:r w:rsidR="00BA2837" w:rsidRPr="009D4E3D">
        <w:t>ppendix:</w:t>
      </w:r>
    </w:p>
    <w:p w14:paraId="510FB71C" w14:textId="529C54CF" w:rsidR="00BA2837" w:rsidRPr="009D4E3D" w:rsidRDefault="00031AE0" w:rsidP="00E77517">
      <w:pPr>
        <w:pStyle w:val="SingleTxtG"/>
        <w:ind w:left="1701"/>
      </w:pPr>
      <w:r>
        <w:t>C</w:t>
      </w:r>
      <w:r w:rsidR="00BA2837" w:rsidRPr="009D4E3D">
        <w:t xml:space="preserve">ode “01 </w:t>
      </w:r>
      <w:proofErr w:type="spellStart"/>
      <w:r w:rsidR="00BA2837" w:rsidRPr="009D4E3D">
        <w:t>Flat bed</w:t>
      </w:r>
      <w:proofErr w:type="spellEnd"/>
      <w:r w:rsidR="00BA2837" w:rsidRPr="009D4E3D">
        <w:t>” is applied for bodies with open load space with no boards;</w:t>
      </w:r>
    </w:p>
    <w:p w14:paraId="62F089DB" w14:textId="727DC9E9" w:rsidR="00BA2837" w:rsidRPr="009D4E3D" w:rsidRDefault="00031AE0" w:rsidP="00E77517">
      <w:pPr>
        <w:pStyle w:val="SingleTxtG"/>
        <w:ind w:left="1701"/>
      </w:pPr>
      <w:r>
        <w:t>C</w:t>
      </w:r>
      <w:r w:rsidR="00BA2837" w:rsidRPr="009D4E3D">
        <w:t>ode “02 Drop-side” is applied for bodies with open load space with boards;</w:t>
      </w:r>
    </w:p>
    <w:p w14:paraId="40E58AD9" w14:textId="50009A72" w:rsidR="00BA2837" w:rsidRPr="009D4E3D" w:rsidRDefault="00031AE0" w:rsidP="00E77517">
      <w:pPr>
        <w:pStyle w:val="SingleTxtG"/>
        <w:ind w:left="1701"/>
      </w:pPr>
      <w:r>
        <w:t>C</w:t>
      </w:r>
      <w:r w:rsidR="00BA2837" w:rsidRPr="009D4E3D">
        <w:t>ode “03 Box body” is applied for bodies, which have all rigid walls;</w:t>
      </w:r>
    </w:p>
    <w:p w14:paraId="410C7D13" w14:textId="0EF46848" w:rsidR="00BA2837" w:rsidRPr="009D4E3D" w:rsidRDefault="00031AE0" w:rsidP="00E77517">
      <w:pPr>
        <w:pStyle w:val="SingleTxtG"/>
        <w:ind w:left="1701"/>
      </w:pPr>
      <w:r>
        <w:t>C</w:t>
      </w:r>
      <w:r w:rsidR="00BA2837" w:rsidRPr="009D4E3D">
        <w:t>ode “06 Curtain-sided” is applied for sheeted bodies.</w:t>
      </w:r>
    </w:p>
    <w:p w14:paraId="17271E5E" w14:textId="5FC61533" w:rsidR="00BA2837" w:rsidRPr="009D4E3D" w:rsidRDefault="00BA2837" w:rsidP="00E77517">
      <w:pPr>
        <w:pStyle w:val="SingleTxtG"/>
        <w:ind w:left="1701"/>
      </w:pPr>
      <w:r w:rsidRPr="009D4E3D">
        <w:t>There are no further specific codes for sheeted vehicles.</w:t>
      </w:r>
    </w:p>
    <w:p w14:paraId="52C4B52B" w14:textId="0D91AB57" w:rsidR="00BA2837" w:rsidRPr="009D4E3D" w:rsidRDefault="001B7BC7" w:rsidP="007F7754">
      <w:pPr>
        <w:pStyle w:val="SingleTxtG"/>
      </w:pPr>
      <w:r w:rsidRPr="009D4E3D">
        <w:lastRenderedPageBreak/>
        <w:t>9.</w:t>
      </w:r>
      <w:r w:rsidRPr="009D4E3D">
        <w:tab/>
      </w:r>
      <w:r w:rsidR="00BA2837" w:rsidRPr="007F7754">
        <w:t>Conclusion</w:t>
      </w:r>
      <w:r w:rsidR="00BA2837" w:rsidRPr="009D4E3D">
        <w:t xml:space="preserve"> is that all vehicles with curtain of fabric sides (and other fabric parts) are not box type bodies and are to be </w:t>
      </w:r>
      <w:r w:rsidR="00651329">
        <w:t>considered</w:t>
      </w:r>
      <w:r w:rsidR="00BA2837" w:rsidRPr="009D4E3D">
        <w:t xml:space="preserve"> as “sheeted”.</w:t>
      </w:r>
    </w:p>
    <w:p w14:paraId="5F67153A" w14:textId="38FF8423" w:rsidR="00BA2837" w:rsidRPr="00CF1D83" w:rsidRDefault="00762109" w:rsidP="00762109">
      <w:pPr>
        <w:pStyle w:val="H1G"/>
        <w:rPr>
          <w:sz w:val="22"/>
          <w:szCs w:val="22"/>
        </w:rPr>
      </w:pPr>
      <w:r>
        <w:tab/>
      </w:r>
      <w:r>
        <w:tab/>
      </w:r>
      <w:r w:rsidR="00BA2837" w:rsidRPr="009D4E3D">
        <w:t>Use of closed vehicle in the ADR regulation</w:t>
      </w:r>
      <w:r w:rsidR="007F6E8C">
        <w:t>s</w:t>
      </w:r>
    </w:p>
    <w:p w14:paraId="10A62D69" w14:textId="787DF2AE" w:rsidR="00BA2837" w:rsidRPr="00B52922" w:rsidRDefault="001B7BC7" w:rsidP="00762109">
      <w:pPr>
        <w:pStyle w:val="SingleTxtG"/>
      </w:pPr>
      <w:r w:rsidRPr="00B52922">
        <w:t>10.</w:t>
      </w:r>
      <w:r w:rsidRPr="00B52922">
        <w:tab/>
      </w:r>
      <w:r w:rsidR="00BA2837" w:rsidRPr="00B52922">
        <w:t xml:space="preserve">Closed vehicles are mentioned approximately </w:t>
      </w:r>
      <w:r w:rsidR="00515132">
        <w:t>forty</w:t>
      </w:r>
      <w:r w:rsidR="00BA2837" w:rsidRPr="00B52922">
        <w:t xml:space="preserve"> times in ADR 2023. Except for the definitions of 1.2.1 and Chapters 8 and 9, these are mainly in Chapter 4.1 (</w:t>
      </w:r>
      <w:r w:rsidR="00245E33">
        <w:t>packing instruction</w:t>
      </w:r>
      <w:r w:rsidR="0032230D">
        <w:t xml:space="preserve">s </w:t>
      </w:r>
      <w:r w:rsidR="00BA2837" w:rsidRPr="00B52922">
        <w:t xml:space="preserve">P200/P400) </w:t>
      </w:r>
      <w:r w:rsidR="00515132">
        <w:t>on</w:t>
      </w:r>
      <w:r w:rsidR="00BA2837" w:rsidRPr="00B52922">
        <w:t xml:space="preserve"> the carriage of dangerous goods in bags, specific requirements for carriage in packaging in Chapter 7.2, and in bulk in Chapter 7.3 and provisions concerning loading, unloading, and handling in Chapter 7.5. In all these places “closed vehicle” is in combination with container, or in some cases with closed container.</w:t>
      </w:r>
    </w:p>
    <w:p w14:paraId="040F51A2" w14:textId="38CFA77F" w:rsidR="00BA2837" w:rsidRPr="00B52922" w:rsidRDefault="001B7BC7" w:rsidP="009B446C">
      <w:pPr>
        <w:pStyle w:val="SingleTxtG"/>
      </w:pPr>
      <w:r w:rsidRPr="00B52922">
        <w:t>11.</w:t>
      </w:r>
      <w:r w:rsidRPr="00B52922">
        <w:tab/>
      </w:r>
      <w:r w:rsidR="00BA2837" w:rsidRPr="00B52922">
        <w:t>Although ADR is not consistent in the use of the wording “closed vehicle or container” and “closed vehicle or closed container”, the intention seems to be identical.</w:t>
      </w:r>
    </w:p>
    <w:p w14:paraId="61D9BA4C" w14:textId="1033725F" w:rsidR="00BA2837" w:rsidRDefault="001B7BC7" w:rsidP="009B446C">
      <w:pPr>
        <w:pStyle w:val="SingleTxtG"/>
      </w:pPr>
      <w:r>
        <w:t>12.</w:t>
      </w:r>
      <w:r>
        <w:tab/>
      </w:r>
      <w:r w:rsidR="00BA2837" w:rsidRPr="00B52922">
        <w:t>Rigid walls will give superior protection over fabric against moist, external hazards and containing the load in the compartment. Based on the definition of closed container the same level of safety can only be achieved by a vehicle with a body with rigid sides and front, rigid floor and roof, and rigid doors.</w:t>
      </w:r>
    </w:p>
    <w:p w14:paraId="01ACBE3D" w14:textId="1E326DF2" w:rsidR="00A35C67" w:rsidRDefault="009B446C" w:rsidP="009B446C">
      <w:pPr>
        <w:pStyle w:val="SingleTxtG"/>
      </w:pPr>
      <w:r>
        <w:t>13.</w:t>
      </w:r>
      <w:r>
        <w:tab/>
      </w:r>
      <w:r w:rsidR="00BA2837" w:rsidRPr="00B52922">
        <w:t xml:space="preserve">By formulating an unambiguous definition for closed vehicles, the Joint Meeting </w:t>
      </w:r>
      <w:r w:rsidR="00E80266">
        <w:t>ma</w:t>
      </w:r>
      <w:r w:rsidR="00E424FB">
        <w:t>y</w:t>
      </w:r>
      <w:r w:rsidR="00E80266">
        <w:t xml:space="preserve"> </w:t>
      </w:r>
      <w:r w:rsidR="00BA2837" w:rsidRPr="00B52922">
        <w:t xml:space="preserve">help to </w:t>
      </w:r>
      <w:r w:rsidR="00E424FB">
        <w:t>clarify the provisions</w:t>
      </w:r>
      <w:r w:rsidR="00BA2837" w:rsidRPr="00B52922">
        <w:t xml:space="preserve"> and avoid different interpretation among different </w:t>
      </w:r>
      <w:r w:rsidR="00BA2837">
        <w:t>Contracting Parties/States</w:t>
      </w:r>
      <w:r w:rsidR="00BA2837" w:rsidRPr="00B52922">
        <w:t xml:space="preserve"> and inspection services, and thus helps to implement the United Nations Sustainable Development Goal number 16: Peace, justice and strong institutions.</w:t>
      </w:r>
    </w:p>
    <w:p w14:paraId="5673FAAF" w14:textId="3A64F539" w:rsidR="00BA2837" w:rsidRPr="00BA2837" w:rsidRDefault="00BA2837" w:rsidP="00BA2837">
      <w:pPr>
        <w:spacing w:before="240"/>
        <w:jc w:val="center"/>
        <w:rPr>
          <w:u w:val="single"/>
        </w:rPr>
      </w:pPr>
      <w:r>
        <w:rPr>
          <w:u w:val="single"/>
        </w:rPr>
        <w:tab/>
      </w:r>
      <w:r>
        <w:rPr>
          <w:u w:val="single"/>
        </w:rPr>
        <w:tab/>
      </w:r>
      <w:r>
        <w:rPr>
          <w:u w:val="single"/>
        </w:rPr>
        <w:tab/>
      </w:r>
    </w:p>
    <w:sectPr w:rsidR="00BA2837" w:rsidRPr="00BA2837" w:rsidSect="0087192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D68E" w14:textId="77777777" w:rsidR="004C078B" w:rsidRDefault="004C078B"/>
  </w:endnote>
  <w:endnote w:type="continuationSeparator" w:id="0">
    <w:p w14:paraId="0EBA070A" w14:textId="77777777" w:rsidR="004C078B" w:rsidRDefault="004C078B"/>
  </w:endnote>
  <w:endnote w:type="continuationNotice" w:id="1">
    <w:p w14:paraId="2CC395CD" w14:textId="77777777" w:rsidR="004C078B" w:rsidRDefault="004C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84B0" w14:textId="1D3759A6" w:rsidR="00871927" w:rsidRPr="00871927" w:rsidRDefault="00871927" w:rsidP="00871927">
    <w:pPr>
      <w:pStyle w:val="Footer"/>
      <w:tabs>
        <w:tab w:val="right" w:pos="9638"/>
      </w:tabs>
      <w:rPr>
        <w:sz w:val="18"/>
      </w:rPr>
    </w:pPr>
    <w:r w:rsidRPr="00871927">
      <w:rPr>
        <w:b/>
        <w:sz w:val="18"/>
      </w:rPr>
      <w:fldChar w:fldCharType="begin"/>
    </w:r>
    <w:r w:rsidRPr="00871927">
      <w:rPr>
        <w:b/>
        <w:sz w:val="18"/>
      </w:rPr>
      <w:instrText xml:space="preserve"> PAGE  \* MERGEFORMAT </w:instrText>
    </w:r>
    <w:r w:rsidRPr="00871927">
      <w:rPr>
        <w:b/>
        <w:sz w:val="18"/>
      </w:rPr>
      <w:fldChar w:fldCharType="separate"/>
    </w:r>
    <w:r w:rsidRPr="00871927">
      <w:rPr>
        <w:b/>
        <w:noProof/>
        <w:sz w:val="18"/>
      </w:rPr>
      <w:t>2</w:t>
    </w:r>
    <w:r w:rsidRPr="008719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B6A" w14:textId="6C823A8D" w:rsidR="00871927" w:rsidRPr="00871927" w:rsidRDefault="00871927" w:rsidP="00871927">
    <w:pPr>
      <w:pStyle w:val="Footer"/>
      <w:tabs>
        <w:tab w:val="right" w:pos="9638"/>
      </w:tabs>
      <w:rPr>
        <w:b/>
        <w:sz w:val="18"/>
      </w:rPr>
    </w:pPr>
    <w:r>
      <w:tab/>
    </w:r>
    <w:r w:rsidRPr="00871927">
      <w:rPr>
        <w:b/>
        <w:sz w:val="18"/>
      </w:rPr>
      <w:fldChar w:fldCharType="begin"/>
    </w:r>
    <w:r w:rsidRPr="00871927">
      <w:rPr>
        <w:b/>
        <w:sz w:val="18"/>
      </w:rPr>
      <w:instrText xml:space="preserve"> PAGE  \* MERGEFORMAT </w:instrText>
    </w:r>
    <w:r w:rsidRPr="00871927">
      <w:rPr>
        <w:b/>
        <w:sz w:val="18"/>
      </w:rPr>
      <w:fldChar w:fldCharType="separate"/>
    </w:r>
    <w:r w:rsidRPr="00871927">
      <w:rPr>
        <w:b/>
        <w:noProof/>
        <w:sz w:val="18"/>
      </w:rPr>
      <w:t>3</w:t>
    </w:r>
    <w:r w:rsidRPr="008719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09F0" w14:textId="6A6D6375" w:rsidR="0035223F" w:rsidRDefault="008C68B9" w:rsidP="008C68B9">
    <w:pPr>
      <w:pStyle w:val="Footer"/>
      <w:rPr>
        <w:sz w:val="20"/>
      </w:rPr>
    </w:pPr>
    <w:r w:rsidRPr="008C68B9">
      <w:rPr>
        <w:noProof/>
        <w:sz w:val="20"/>
        <w:lang w:val="en-US"/>
      </w:rPr>
      <w:drawing>
        <wp:anchor distT="0" distB="0" distL="114300" distR="114300" simplePos="0" relativeHeight="251660288" behindDoc="0" locked="1" layoutInCell="1" allowOverlap="1" wp14:anchorId="3E2DF0F8" wp14:editId="038222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87BE71" w14:textId="5DAE049D" w:rsidR="008C68B9" w:rsidRPr="008C68B9" w:rsidRDefault="008C68B9" w:rsidP="008C68B9">
    <w:pPr>
      <w:pStyle w:val="Footer"/>
      <w:ind w:right="1134"/>
      <w:rPr>
        <w:sz w:val="20"/>
      </w:rPr>
    </w:pPr>
    <w:r>
      <w:rPr>
        <w:sz w:val="20"/>
      </w:rPr>
      <w:t>GE.23-25835(E)</w:t>
    </w:r>
    <w:r>
      <w:rPr>
        <w:noProof/>
        <w:sz w:val="20"/>
      </w:rPr>
      <w:drawing>
        <wp:anchor distT="0" distB="0" distL="114300" distR="114300" simplePos="0" relativeHeight="251661312" behindDoc="0" locked="0" layoutInCell="1" allowOverlap="1" wp14:anchorId="6FD557A5" wp14:editId="18DB1B18">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18EF" w14:textId="77777777" w:rsidR="004C078B" w:rsidRPr="000B175B" w:rsidRDefault="004C078B" w:rsidP="000B175B">
      <w:pPr>
        <w:tabs>
          <w:tab w:val="right" w:pos="2155"/>
        </w:tabs>
        <w:spacing w:after="80"/>
        <w:ind w:left="680"/>
        <w:rPr>
          <w:u w:val="single"/>
        </w:rPr>
      </w:pPr>
      <w:r>
        <w:rPr>
          <w:u w:val="single"/>
        </w:rPr>
        <w:tab/>
      </w:r>
    </w:p>
  </w:footnote>
  <w:footnote w:type="continuationSeparator" w:id="0">
    <w:p w14:paraId="7CD8A837" w14:textId="77777777" w:rsidR="004C078B" w:rsidRPr="00FC68B7" w:rsidRDefault="004C078B" w:rsidP="00FC68B7">
      <w:pPr>
        <w:tabs>
          <w:tab w:val="left" w:pos="2155"/>
        </w:tabs>
        <w:spacing w:after="80"/>
        <w:ind w:left="680"/>
        <w:rPr>
          <w:u w:val="single"/>
        </w:rPr>
      </w:pPr>
      <w:r>
        <w:rPr>
          <w:u w:val="single"/>
        </w:rPr>
        <w:tab/>
      </w:r>
    </w:p>
  </w:footnote>
  <w:footnote w:type="continuationNotice" w:id="1">
    <w:p w14:paraId="6A79B260" w14:textId="77777777" w:rsidR="004C078B" w:rsidRDefault="004C078B"/>
  </w:footnote>
  <w:footnote w:id="2">
    <w:p w14:paraId="2E6CC22B" w14:textId="07DAFD4E" w:rsidR="00744EE0" w:rsidRPr="00513E18" w:rsidRDefault="00744EE0">
      <w:pPr>
        <w:pStyle w:val="FootnoteText"/>
        <w:rPr>
          <w:szCs w:val="18"/>
          <w:lang w:val="fr-CH"/>
        </w:rPr>
      </w:pPr>
      <w:r>
        <w:rPr>
          <w:rStyle w:val="FootnoteReference"/>
        </w:rPr>
        <w:tab/>
      </w:r>
      <w:r w:rsidRPr="00FC767F">
        <w:rPr>
          <w:rStyle w:val="FootnoteReference"/>
          <w:b/>
        </w:rPr>
        <w:t>*</w:t>
      </w:r>
      <w:r>
        <w:rPr>
          <w:rStyle w:val="FootnoteReference"/>
          <w:sz w:val="20"/>
          <w:vertAlign w:val="baseline"/>
        </w:rPr>
        <w:tab/>
      </w:r>
      <w:r w:rsidR="00846266">
        <w:rPr>
          <w:sz w:val="20"/>
        </w:rPr>
        <w:t xml:space="preserve"> </w:t>
      </w:r>
      <w:r w:rsidR="00846266" w:rsidRPr="00513E18">
        <w:rPr>
          <w:szCs w:val="18"/>
        </w:rPr>
        <w:t>A/78/6 (Sect.20), table 20.5.</w:t>
      </w:r>
    </w:p>
  </w:footnote>
  <w:footnote w:id="3">
    <w:p w14:paraId="37817ED6" w14:textId="3422E381" w:rsidR="00035F62" w:rsidRPr="00513E18" w:rsidRDefault="00035F62">
      <w:pPr>
        <w:pStyle w:val="FootnoteText"/>
        <w:rPr>
          <w:szCs w:val="18"/>
          <w:lang w:val="fr-CH"/>
        </w:rPr>
      </w:pPr>
      <w:r>
        <w:rPr>
          <w:rStyle w:val="FootnoteReference"/>
        </w:rPr>
        <w:tab/>
      </w:r>
      <w:r w:rsidRPr="00FC767F">
        <w:rPr>
          <w:rStyle w:val="FootnoteReference"/>
          <w:b/>
        </w:rPr>
        <w:t>**</w:t>
      </w:r>
      <w:r>
        <w:rPr>
          <w:rStyle w:val="FootnoteReference"/>
          <w:sz w:val="20"/>
          <w:vertAlign w:val="baseline"/>
        </w:rPr>
        <w:tab/>
      </w:r>
      <w:r>
        <w:t xml:space="preserve"> </w:t>
      </w:r>
      <w:r w:rsidR="0015588A" w:rsidRPr="00513E18">
        <w:rPr>
          <w:szCs w:val="18"/>
        </w:rPr>
        <w:t>Circulated by the Intergovernmental Organisation for International Carriage by Rail (OTIF) under the symbol OTIF/RID/RC/2024/14.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53D" w14:textId="036BCBB6" w:rsidR="00871927" w:rsidRPr="00871927" w:rsidRDefault="006D1A4B">
    <w:pPr>
      <w:pStyle w:val="Header"/>
    </w:pPr>
    <w:fldSimple w:instr=" TITLE  \* MERGEFORMAT ">
      <w:r w:rsidR="00871927">
        <w:t>ECE/TRANS/WP.15/AC.1/2024/14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BA58" w14:textId="5CD272A2" w:rsidR="00871927" w:rsidRPr="00871927" w:rsidRDefault="006D1A4B" w:rsidP="00871927">
    <w:pPr>
      <w:pStyle w:val="Header"/>
      <w:jc w:val="right"/>
    </w:pPr>
    <w:fldSimple w:instr=" TITLE  \* MERGEFORMAT ">
      <w:r w:rsidR="00871927">
        <w:t>ECE/TRANS/WP.15/AC.1/2024/14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C37F9"/>
    <w:multiLevelType w:val="hybridMultilevel"/>
    <w:tmpl w:val="71B6E040"/>
    <w:lvl w:ilvl="0" w:tplc="35CAE3D2">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A31570"/>
    <w:multiLevelType w:val="hybridMultilevel"/>
    <w:tmpl w:val="7B34EF52"/>
    <w:lvl w:ilvl="0" w:tplc="B0A66378">
      <w:start w:val="5"/>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8771937">
    <w:abstractNumId w:val="1"/>
  </w:num>
  <w:num w:numId="2" w16cid:durableId="1756322174">
    <w:abstractNumId w:val="0"/>
  </w:num>
  <w:num w:numId="3" w16cid:durableId="1847474005">
    <w:abstractNumId w:val="2"/>
  </w:num>
  <w:num w:numId="4" w16cid:durableId="1027029296">
    <w:abstractNumId w:val="3"/>
  </w:num>
  <w:num w:numId="5" w16cid:durableId="1438520411">
    <w:abstractNumId w:val="8"/>
  </w:num>
  <w:num w:numId="6" w16cid:durableId="611204153">
    <w:abstractNumId w:val="9"/>
  </w:num>
  <w:num w:numId="7" w16cid:durableId="1646545203">
    <w:abstractNumId w:val="7"/>
  </w:num>
  <w:num w:numId="8" w16cid:durableId="1105610986">
    <w:abstractNumId w:val="6"/>
  </w:num>
  <w:num w:numId="9" w16cid:durableId="2094937965">
    <w:abstractNumId w:val="5"/>
  </w:num>
  <w:num w:numId="10" w16cid:durableId="1597404813">
    <w:abstractNumId w:val="4"/>
  </w:num>
  <w:num w:numId="11" w16cid:durableId="1391809554">
    <w:abstractNumId w:val="15"/>
  </w:num>
  <w:num w:numId="12" w16cid:durableId="256987906">
    <w:abstractNumId w:val="14"/>
  </w:num>
  <w:num w:numId="13" w16cid:durableId="1169441689">
    <w:abstractNumId w:val="10"/>
  </w:num>
  <w:num w:numId="14" w16cid:durableId="474639513">
    <w:abstractNumId w:val="12"/>
  </w:num>
  <w:num w:numId="15" w16cid:durableId="240875727">
    <w:abstractNumId w:val="17"/>
  </w:num>
  <w:num w:numId="16" w16cid:durableId="1346521109">
    <w:abstractNumId w:val="13"/>
  </w:num>
  <w:num w:numId="17" w16cid:durableId="1772704288">
    <w:abstractNumId w:val="19"/>
  </w:num>
  <w:num w:numId="18" w16cid:durableId="1446540779">
    <w:abstractNumId w:val="20"/>
  </w:num>
  <w:num w:numId="19" w16cid:durableId="1607928031">
    <w:abstractNumId w:val="11"/>
  </w:num>
  <w:num w:numId="20" w16cid:durableId="1980643083">
    <w:abstractNumId w:val="11"/>
  </w:num>
  <w:num w:numId="21" w16cid:durableId="1332487741">
    <w:abstractNumId w:val="18"/>
  </w:num>
  <w:num w:numId="22" w16cid:durableId="4205630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27"/>
    <w:rsid w:val="00002A7D"/>
    <w:rsid w:val="000038A8"/>
    <w:rsid w:val="00006790"/>
    <w:rsid w:val="00027360"/>
    <w:rsid w:val="00027624"/>
    <w:rsid w:val="00031AE0"/>
    <w:rsid w:val="00035F62"/>
    <w:rsid w:val="00050F6B"/>
    <w:rsid w:val="000678CD"/>
    <w:rsid w:val="00072C8C"/>
    <w:rsid w:val="00081CE0"/>
    <w:rsid w:val="00084D30"/>
    <w:rsid w:val="00090320"/>
    <w:rsid w:val="000931C0"/>
    <w:rsid w:val="0009732C"/>
    <w:rsid w:val="000A01F9"/>
    <w:rsid w:val="000A2E09"/>
    <w:rsid w:val="000B175B"/>
    <w:rsid w:val="000B3A0F"/>
    <w:rsid w:val="000C6B8D"/>
    <w:rsid w:val="000E0415"/>
    <w:rsid w:val="000E528B"/>
    <w:rsid w:val="000F7715"/>
    <w:rsid w:val="00141A59"/>
    <w:rsid w:val="0015588A"/>
    <w:rsid w:val="00156B99"/>
    <w:rsid w:val="00166124"/>
    <w:rsid w:val="00176D99"/>
    <w:rsid w:val="00181A4A"/>
    <w:rsid w:val="00184DDA"/>
    <w:rsid w:val="001900CD"/>
    <w:rsid w:val="0019270E"/>
    <w:rsid w:val="001969EB"/>
    <w:rsid w:val="001A0452"/>
    <w:rsid w:val="001B4B04"/>
    <w:rsid w:val="001B5875"/>
    <w:rsid w:val="001B7BC7"/>
    <w:rsid w:val="001C4B9C"/>
    <w:rsid w:val="001C6663"/>
    <w:rsid w:val="001C7895"/>
    <w:rsid w:val="001D26DF"/>
    <w:rsid w:val="001D27E7"/>
    <w:rsid w:val="001E555D"/>
    <w:rsid w:val="001E5C24"/>
    <w:rsid w:val="001F1599"/>
    <w:rsid w:val="001F19C4"/>
    <w:rsid w:val="002043F0"/>
    <w:rsid w:val="00211E0B"/>
    <w:rsid w:val="002320E8"/>
    <w:rsid w:val="00232575"/>
    <w:rsid w:val="00245E33"/>
    <w:rsid w:val="00247258"/>
    <w:rsid w:val="00257CAC"/>
    <w:rsid w:val="00264441"/>
    <w:rsid w:val="0026600B"/>
    <w:rsid w:val="0027237A"/>
    <w:rsid w:val="002846A7"/>
    <w:rsid w:val="002908F9"/>
    <w:rsid w:val="002974E9"/>
    <w:rsid w:val="002A7F94"/>
    <w:rsid w:val="002B109A"/>
    <w:rsid w:val="002C6D45"/>
    <w:rsid w:val="002D6E53"/>
    <w:rsid w:val="002F046D"/>
    <w:rsid w:val="002F3023"/>
    <w:rsid w:val="00301764"/>
    <w:rsid w:val="0032230D"/>
    <w:rsid w:val="003229D8"/>
    <w:rsid w:val="00336C97"/>
    <w:rsid w:val="00337F88"/>
    <w:rsid w:val="00342432"/>
    <w:rsid w:val="00343326"/>
    <w:rsid w:val="00343866"/>
    <w:rsid w:val="0035223F"/>
    <w:rsid w:val="00352D4B"/>
    <w:rsid w:val="0035638C"/>
    <w:rsid w:val="003A46BB"/>
    <w:rsid w:val="003A4EC7"/>
    <w:rsid w:val="003A7295"/>
    <w:rsid w:val="003B1F60"/>
    <w:rsid w:val="003C2CC4"/>
    <w:rsid w:val="003D4B23"/>
    <w:rsid w:val="003E278A"/>
    <w:rsid w:val="00413520"/>
    <w:rsid w:val="00430D57"/>
    <w:rsid w:val="004325CB"/>
    <w:rsid w:val="00440A07"/>
    <w:rsid w:val="00462880"/>
    <w:rsid w:val="00476F24"/>
    <w:rsid w:val="00497674"/>
    <w:rsid w:val="004A2603"/>
    <w:rsid w:val="004C078B"/>
    <w:rsid w:val="004C55B0"/>
    <w:rsid w:val="004F0C40"/>
    <w:rsid w:val="004F6BA0"/>
    <w:rsid w:val="00503BEA"/>
    <w:rsid w:val="00513E18"/>
    <w:rsid w:val="00515132"/>
    <w:rsid w:val="00522527"/>
    <w:rsid w:val="00524280"/>
    <w:rsid w:val="00533616"/>
    <w:rsid w:val="00535ABA"/>
    <w:rsid w:val="0053768B"/>
    <w:rsid w:val="005420F2"/>
    <w:rsid w:val="0054285C"/>
    <w:rsid w:val="00545DA5"/>
    <w:rsid w:val="00584173"/>
    <w:rsid w:val="00595520"/>
    <w:rsid w:val="005A0551"/>
    <w:rsid w:val="005A44B9"/>
    <w:rsid w:val="005B1BA0"/>
    <w:rsid w:val="005B3DB3"/>
    <w:rsid w:val="005D15CA"/>
    <w:rsid w:val="005D7969"/>
    <w:rsid w:val="005F08DF"/>
    <w:rsid w:val="005F3066"/>
    <w:rsid w:val="005F3E61"/>
    <w:rsid w:val="00604DDD"/>
    <w:rsid w:val="006115CC"/>
    <w:rsid w:val="00611FC4"/>
    <w:rsid w:val="006176FB"/>
    <w:rsid w:val="006215AD"/>
    <w:rsid w:val="00630FCB"/>
    <w:rsid w:val="00640B26"/>
    <w:rsid w:val="00651329"/>
    <w:rsid w:val="0065766B"/>
    <w:rsid w:val="006770B2"/>
    <w:rsid w:val="006801E5"/>
    <w:rsid w:val="00686A48"/>
    <w:rsid w:val="006940E1"/>
    <w:rsid w:val="006A3C72"/>
    <w:rsid w:val="006A7392"/>
    <w:rsid w:val="006B03A1"/>
    <w:rsid w:val="006B67D9"/>
    <w:rsid w:val="006C5535"/>
    <w:rsid w:val="006D0589"/>
    <w:rsid w:val="006D1A4B"/>
    <w:rsid w:val="006E564B"/>
    <w:rsid w:val="006E7154"/>
    <w:rsid w:val="007003CD"/>
    <w:rsid w:val="0070701E"/>
    <w:rsid w:val="00715B38"/>
    <w:rsid w:val="007173E0"/>
    <w:rsid w:val="0072632A"/>
    <w:rsid w:val="00726F5C"/>
    <w:rsid w:val="007358E8"/>
    <w:rsid w:val="00736ECE"/>
    <w:rsid w:val="00743C3A"/>
    <w:rsid w:val="00744EE0"/>
    <w:rsid w:val="0074533B"/>
    <w:rsid w:val="00762109"/>
    <w:rsid w:val="007643BC"/>
    <w:rsid w:val="007801C5"/>
    <w:rsid w:val="00780C68"/>
    <w:rsid w:val="00793092"/>
    <w:rsid w:val="007959FE"/>
    <w:rsid w:val="007A0CF1"/>
    <w:rsid w:val="007A478E"/>
    <w:rsid w:val="007B6BA5"/>
    <w:rsid w:val="007C3390"/>
    <w:rsid w:val="007C42D8"/>
    <w:rsid w:val="007C4F4B"/>
    <w:rsid w:val="007D7362"/>
    <w:rsid w:val="007F5CE2"/>
    <w:rsid w:val="007F6611"/>
    <w:rsid w:val="007F6E8C"/>
    <w:rsid w:val="007F7754"/>
    <w:rsid w:val="00800522"/>
    <w:rsid w:val="00810BAC"/>
    <w:rsid w:val="008175E9"/>
    <w:rsid w:val="008242D7"/>
    <w:rsid w:val="0082577B"/>
    <w:rsid w:val="008272DD"/>
    <w:rsid w:val="00831D88"/>
    <w:rsid w:val="00846266"/>
    <w:rsid w:val="00854301"/>
    <w:rsid w:val="00866893"/>
    <w:rsid w:val="00866F02"/>
    <w:rsid w:val="00867D18"/>
    <w:rsid w:val="00871927"/>
    <w:rsid w:val="00871F9A"/>
    <w:rsid w:val="00871FD5"/>
    <w:rsid w:val="0088172E"/>
    <w:rsid w:val="00881EFA"/>
    <w:rsid w:val="008879CB"/>
    <w:rsid w:val="008979B1"/>
    <w:rsid w:val="008A6B25"/>
    <w:rsid w:val="008A6C4F"/>
    <w:rsid w:val="008A77AE"/>
    <w:rsid w:val="008B389E"/>
    <w:rsid w:val="008C4792"/>
    <w:rsid w:val="008C68B9"/>
    <w:rsid w:val="008D045E"/>
    <w:rsid w:val="008D3D24"/>
    <w:rsid w:val="008D3F25"/>
    <w:rsid w:val="008D4D82"/>
    <w:rsid w:val="008D64D8"/>
    <w:rsid w:val="008E0E46"/>
    <w:rsid w:val="008E7116"/>
    <w:rsid w:val="008F03D7"/>
    <w:rsid w:val="008F143B"/>
    <w:rsid w:val="008F3882"/>
    <w:rsid w:val="008F4B7C"/>
    <w:rsid w:val="008F7ABB"/>
    <w:rsid w:val="00926E47"/>
    <w:rsid w:val="00947162"/>
    <w:rsid w:val="00957F23"/>
    <w:rsid w:val="009610D0"/>
    <w:rsid w:val="0096375C"/>
    <w:rsid w:val="00965A78"/>
    <w:rsid w:val="009662E6"/>
    <w:rsid w:val="0097095E"/>
    <w:rsid w:val="00975071"/>
    <w:rsid w:val="0098592B"/>
    <w:rsid w:val="00985FC4"/>
    <w:rsid w:val="00990766"/>
    <w:rsid w:val="00991261"/>
    <w:rsid w:val="009964C4"/>
    <w:rsid w:val="009A7B81"/>
    <w:rsid w:val="009B446C"/>
    <w:rsid w:val="009D01C0"/>
    <w:rsid w:val="009D6A08"/>
    <w:rsid w:val="009E0A16"/>
    <w:rsid w:val="009E6CB7"/>
    <w:rsid w:val="009E7970"/>
    <w:rsid w:val="009F2EAC"/>
    <w:rsid w:val="009F57E3"/>
    <w:rsid w:val="00A04F8B"/>
    <w:rsid w:val="00A075B1"/>
    <w:rsid w:val="00A10F4F"/>
    <w:rsid w:val="00A11067"/>
    <w:rsid w:val="00A1704A"/>
    <w:rsid w:val="00A2763A"/>
    <w:rsid w:val="00A35C67"/>
    <w:rsid w:val="00A425EB"/>
    <w:rsid w:val="00A72F22"/>
    <w:rsid w:val="00A733BC"/>
    <w:rsid w:val="00A748A6"/>
    <w:rsid w:val="00A76A69"/>
    <w:rsid w:val="00A879A4"/>
    <w:rsid w:val="00AA0FF8"/>
    <w:rsid w:val="00AC0F2C"/>
    <w:rsid w:val="00AC502A"/>
    <w:rsid w:val="00AC7079"/>
    <w:rsid w:val="00AD12BF"/>
    <w:rsid w:val="00AE5A4D"/>
    <w:rsid w:val="00AF58C1"/>
    <w:rsid w:val="00B04A3F"/>
    <w:rsid w:val="00B06643"/>
    <w:rsid w:val="00B11DC4"/>
    <w:rsid w:val="00B15055"/>
    <w:rsid w:val="00B20551"/>
    <w:rsid w:val="00B23D55"/>
    <w:rsid w:val="00B30179"/>
    <w:rsid w:val="00B33FC7"/>
    <w:rsid w:val="00B37B15"/>
    <w:rsid w:val="00B45C02"/>
    <w:rsid w:val="00B70B63"/>
    <w:rsid w:val="00B72A1E"/>
    <w:rsid w:val="00B81E12"/>
    <w:rsid w:val="00BA2837"/>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06CDC"/>
    <w:rsid w:val="00C408B7"/>
    <w:rsid w:val="00C411EB"/>
    <w:rsid w:val="00C463DD"/>
    <w:rsid w:val="00C745C3"/>
    <w:rsid w:val="00C76542"/>
    <w:rsid w:val="00C978F5"/>
    <w:rsid w:val="00CA24A4"/>
    <w:rsid w:val="00CB348D"/>
    <w:rsid w:val="00CD46F5"/>
    <w:rsid w:val="00CE4A8F"/>
    <w:rsid w:val="00CE78F6"/>
    <w:rsid w:val="00CF071D"/>
    <w:rsid w:val="00D0123D"/>
    <w:rsid w:val="00D15B04"/>
    <w:rsid w:val="00D2031B"/>
    <w:rsid w:val="00D25FE2"/>
    <w:rsid w:val="00D27833"/>
    <w:rsid w:val="00D368BE"/>
    <w:rsid w:val="00D37DA9"/>
    <w:rsid w:val="00D406A7"/>
    <w:rsid w:val="00D40765"/>
    <w:rsid w:val="00D43252"/>
    <w:rsid w:val="00D44D86"/>
    <w:rsid w:val="00D50B7D"/>
    <w:rsid w:val="00D52012"/>
    <w:rsid w:val="00D704E5"/>
    <w:rsid w:val="00D72727"/>
    <w:rsid w:val="00D81D1E"/>
    <w:rsid w:val="00D978C6"/>
    <w:rsid w:val="00DA0956"/>
    <w:rsid w:val="00DA357F"/>
    <w:rsid w:val="00DA3E12"/>
    <w:rsid w:val="00DB6908"/>
    <w:rsid w:val="00DC18AD"/>
    <w:rsid w:val="00DF7CAE"/>
    <w:rsid w:val="00E423C0"/>
    <w:rsid w:val="00E424FB"/>
    <w:rsid w:val="00E6414C"/>
    <w:rsid w:val="00E7260F"/>
    <w:rsid w:val="00E77517"/>
    <w:rsid w:val="00E80266"/>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C767F"/>
    <w:rsid w:val="00FE6985"/>
    <w:rsid w:val="00FF51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B4633"/>
  <w15:docId w15:val="{1692F992-544C-49F0-BF23-6E128EA7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basedOn w:val="DefaultParagraphFont"/>
    <w:link w:val="FootnoteText"/>
    <w:locked/>
    <w:rsid w:val="00BA2837"/>
    <w:rPr>
      <w:sz w:val="18"/>
      <w:lang w:val="en-GB"/>
    </w:rPr>
  </w:style>
  <w:style w:type="paragraph" w:styleId="ListParagraph">
    <w:name w:val="List Paragraph"/>
    <w:basedOn w:val="Normal"/>
    <w:uiPriority w:val="34"/>
    <w:qFormat/>
    <w:rsid w:val="00BA2837"/>
    <w:pPr>
      <w:tabs>
        <w:tab w:val="left" w:pos="425"/>
        <w:tab w:val="left" w:pos="851"/>
        <w:tab w:val="left" w:pos="1276"/>
      </w:tabs>
      <w:spacing w:line="240" w:lineRule="auto"/>
      <w:ind w:left="720"/>
      <w:contextualSpacing/>
      <w:jc w:val="both"/>
    </w:pPr>
    <w:rPr>
      <w:rFonts w:ascii="Arial" w:hAnsi="Arial"/>
      <w:color w:val="000000"/>
      <w:sz w:val="22"/>
      <w:lang w:eastAsia="de-DE"/>
    </w:rPr>
  </w:style>
  <w:style w:type="character" w:customStyle="1" w:styleId="HChGChar">
    <w:name w:val="_ H _Ch_G Char"/>
    <w:link w:val="HChG"/>
    <w:rsid w:val="00BA2837"/>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A32018R085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365C77F3-55BA-43D0-9CC7-5A5ECB909E42}"/>
</file>

<file path=docProps/app.xml><?xml version="1.0" encoding="utf-8"?>
<Properties xmlns="http://schemas.openxmlformats.org/officeDocument/2006/extended-properties" xmlns:vt="http://schemas.openxmlformats.org/officeDocument/2006/docPropsVTypes">
  <Template>TRANS_WP1_24_E.dotm</Template>
  <TotalTime>0</TotalTime>
  <Pages>3</Pages>
  <Words>941</Words>
  <Characters>4853</Characters>
  <Application>Microsoft Office Word</Application>
  <DocSecurity>0</DocSecurity>
  <Lines>111</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ECE/TRANS/WP.15/AC.1/2024/14</vt:lpstr>
      <vt:lpstr/>
    </vt:vector>
  </TitlesOfParts>
  <Company>CSD</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ECE/TRANS/WP.15/AC.1/2024/14</dc:title>
  <dc:subject>2325835</dc:subject>
  <dc:creator>Alicia DORCA-GARCIA</dc:creator>
  <cp:keywords/>
  <dc:description/>
  <cp:lastModifiedBy>Maria Rosario Corazon Gatmaytan</cp:lastModifiedBy>
  <cp:revision>2</cp:revision>
  <cp:lastPrinted>2009-02-18T09:36:00Z</cp:lastPrinted>
  <dcterms:created xsi:type="dcterms:W3CDTF">2023-12-21T15:11:00Z</dcterms:created>
  <dcterms:modified xsi:type="dcterms:W3CDTF">2023-12-21T15:11:00Z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