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65EC1D8C"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501F8B">
        <w:rPr>
          <w:b/>
        </w:rPr>
        <w:t>8 February</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34C3AF6" w14:textId="46D7AD2A" w:rsidR="007C01A9" w:rsidRDefault="00200570" w:rsidP="007C01A9">
      <w:pPr>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28203C">
        <w:t xml:space="preserve">Item </w:t>
      </w:r>
      <w:r w:rsidR="00A258D5">
        <w:t>4</w:t>
      </w:r>
      <w:r w:rsidR="007C01A9" w:rsidRPr="0028203C">
        <w:t xml:space="preserve"> of the provisional agenda:</w:t>
      </w:r>
      <w:r w:rsidR="007C01A9" w:rsidRPr="00560572">
        <w:br/>
      </w:r>
      <w:r w:rsidR="00521317" w:rsidRPr="00521317">
        <w:rPr>
          <w:b/>
        </w:rPr>
        <w:t>Interpretation of RID/ADR/ADN</w:t>
      </w:r>
    </w:p>
    <w:p w14:paraId="345C64B9" w14:textId="25DFCEDD" w:rsidR="00521317" w:rsidRDefault="00521317" w:rsidP="00521317">
      <w:pPr>
        <w:pStyle w:val="HChG"/>
      </w:pPr>
      <w:r>
        <w:tab/>
      </w:r>
      <w:r>
        <w:tab/>
      </w:r>
      <w:r w:rsidR="00C65548" w:rsidRPr="00C65548">
        <w:t>Siting of pressure-relief devices and of the inlet of safety valves - requirements in accordance with 6.7.3.11.1 and 6.8.3.2.9.4 of RID/ADR</w:t>
      </w:r>
    </w:p>
    <w:p w14:paraId="7712F6EA" w14:textId="4264F215" w:rsidR="00C65548" w:rsidRDefault="000408A1" w:rsidP="00C65548">
      <w:pPr>
        <w:pStyle w:val="H1G"/>
      </w:pPr>
      <w:r>
        <w:tab/>
      </w:r>
      <w:r>
        <w:tab/>
        <w:t>Transmitted by the Government of Germany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408A1" w14:paraId="1C1672A7" w14:textId="77777777" w:rsidTr="003143F2">
        <w:trPr>
          <w:jc w:val="center"/>
        </w:trPr>
        <w:tc>
          <w:tcPr>
            <w:tcW w:w="9629" w:type="dxa"/>
            <w:shd w:val="clear" w:color="auto" w:fill="auto"/>
          </w:tcPr>
          <w:p w14:paraId="55042BF0" w14:textId="77777777" w:rsidR="000408A1" w:rsidRPr="00C6263E" w:rsidRDefault="000408A1" w:rsidP="006E5E26">
            <w:pPr>
              <w:spacing w:before="240" w:after="120"/>
              <w:ind w:left="255"/>
              <w:rPr>
                <w:i/>
                <w:sz w:val="24"/>
              </w:rPr>
            </w:pPr>
            <w:r w:rsidRPr="00C6263E">
              <w:rPr>
                <w:i/>
                <w:sz w:val="24"/>
              </w:rPr>
              <w:t>Summary</w:t>
            </w:r>
          </w:p>
        </w:tc>
      </w:tr>
      <w:tr w:rsidR="000408A1" w14:paraId="4001278B" w14:textId="77777777" w:rsidTr="003143F2">
        <w:trPr>
          <w:jc w:val="center"/>
        </w:trPr>
        <w:tc>
          <w:tcPr>
            <w:tcW w:w="9629" w:type="dxa"/>
            <w:shd w:val="clear" w:color="auto" w:fill="auto"/>
          </w:tcPr>
          <w:p w14:paraId="24D5C571" w14:textId="77777777" w:rsidR="000408A1" w:rsidRDefault="00BB541F" w:rsidP="003143F2">
            <w:pPr>
              <w:pStyle w:val="SingleTxtG"/>
              <w:ind w:left="3110" w:hanging="1976"/>
            </w:pPr>
            <w:r w:rsidRPr="00BB541F">
              <w:rPr>
                <w:b/>
                <w:bCs/>
              </w:rPr>
              <w:t>Executive summary:</w:t>
            </w:r>
            <w:r w:rsidRPr="00BB541F">
              <w:tab/>
              <w:t>The requirements concerning the siting of pressure-relief devices of tanks are worded differently in Chapters 6.7 and 6.8 of RID/ADR. As a result, the question arises of whether inlets of safety valves must be situated exactly on the top generating line or how close to the top generating line (longitudinal axis) they must be situated. It is proposed that the corresponding wordings be brought in line with each other.</w:t>
            </w:r>
          </w:p>
          <w:p w14:paraId="65C0E95E" w14:textId="77777777" w:rsidR="00B347D7" w:rsidRDefault="00B347D7" w:rsidP="003143F2">
            <w:pPr>
              <w:pStyle w:val="SingleTxtG"/>
              <w:ind w:left="3110" w:hanging="1976"/>
            </w:pPr>
            <w:r w:rsidRPr="003143F2">
              <w:rPr>
                <w:b/>
                <w:bCs/>
              </w:rPr>
              <w:t>Action to be taken:</w:t>
            </w:r>
            <w:r>
              <w:tab/>
              <w:t>With regard to the siting of the inlet of pressure-relief devices, the requirements set out in 6.8.3.2.9.4 of RID/ADR should be brought in line with the wording in 6.7.3.11.1. The requirement should be interpreted as follows:</w:t>
            </w:r>
          </w:p>
          <w:p w14:paraId="243929B1" w14:textId="34C5AE8A" w:rsidR="00BB541F" w:rsidRDefault="00B347D7" w:rsidP="003143F2">
            <w:pPr>
              <w:pStyle w:val="SingleTxtG"/>
              <w:ind w:left="3110" w:hanging="1976"/>
            </w:pPr>
            <w:r>
              <w:tab/>
              <w:t>The valve inlet of a tank must not be situated more than 30 degrees off either side of the top of the tank. The requirement “in a position as near to the longitudinal and transverse centre of the shell as reasonably practicable” must be observed.</w:t>
            </w:r>
          </w:p>
        </w:tc>
      </w:tr>
    </w:tbl>
    <w:p w14:paraId="0621AD5B" w14:textId="69453570" w:rsidR="00746A9C" w:rsidRDefault="00746A9C" w:rsidP="000408A1"/>
    <w:p w14:paraId="1F1FED6B" w14:textId="77777777" w:rsidR="00746A9C" w:rsidRDefault="00746A9C">
      <w:pPr>
        <w:spacing w:after="0"/>
      </w:pPr>
      <w:r>
        <w:br w:type="page"/>
      </w:r>
    </w:p>
    <w:p w14:paraId="73A3AD88" w14:textId="07DF88F9" w:rsidR="000408A1" w:rsidRDefault="00746A9C" w:rsidP="00746A9C">
      <w:pPr>
        <w:pStyle w:val="HChG"/>
      </w:pPr>
      <w:r>
        <w:lastRenderedPageBreak/>
        <w:tab/>
        <w:t>I.</w:t>
      </w:r>
      <w:r>
        <w:tab/>
        <w:t>Introduction</w:t>
      </w:r>
    </w:p>
    <w:p w14:paraId="2A9FF15A" w14:textId="77777777" w:rsidR="000677D8" w:rsidRDefault="000677D8" w:rsidP="000677D8">
      <w:pPr>
        <w:pStyle w:val="SingleTxtG"/>
      </w:pPr>
      <w:r>
        <w:t>1.</w:t>
      </w:r>
      <w:r>
        <w:tab/>
        <w:t>The requirements concerning the siting of pressure-relief devices of tanks are worded differently in Chapters 6.7 and 6.8 of RID/ADR.</w:t>
      </w:r>
    </w:p>
    <w:p w14:paraId="347F9867" w14:textId="77777777" w:rsidR="000677D8" w:rsidRDefault="000677D8" w:rsidP="000677D8">
      <w:pPr>
        <w:pStyle w:val="SingleTxtG"/>
      </w:pPr>
      <w:r>
        <w:t>In accordance with 6.7.3.11.1 of RID/ADR “[e]ach pressure-relief device inlet shall be situated on top of the shell as near the longitudinal and transverse centre of the shell as reasonably practicable”.</w:t>
      </w:r>
    </w:p>
    <w:p w14:paraId="7BA4E69E" w14:textId="77777777" w:rsidR="000677D8" w:rsidRDefault="000677D8" w:rsidP="000677D8">
      <w:pPr>
        <w:pStyle w:val="SingleTxtG"/>
      </w:pPr>
      <w:r>
        <w:t>In accordance with 6.8.3.2.9.4, “[e]ach safety valve inlet shall be situated on top of the shell in a position as near to the transverse centre of the shell as reasonably practicable”.</w:t>
      </w:r>
    </w:p>
    <w:p w14:paraId="556874E5" w14:textId="4CEA7BF3" w:rsidR="000677D8" w:rsidRDefault="000677D8" w:rsidP="000677D8">
      <w:pPr>
        <w:pStyle w:val="SingleTxtG"/>
      </w:pPr>
      <w:r>
        <w:t>2.</w:t>
      </w:r>
      <w:r>
        <w:tab/>
        <w:t xml:space="preserve">At its last meeting, the group of notified bodies in accordance with Directive 2010/35/EU had a discussion based on the </w:t>
      </w:r>
      <w:r w:rsidR="00102C30">
        <w:t xml:space="preserve">draft </w:t>
      </w:r>
      <w:r>
        <w:t xml:space="preserve">in the </w:t>
      </w:r>
      <w:r w:rsidR="008A346D">
        <w:t>a</w:t>
      </w:r>
      <w:r>
        <w:t xml:space="preserve">nnex </w:t>
      </w:r>
      <w:r w:rsidR="008A346D">
        <w:t xml:space="preserve">to this </w:t>
      </w:r>
      <w:r w:rsidR="00102C30">
        <w:t xml:space="preserve">document </w:t>
      </w:r>
      <w:r>
        <w:t>on what consequences result from these different wordings. The wording in 6.8.3.2.9.4 of RID/ADR could be interpreted to mean that the pressure-relief device should be situated exactly on the top generating line or exactly on the longitudinal axis on top of the shell. In practice, the inlet is positioned slightly off the top of the tank. In addition, in accordance with 6.8.3.2.9.5 of RID/ADR “[a]</w:t>
      </w:r>
      <w:proofErr w:type="spellStart"/>
      <w:r>
        <w:t>rrangements</w:t>
      </w:r>
      <w:proofErr w:type="spellEnd"/>
      <w:r>
        <w:t xml:space="preserve"> shall be made to protect the safety valves from damage caused by the tank overturning or striking overhead obstacles. Where possible, safety valves shall not project outside of the profile of the shell.”.</w:t>
      </w:r>
    </w:p>
    <w:p w14:paraId="36DD4793" w14:textId="77777777" w:rsidR="000677D8" w:rsidRDefault="000677D8" w:rsidP="000677D8">
      <w:pPr>
        <w:pStyle w:val="SingleTxtG"/>
      </w:pPr>
      <w:r>
        <w:t>3.</w:t>
      </w:r>
      <w:r>
        <w:tab/>
        <w:t>Germany is of the opinion that the wording in 6.8.3.2.9.4 of RID/ADR should be brought in line with the wording in 6.7.3.11.1 of RID/ADR.</w:t>
      </w:r>
    </w:p>
    <w:p w14:paraId="4AE29DAF" w14:textId="2D988157" w:rsidR="00746A9C" w:rsidRDefault="000677D8" w:rsidP="000677D8">
      <w:pPr>
        <w:pStyle w:val="SingleTxtG"/>
      </w:pPr>
      <w:r>
        <w:t>4.</w:t>
      </w:r>
      <w:r>
        <w:tab/>
        <w:t>To answer the question of what position meets the requirements in accordance with 6.7.3.11.1 and 6.8.3.2.9.4 of RID/ADR, the provision in 6.10.1.1.1 (b) of RID/ADR can be used. 6.10.1.1.1 of RID/ADR defines a protected area for vacuum-operated waste tanks. It covers the top part of the tank in a zone which extends over a 30° angle on either side of the top generating line. Any safety valve inlet must be situated inside the vapour space under maximum filling conditions, with a maximum offset of 30</w:t>
      </w:r>
      <w:r w:rsidR="006F07DD">
        <w:t>°</w:t>
      </w:r>
      <w:r>
        <w:t xml:space="preserve"> to either side measured from the top of the tank.</w:t>
      </w:r>
    </w:p>
    <w:p w14:paraId="15680CD9" w14:textId="2EC3E529" w:rsidR="000677D8" w:rsidRDefault="000677D8" w:rsidP="000677D8">
      <w:pPr>
        <w:pStyle w:val="HChG"/>
      </w:pPr>
      <w:r>
        <w:tab/>
        <w:t>II.</w:t>
      </w:r>
      <w:r>
        <w:tab/>
        <w:t>Proposal</w:t>
      </w:r>
    </w:p>
    <w:p w14:paraId="13B5180C" w14:textId="77777777" w:rsidR="009C293A" w:rsidRDefault="009C293A" w:rsidP="009C293A">
      <w:pPr>
        <w:pStyle w:val="SingleTxtG"/>
      </w:pPr>
      <w:r>
        <w:t>5.</w:t>
      </w:r>
      <w:r>
        <w:tab/>
        <w:t>Amend the first sentence in 6.8.3.2.9.4 of RID/ADR to read as follows:</w:t>
      </w:r>
    </w:p>
    <w:p w14:paraId="2BFEC9B9" w14:textId="77777777" w:rsidR="009C293A" w:rsidRDefault="009C293A" w:rsidP="00F1128E">
      <w:pPr>
        <w:pStyle w:val="SingleTxtG"/>
        <w:ind w:left="1701"/>
      </w:pPr>
      <w:r>
        <w:t>“Each pressure-relief device inlet shall be situated on top of the shell in a position as near to the longitudinal and transverse centre of the shell as reasonably practicable.”</w:t>
      </w:r>
    </w:p>
    <w:p w14:paraId="75B17052" w14:textId="19E9A33A" w:rsidR="000677D8" w:rsidRDefault="009C293A" w:rsidP="009C293A">
      <w:pPr>
        <w:pStyle w:val="SingleTxtG"/>
      </w:pPr>
      <w:r>
        <w:t>6.</w:t>
      </w:r>
      <w:r>
        <w:tab/>
        <w:t>Moreover, the Joint Meeting is asked to check whether it supports the interpretation set out in paragraph 4 above.</w:t>
      </w:r>
    </w:p>
    <w:p w14:paraId="4B62AB21" w14:textId="234BEDD4" w:rsidR="009C293A" w:rsidRDefault="009C293A">
      <w:pPr>
        <w:spacing w:after="0"/>
      </w:pPr>
      <w:r>
        <w:br w:type="page"/>
      </w:r>
    </w:p>
    <w:p w14:paraId="32EF9384" w14:textId="0DF22C24" w:rsidR="009C293A" w:rsidRDefault="009C293A" w:rsidP="009C293A">
      <w:pPr>
        <w:pStyle w:val="HChG"/>
      </w:pPr>
      <w:r>
        <w:lastRenderedPageBreak/>
        <w:t>Annex</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856"/>
        <w:gridCol w:w="2772"/>
      </w:tblGrid>
      <w:tr w:rsidR="0032484E" w:rsidRPr="000B16B1" w14:paraId="52E795FF" w14:textId="77777777" w:rsidTr="00735DBB">
        <w:tc>
          <w:tcPr>
            <w:tcW w:w="2660" w:type="dxa"/>
            <w:shd w:val="clear" w:color="auto" w:fill="auto"/>
          </w:tcPr>
          <w:p w14:paraId="492E620A" w14:textId="77777777" w:rsidR="0032484E" w:rsidRPr="00A81C15" w:rsidRDefault="0032484E" w:rsidP="00735DBB">
            <w:pPr>
              <w:pStyle w:val="Header"/>
              <w:rPr>
                <w:rFonts w:cs="Arial"/>
              </w:rPr>
            </w:pPr>
          </w:p>
          <w:p w14:paraId="1373EDC8" w14:textId="77777777" w:rsidR="0032484E" w:rsidRDefault="0032484E" w:rsidP="00735DBB">
            <w:pPr>
              <w:pStyle w:val="Header"/>
              <w:jc w:val="center"/>
              <w:rPr>
                <w:rFonts w:cs="Arial"/>
                <w:b w:val="0"/>
                <w:sz w:val="24"/>
                <w:szCs w:val="24"/>
              </w:rPr>
            </w:pPr>
            <w:r w:rsidRPr="00A81C15">
              <w:rPr>
                <w:rFonts w:cs="Arial"/>
                <w:sz w:val="24"/>
                <w:szCs w:val="24"/>
              </w:rPr>
              <w:t xml:space="preserve">TPED NBG </w:t>
            </w:r>
            <w:r>
              <w:rPr>
                <w:rFonts w:cs="Arial"/>
                <w:sz w:val="24"/>
                <w:szCs w:val="24"/>
              </w:rPr>
              <w:t>23</w:t>
            </w:r>
            <w:r w:rsidRPr="00A81C15">
              <w:rPr>
                <w:rFonts w:cs="Arial"/>
                <w:sz w:val="24"/>
                <w:szCs w:val="24"/>
              </w:rPr>
              <w:t>-0</w:t>
            </w:r>
            <w:r>
              <w:rPr>
                <w:rFonts w:cs="Arial"/>
                <w:sz w:val="24"/>
                <w:szCs w:val="24"/>
              </w:rPr>
              <w:t>35</w:t>
            </w:r>
          </w:p>
          <w:p w14:paraId="6175C475" w14:textId="77777777" w:rsidR="0032484E" w:rsidRPr="000B16B1" w:rsidRDefault="0032484E" w:rsidP="00735DBB">
            <w:pPr>
              <w:pStyle w:val="Header"/>
              <w:jc w:val="center"/>
              <w:rPr>
                <w:rFonts w:cs="Arial"/>
                <w:b w:val="0"/>
                <w:sz w:val="24"/>
                <w:szCs w:val="24"/>
              </w:rPr>
            </w:pPr>
            <w:r w:rsidRPr="000B16B1">
              <w:rPr>
                <w:rFonts w:cs="Arial"/>
                <w:sz w:val="24"/>
                <w:szCs w:val="24"/>
              </w:rPr>
              <w:t xml:space="preserve">Rev. </w:t>
            </w:r>
            <w:r>
              <w:rPr>
                <w:rFonts w:cs="Arial"/>
                <w:sz w:val="24"/>
                <w:szCs w:val="24"/>
              </w:rPr>
              <w:t>1</w:t>
            </w:r>
          </w:p>
          <w:p w14:paraId="7DFE9C2F" w14:textId="77777777" w:rsidR="0032484E" w:rsidRPr="0078424D" w:rsidRDefault="0032484E" w:rsidP="00735DBB">
            <w:pPr>
              <w:jc w:val="center"/>
            </w:pPr>
          </w:p>
        </w:tc>
        <w:tc>
          <w:tcPr>
            <w:tcW w:w="3856" w:type="dxa"/>
            <w:shd w:val="clear" w:color="auto" w:fill="auto"/>
          </w:tcPr>
          <w:p w14:paraId="2BBAB58E" w14:textId="77777777" w:rsidR="0032484E" w:rsidRPr="00996E08" w:rsidRDefault="0032484E" w:rsidP="00735DBB">
            <w:pPr>
              <w:pStyle w:val="Header"/>
            </w:pPr>
          </w:p>
          <w:p w14:paraId="34D3D371" w14:textId="77777777" w:rsidR="0032484E" w:rsidRDefault="0032484E" w:rsidP="00735DBB">
            <w:pPr>
              <w:pStyle w:val="Header"/>
              <w:jc w:val="center"/>
              <w:rPr>
                <w:rFonts w:cs="Arial"/>
                <w:b w:val="0"/>
                <w:sz w:val="24"/>
                <w:szCs w:val="24"/>
              </w:rPr>
            </w:pPr>
            <w:r w:rsidRPr="000B16B1">
              <w:rPr>
                <w:rFonts w:cs="Arial"/>
                <w:color w:val="FF0000"/>
                <w:sz w:val="24"/>
                <w:szCs w:val="24"/>
              </w:rPr>
              <w:t>DRAFT</w:t>
            </w:r>
            <w:r>
              <w:rPr>
                <w:rFonts w:cs="Arial"/>
                <w:sz w:val="24"/>
                <w:szCs w:val="24"/>
              </w:rPr>
              <w:t xml:space="preserve"> </w:t>
            </w:r>
            <w:r w:rsidRPr="00996E08">
              <w:rPr>
                <w:rFonts w:cs="Arial"/>
                <w:sz w:val="24"/>
                <w:szCs w:val="24"/>
              </w:rPr>
              <w:t>ADMINISTRATIVE</w:t>
            </w:r>
          </w:p>
          <w:p w14:paraId="3D635B23" w14:textId="77777777" w:rsidR="0032484E" w:rsidRDefault="0032484E" w:rsidP="00735DBB">
            <w:pPr>
              <w:pStyle w:val="Header"/>
              <w:jc w:val="center"/>
              <w:rPr>
                <w:rFonts w:cs="Arial"/>
                <w:b w:val="0"/>
                <w:sz w:val="24"/>
                <w:szCs w:val="24"/>
              </w:rPr>
            </w:pPr>
            <w:r>
              <w:rPr>
                <w:rFonts w:cs="Arial"/>
                <w:sz w:val="24"/>
                <w:szCs w:val="24"/>
              </w:rPr>
              <w:t>DECISION</w:t>
            </w:r>
          </w:p>
          <w:p w14:paraId="27AC1353" w14:textId="77777777" w:rsidR="0032484E" w:rsidRPr="004769ED" w:rsidRDefault="0032484E" w:rsidP="00735DBB">
            <w:pPr>
              <w:pStyle w:val="Header"/>
              <w:jc w:val="center"/>
            </w:pPr>
          </w:p>
        </w:tc>
        <w:tc>
          <w:tcPr>
            <w:tcW w:w="2772" w:type="dxa"/>
            <w:shd w:val="clear" w:color="auto" w:fill="auto"/>
          </w:tcPr>
          <w:p w14:paraId="0F6E272E" w14:textId="77777777" w:rsidR="0032484E" w:rsidRPr="004769ED" w:rsidRDefault="0032484E" w:rsidP="00735DBB">
            <w:pPr>
              <w:pStyle w:val="Header"/>
              <w:rPr>
                <w:rFonts w:cs="Arial"/>
              </w:rPr>
            </w:pPr>
          </w:p>
          <w:p w14:paraId="0FE1C2E4" w14:textId="77777777" w:rsidR="0032484E" w:rsidRPr="004769ED" w:rsidRDefault="0032484E" w:rsidP="00735DBB">
            <w:pPr>
              <w:pStyle w:val="Header"/>
              <w:jc w:val="center"/>
              <w:rPr>
                <w:rFonts w:cs="Arial"/>
                <w:b w:val="0"/>
              </w:rPr>
            </w:pPr>
            <w:r>
              <w:rPr>
                <w:rFonts w:cs="Arial"/>
              </w:rPr>
              <w:t>Group of notified bodies</w:t>
            </w:r>
            <w:r w:rsidRPr="004769ED">
              <w:rPr>
                <w:rFonts w:cs="Arial"/>
              </w:rPr>
              <w:t xml:space="preserve"> on</w:t>
            </w:r>
            <w:r>
              <w:rPr>
                <w:rFonts w:cs="Arial"/>
              </w:rPr>
              <w:t xml:space="preserve"> </w:t>
            </w:r>
            <w:r w:rsidRPr="004769ED">
              <w:rPr>
                <w:rFonts w:cs="Arial"/>
              </w:rPr>
              <w:t>Transportable Pressure Equipment Directive</w:t>
            </w:r>
          </w:p>
          <w:p w14:paraId="62FE5AA0" w14:textId="77777777" w:rsidR="0032484E" w:rsidRPr="004769ED" w:rsidRDefault="0032484E" w:rsidP="00735DBB">
            <w:pPr>
              <w:pStyle w:val="Header"/>
              <w:jc w:val="center"/>
            </w:pPr>
            <w:r w:rsidRPr="004769ED">
              <w:rPr>
                <w:rFonts w:cs="Arial"/>
              </w:rPr>
              <w:t>2010/35/EU</w:t>
            </w:r>
          </w:p>
        </w:tc>
      </w:tr>
    </w:tbl>
    <w:p w14:paraId="22807AEB" w14:textId="77777777" w:rsidR="008D4A70" w:rsidRDefault="008D4A70" w:rsidP="008D4A70"/>
    <w:p w14:paraId="23586DA5" w14:textId="12730F09" w:rsidR="00587BBB" w:rsidRDefault="00587BBB" w:rsidP="00587BBB">
      <w:pPr>
        <w:jc w:val="center"/>
        <w:rPr>
          <w:rFonts w:cs="Arial"/>
          <w:b/>
          <w:bCs/>
          <w:color w:val="FF0000"/>
          <w:sz w:val="24"/>
          <w:szCs w:val="24"/>
          <w:u w:val="single"/>
        </w:rPr>
      </w:pPr>
      <w:r w:rsidRPr="00320609">
        <w:rPr>
          <w:rFonts w:cs="Arial"/>
          <w:b/>
          <w:bCs/>
          <w:color w:val="FF0000"/>
          <w:sz w:val="24"/>
          <w:szCs w:val="24"/>
          <w:u w:val="single"/>
        </w:rPr>
        <w:t>Draft</w:t>
      </w:r>
      <w:r>
        <w:rPr>
          <w:rFonts w:cs="Arial"/>
          <w:b/>
          <w:bCs/>
          <w:sz w:val="24"/>
          <w:szCs w:val="24"/>
          <w:u w:val="single"/>
        </w:rPr>
        <w:t xml:space="preserve"> – Position of the safety valve inlet in 6.7 and 6.8 RID/ADR – </w:t>
      </w:r>
      <w:r w:rsidRPr="00320609">
        <w:rPr>
          <w:rFonts w:cs="Arial"/>
          <w:b/>
          <w:bCs/>
          <w:color w:val="FF0000"/>
          <w:sz w:val="24"/>
          <w:szCs w:val="24"/>
          <w:u w:val="single"/>
        </w:rPr>
        <w:t>Draft</w:t>
      </w:r>
    </w:p>
    <w:p w14:paraId="2465C460" w14:textId="77777777" w:rsidR="00587BBB" w:rsidRPr="00132922" w:rsidRDefault="00587BBB" w:rsidP="00132922">
      <w:pPr>
        <w:jc w:val="both"/>
      </w:pPr>
    </w:p>
    <w:tbl>
      <w:tblPr>
        <w:tblStyle w:val="TableGrid"/>
        <w:tblW w:w="0" w:type="auto"/>
        <w:tblLook w:val="04A0" w:firstRow="1" w:lastRow="0" w:firstColumn="1" w:lastColumn="0" w:noHBand="0" w:noVBand="1"/>
      </w:tblPr>
      <w:tblGrid>
        <w:gridCol w:w="1696"/>
        <w:gridCol w:w="1324"/>
        <w:gridCol w:w="3021"/>
        <w:gridCol w:w="3021"/>
      </w:tblGrid>
      <w:tr w:rsidR="002A4D94" w:rsidRPr="004E2099" w14:paraId="058DE182" w14:textId="77777777" w:rsidTr="00735DBB">
        <w:tc>
          <w:tcPr>
            <w:tcW w:w="1696" w:type="dxa"/>
          </w:tcPr>
          <w:p w14:paraId="5FBC633C" w14:textId="77777777" w:rsidR="002A4D94" w:rsidRPr="00A57531" w:rsidRDefault="002A4D94" w:rsidP="00735DBB">
            <w:pPr>
              <w:rPr>
                <w:rFonts w:cs="Arial"/>
                <w:b/>
                <w:bCs/>
              </w:rPr>
            </w:pPr>
            <w:r w:rsidRPr="00A57531">
              <w:rPr>
                <w:rFonts w:cs="Arial"/>
                <w:b/>
                <w:bCs/>
              </w:rPr>
              <w:t>Related to:</w:t>
            </w:r>
          </w:p>
        </w:tc>
        <w:tc>
          <w:tcPr>
            <w:tcW w:w="7366" w:type="dxa"/>
            <w:gridSpan w:val="3"/>
          </w:tcPr>
          <w:p w14:paraId="5937CFC2" w14:textId="77777777" w:rsidR="002A4D94" w:rsidRDefault="002A4D94" w:rsidP="00735DBB">
            <w:pPr>
              <w:rPr>
                <w:rFonts w:cs="Arial"/>
                <w:bCs/>
              </w:rPr>
            </w:pPr>
            <w:r>
              <w:rPr>
                <w:rFonts w:cs="Arial"/>
                <w:bCs/>
              </w:rPr>
              <w:t>TPED:</w:t>
            </w:r>
          </w:p>
          <w:p w14:paraId="4D2A32F2" w14:textId="77777777" w:rsidR="002A4D94" w:rsidRDefault="002A4D94" w:rsidP="00735DBB">
            <w:pPr>
              <w:rPr>
                <w:rFonts w:cs="Arial"/>
                <w:bCs/>
              </w:rPr>
            </w:pPr>
          </w:p>
          <w:p w14:paraId="66F15636" w14:textId="77777777" w:rsidR="002A4D94" w:rsidRPr="00774BD5" w:rsidRDefault="002A4D94" w:rsidP="00735DBB">
            <w:pPr>
              <w:rPr>
                <w:rFonts w:cs="Arial"/>
                <w:bCs/>
              </w:rPr>
            </w:pPr>
            <w:r>
              <w:rPr>
                <w:rFonts w:cs="Arial"/>
                <w:bCs/>
              </w:rPr>
              <w:t>RID/ADR: 6.8.3.2.9.4 a</w:t>
            </w:r>
            <w:r w:rsidRPr="00774BD5">
              <w:rPr>
                <w:rFonts w:cs="Arial"/>
                <w:bCs/>
              </w:rPr>
              <w:t xml:space="preserve">nd </w:t>
            </w:r>
            <w:r>
              <w:rPr>
                <w:rFonts w:cs="Arial"/>
                <w:bCs/>
              </w:rPr>
              <w:t>RID/</w:t>
            </w:r>
            <w:r w:rsidRPr="00774BD5">
              <w:rPr>
                <w:rFonts w:cs="Arial"/>
                <w:bCs/>
              </w:rPr>
              <w:t>ADR 6.7.3.11.1</w:t>
            </w:r>
          </w:p>
          <w:p w14:paraId="53854FD3" w14:textId="77777777" w:rsidR="002A4D94" w:rsidRPr="00774BD5" w:rsidRDefault="002A4D94" w:rsidP="00735DBB">
            <w:pPr>
              <w:rPr>
                <w:rFonts w:cs="Arial"/>
                <w:bCs/>
              </w:rPr>
            </w:pPr>
          </w:p>
          <w:p w14:paraId="3C54354F" w14:textId="77777777" w:rsidR="002A4D94" w:rsidRPr="00A57531" w:rsidRDefault="002A4D94" w:rsidP="00735DBB">
            <w:pPr>
              <w:rPr>
                <w:rFonts w:cs="Arial"/>
                <w:bCs/>
              </w:rPr>
            </w:pPr>
            <w:r>
              <w:rPr>
                <w:rFonts w:cs="Arial"/>
                <w:bCs/>
              </w:rPr>
              <w:t>Standards: --</w:t>
            </w:r>
          </w:p>
        </w:tc>
      </w:tr>
      <w:tr w:rsidR="002A4D94" w:rsidRPr="00A57531" w14:paraId="5D3E4503" w14:textId="77777777" w:rsidTr="00735DBB">
        <w:tc>
          <w:tcPr>
            <w:tcW w:w="1696" w:type="dxa"/>
          </w:tcPr>
          <w:p w14:paraId="2F10E87B" w14:textId="77777777" w:rsidR="002A4D94" w:rsidRPr="00A57531" w:rsidRDefault="002A4D94" w:rsidP="00735DBB">
            <w:pPr>
              <w:rPr>
                <w:rFonts w:cs="Arial"/>
                <w:b/>
                <w:bCs/>
              </w:rPr>
            </w:pPr>
            <w:r w:rsidRPr="00A57531">
              <w:rPr>
                <w:rFonts w:cs="Arial"/>
                <w:b/>
                <w:bCs/>
              </w:rPr>
              <w:t>Question:</w:t>
            </w:r>
          </w:p>
        </w:tc>
        <w:tc>
          <w:tcPr>
            <w:tcW w:w="7366" w:type="dxa"/>
            <w:gridSpan w:val="3"/>
          </w:tcPr>
          <w:p w14:paraId="36B38FA0" w14:textId="77777777" w:rsidR="002A4D94" w:rsidRDefault="002A4D94" w:rsidP="00735DBB">
            <w:pPr>
              <w:rPr>
                <w:rFonts w:cs="Arial"/>
                <w:bCs/>
              </w:rPr>
            </w:pPr>
            <w:r w:rsidRPr="002F59D3">
              <w:rPr>
                <w:rFonts w:cs="Arial"/>
                <w:bCs/>
              </w:rPr>
              <w:t xml:space="preserve">RID/ADR </w:t>
            </w:r>
            <w:r>
              <w:rPr>
                <w:rFonts w:cs="Arial"/>
                <w:bCs/>
              </w:rPr>
              <w:t xml:space="preserve">Chapters 6.8 and 6.7 contain different requirements </w:t>
            </w:r>
            <w:r w:rsidRPr="002F59D3">
              <w:rPr>
                <w:rFonts w:cs="Arial"/>
                <w:bCs/>
              </w:rPr>
              <w:t xml:space="preserve">for the position of the </w:t>
            </w:r>
            <w:r w:rsidRPr="00D26677">
              <w:rPr>
                <w:rFonts w:cs="Arial"/>
                <w:bCs/>
              </w:rPr>
              <w:t>pressure-relief device</w:t>
            </w:r>
            <w:r>
              <w:rPr>
                <w:rFonts w:cs="Arial"/>
                <w:bCs/>
              </w:rPr>
              <w:t>:</w:t>
            </w:r>
          </w:p>
          <w:p w14:paraId="2199B7E8" w14:textId="77777777" w:rsidR="002A4D94" w:rsidRPr="002F59D3" w:rsidRDefault="002A4D94" w:rsidP="00735DBB">
            <w:pPr>
              <w:rPr>
                <w:rFonts w:cs="Arial"/>
                <w:bCs/>
              </w:rPr>
            </w:pPr>
          </w:p>
          <w:p w14:paraId="2130FD66" w14:textId="77777777" w:rsidR="002A4D94" w:rsidRDefault="002A4D94" w:rsidP="00735DBB">
            <w:pPr>
              <w:rPr>
                <w:rFonts w:cs="Arial"/>
                <w:bCs/>
              </w:rPr>
            </w:pPr>
            <w:r>
              <w:rPr>
                <w:rFonts w:cs="Arial"/>
                <w:bCs/>
              </w:rPr>
              <w:t>RID/ADR 6.7.3.11.1</w:t>
            </w:r>
          </w:p>
          <w:p w14:paraId="6F75FBC8" w14:textId="77777777" w:rsidR="002A4D94" w:rsidRDefault="002A4D94" w:rsidP="00735DBB">
            <w:pPr>
              <w:rPr>
                <w:rFonts w:cs="Arial"/>
                <w:bCs/>
              </w:rPr>
            </w:pPr>
            <w:r>
              <w:rPr>
                <w:rFonts w:cs="Arial"/>
                <w:bCs/>
              </w:rPr>
              <w:t>Each pressure-relief device inlet shall be situated in the top of the shell in a position as near to the longitude and transverse centre of the shell as reasonably practicable. […]</w:t>
            </w:r>
          </w:p>
          <w:p w14:paraId="1C491DAC" w14:textId="77777777" w:rsidR="002A4D94" w:rsidRDefault="002A4D94" w:rsidP="00735DBB">
            <w:pPr>
              <w:rPr>
                <w:rFonts w:cs="Arial"/>
                <w:bCs/>
              </w:rPr>
            </w:pPr>
          </w:p>
          <w:p w14:paraId="3C040642" w14:textId="77777777" w:rsidR="002A4D94" w:rsidRDefault="002A4D94" w:rsidP="00735DBB">
            <w:pPr>
              <w:rPr>
                <w:rFonts w:cs="Arial"/>
                <w:bCs/>
              </w:rPr>
            </w:pPr>
            <w:r w:rsidRPr="00D26677">
              <w:rPr>
                <w:rFonts w:cs="Arial"/>
                <w:bCs/>
              </w:rPr>
              <w:t>In practice, the valve is therefore positioned slightly offset to the top of the tank.</w:t>
            </w:r>
          </w:p>
          <w:p w14:paraId="0170E35A" w14:textId="77777777" w:rsidR="002A4D94" w:rsidRDefault="002A4D94" w:rsidP="00735DBB">
            <w:pPr>
              <w:rPr>
                <w:rFonts w:cs="Arial"/>
                <w:bCs/>
              </w:rPr>
            </w:pPr>
          </w:p>
          <w:p w14:paraId="62CEB136" w14:textId="77777777" w:rsidR="002A4D94" w:rsidRDefault="002A4D94" w:rsidP="00735DBB">
            <w:pPr>
              <w:rPr>
                <w:rFonts w:cs="Arial"/>
                <w:bCs/>
              </w:rPr>
            </w:pPr>
            <w:r>
              <w:rPr>
                <w:rFonts w:cs="Arial"/>
                <w:bCs/>
              </w:rPr>
              <w:t>RID/ADR 6.8.3.2.9.4 (new text in 2023)</w:t>
            </w:r>
          </w:p>
          <w:p w14:paraId="2E714354" w14:textId="77777777" w:rsidR="002A4D94" w:rsidRDefault="002A4D94" w:rsidP="00735DBB">
            <w:pPr>
              <w:rPr>
                <w:rFonts w:cs="Arial"/>
                <w:bCs/>
              </w:rPr>
            </w:pPr>
            <w:r>
              <w:rPr>
                <w:rFonts w:cs="Arial"/>
                <w:bCs/>
              </w:rPr>
              <w:t xml:space="preserve">Each safety valve inlet </w:t>
            </w:r>
            <w:r w:rsidRPr="00233AD4">
              <w:rPr>
                <w:rFonts w:cs="Arial"/>
                <w:bCs/>
                <w:color w:val="FF0000"/>
              </w:rPr>
              <w:t xml:space="preserve">shall be situated on the top of the shell </w:t>
            </w:r>
            <w:r>
              <w:rPr>
                <w:rFonts w:cs="Arial"/>
                <w:bCs/>
              </w:rPr>
              <w:t xml:space="preserve">in a position as near to the transverse centre of the shell as reasonable practicable. […] </w:t>
            </w:r>
          </w:p>
          <w:p w14:paraId="4A30C33C" w14:textId="77777777" w:rsidR="002A4D94" w:rsidRDefault="002A4D94" w:rsidP="00735DBB">
            <w:pPr>
              <w:rPr>
                <w:rFonts w:cs="Arial"/>
                <w:bCs/>
              </w:rPr>
            </w:pPr>
          </w:p>
          <w:p w14:paraId="4BBEA6D8" w14:textId="77777777" w:rsidR="002A4D94" w:rsidRDefault="002A4D94" w:rsidP="00735DBB">
            <w:pPr>
              <w:rPr>
                <w:rFonts w:cs="Arial"/>
                <w:bCs/>
              </w:rPr>
            </w:pPr>
            <w:r w:rsidRPr="00233AD4">
              <w:rPr>
                <w:rFonts w:cs="Arial"/>
                <w:bCs/>
              </w:rPr>
              <w:t>Can both requirements be implemented in the same way?</w:t>
            </w:r>
          </w:p>
          <w:p w14:paraId="6C138256" w14:textId="77777777" w:rsidR="002A4D94" w:rsidRDefault="002A4D94" w:rsidP="00735DBB">
            <w:pPr>
              <w:rPr>
                <w:rFonts w:cs="Arial"/>
                <w:bCs/>
              </w:rPr>
            </w:pPr>
          </w:p>
          <w:p w14:paraId="437BFD3A" w14:textId="77777777" w:rsidR="002A4D94" w:rsidRDefault="002A4D94" w:rsidP="00735DBB">
            <w:pPr>
              <w:rPr>
                <w:rFonts w:cs="Arial"/>
                <w:bCs/>
              </w:rPr>
            </w:pPr>
            <w:r>
              <w:rPr>
                <w:rFonts w:cs="Arial"/>
                <w:bCs/>
              </w:rPr>
              <w:t>There are also further requirements to consider:</w:t>
            </w:r>
          </w:p>
          <w:p w14:paraId="06AE67C6" w14:textId="77777777" w:rsidR="002A4D94" w:rsidRDefault="002A4D94" w:rsidP="00735DBB">
            <w:pPr>
              <w:rPr>
                <w:rFonts w:cs="Arial"/>
                <w:bCs/>
              </w:rPr>
            </w:pPr>
          </w:p>
          <w:p w14:paraId="6BCFD844" w14:textId="77777777" w:rsidR="002A4D94" w:rsidRDefault="002A4D94" w:rsidP="00735DBB">
            <w:pPr>
              <w:rPr>
                <w:rFonts w:cs="Arial"/>
                <w:bCs/>
              </w:rPr>
            </w:pPr>
            <w:r>
              <w:rPr>
                <w:rFonts w:cs="Arial"/>
                <w:bCs/>
              </w:rPr>
              <w:t xml:space="preserve">RID/ADR </w:t>
            </w:r>
            <w:r w:rsidRPr="004F1257">
              <w:rPr>
                <w:rFonts w:cs="Arial"/>
                <w:bCs/>
              </w:rPr>
              <w:t xml:space="preserve">6.8.3.2.9.5 </w:t>
            </w:r>
            <w:r>
              <w:rPr>
                <w:rFonts w:cs="Arial"/>
                <w:bCs/>
              </w:rPr>
              <w:t>(new text in RID/ADR 2023)</w:t>
            </w:r>
          </w:p>
          <w:p w14:paraId="1FA89188" w14:textId="77777777" w:rsidR="002A4D94" w:rsidRDefault="002A4D94" w:rsidP="00735DBB">
            <w:pPr>
              <w:rPr>
                <w:rFonts w:cs="Arial"/>
                <w:bCs/>
              </w:rPr>
            </w:pPr>
            <w:r w:rsidRPr="004F1257">
              <w:rPr>
                <w:rFonts w:cs="Arial"/>
                <w:bCs/>
              </w:rPr>
              <w:t>Arrangements shall be made to protect the safety valve from damage caused by the tank overturning or striking overhead obstacles. [..]</w:t>
            </w:r>
          </w:p>
          <w:p w14:paraId="20E3C661" w14:textId="77777777" w:rsidR="002A4D94" w:rsidRPr="00A57531" w:rsidRDefault="002A4D94" w:rsidP="00735DBB">
            <w:pPr>
              <w:rPr>
                <w:rFonts w:cs="Arial"/>
                <w:bCs/>
              </w:rPr>
            </w:pPr>
          </w:p>
        </w:tc>
      </w:tr>
      <w:tr w:rsidR="002A4D94" w:rsidRPr="004E2099" w14:paraId="44363F6D" w14:textId="77777777" w:rsidTr="00735DBB">
        <w:tc>
          <w:tcPr>
            <w:tcW w:w="1696" w:type="dxa"/>
          </w:tcPr>
          <w:p w14:paraId="38EA72C2" w14:textId="77777777" w:rsidR="002A4D94" w:rsidRPr="00A57531" w:rsidRDefault="002A4D94" w:rsidP="00735DBB">
            <w:pPr>
              <w:rPr>
                <w:rFonts w:cs="Arial"/>
                <w:b/>
                <w:bCs/>
              </w:rPr>
            </w:pPr>
            <w:r w:rsidRPr="00A57531">
              <w:rPr>
                <w:rFonts w:cs="Arial"/>
                <w:b/>
                <w:bCs/>
              </w:rPr>
              <w:lastRenderedPageBreak/>
              <w:t>Answer:</w:t>
            </w:r>
          </w:p>
        </w:tc>
        <w:tc>
          <w:tcPr>
            <w:tcW w:w="7366" w:type="dxa"/>
            <w:gridSpan w:val="3"/>
          </w:tcPr>
          <w:p w14:paraId="1541612F" w14:textId="77777777" w:rsidR="002A4D94" w:rsidRDefault="002A4D94" w:rsidP="00735DBB">
            <w:pPr>
              <w:rPr>
                <w:rFonts w:cs="Arial"/>
                <w:bCs/>
              </w:rPr>
            </w:pPr>
            <w:r>
              <w:rPr>
                <w:rFonts w:cs="Arial"/>
                <w:bCs/>
              </w:rPr>
              <w:t>Yes.</w:t>
            </w:r>
          </w:p>
          <w:p w14:paraId="083A0059" w14:textId="77777777" w:rsidR="002A4D94" w:rsidRDefault="002A4D94" w:rsidP="00735DBB">
            <w:pPr>
              <w:rPr>
                <w:rFonts w:cs="Arial"/>
                <w:bCs/>
              </w:rPr>
            </w:pPr>
          </w:p>
          <w:p w14:paraId="342C199E" w14:textId="77777777" w:rsidR="002A4D94" w:rsidRPr="009D4B02" w:rsidRDefault="002A4D94" w:rsidP="00735DBB">
            <w:pPr>
              <w:rPr>
                <w:rFonts w:cs="Arial"/>
                <w:bCs/>
              </w:rPr>
            </w:pPr>
            <w:r w:rsidRPr="009D4B02">
              <w:rPr>
                <w:rFonts w:cs="Arial"/>
                <w:bCs/>
              </w:rPr>
              <w:t xml:space="preserve">To fulfil the requirement of </w:t>
            </w:r>
            <w:r>
              <w:rPr>
                <w:rFonts w:cs="Arial"/>
                <w:bCs/>
              </w:rPr>
              <w:t xml:space="preserve">RID/ADR </w:t>
            </w:r>
            <w:r w:rsidRPr="009D4B02">
              <w:rPr>
                <w:rFonts w:cs="Arial"/>
                <w:bCs/>
              </w:rPr>
              <w:t xml:space="preserve">6.8.3.2.9.5, the safety valve </w:t>
            </w:r>
            <w:r>
              <w:rPr>
                <w:rFonts w:cs="Arial"/>
                <w:bCs/>
              </w:rPr>
              <w:t>does not need to</w:t>
            </w:r>
            <w:r w:rsidRPr="009D4B02">
              <w:rPr>
                <w:rFonts w:cs="Arial"/>
                <w:bCs/>
              </w:rPr>
              <w:t xml:space="preserve"> be located on the top of the tank, </w:t>
            </w:r>
            <w:r>
              <w:rPr>
                <w:rFonts w:cs="Arial"/>
                <w:bCs/>
              </w:rPr>
              <w:t>provided</w:t>
            </w:r>
            <w:r w:rsidRPr="009D4B02">
              <w:rPr>
                <w:rFonts w:cs="Arial"/>
                <w:bCs/>
              </w:rPr>
              <w:t xml:space="preserve"> the position of the safety valve is inside the vapour space </w:t>
            </w:r>
            <w:r w:rsidRPr="00830DD4">
              <w:rPr>
                <w:rFonts w:cs="Arial"/>
                <w:bCs/>
                <w:color w:val="FF0000"/>
              </w:rPr>
              <w:t>under maximum filling condition</w:t>
            </w:r>
            <w:r>
              <w:rPr>
                <w:rFonts w:cs="Arial"/>
                <w:bCs/>
                <w:color w:val="FF0000"/>
              </w:rPr>
              <w:t>s</w:t>
            </w:r>
            <w:r w:rsidRPr="00830DD4">
              <w:rPr>
                <w:rFonts w:cs="Arial"/>
                <w:bCs/>
                <w:color w:val="FF0000"/>
              </w:rPr>
              <w:t xml:space="preserve"> with a maximum offset of 30° to transverse centre</w:t>
            </w:r>
            <w:r>
              <w:rPr>
                <w:rFonts w:cs="Arial"/>
                <w:bCs/>
              </w:rPr>
              <w:t>.</w:t>
            </w:r>
          </w:p>
          <w:p w14:paraId="1ADFA096" w14:textId="77777777" w:rsidR="002A4D94" w:rsidRPr="00A7102B" w:rsidRDefault="002A4D94" w:rsidP="00735DBB">
            <w:pPr>
              <w:rPr>
                <w:rFonts w:cs="Arial"/>
              </w:rPr>
            </w:pPr>
          </w:p>
          <w:p w14:paraId="10205A56" w14:textId="77777777" w:rsidR="002A4D94" w:rsidRPr="00B2510C" w:rsidRDefault="002A4D94" w:rsidP="00735DBB">
            <w:pPr>
              <w:rPr>
                <w:rFonts w:cs="Arial"/>
                <w:b/>
              </w:rPr>
            </w:pPr>
            <w:r w:rsidRPr="001E008D">
              <w:rPr>
                <w:rFonts w:cs="Arial"/>
                <w:b/>
              </w:rPr>
              <w:t xml:space="preserve">The option "as near to the transverse centre" </w:t>
            </w:r>
            <w:r>
              <w:rPr>
                <w:rFonts w:cs="Arial"/>
                <w:b/>
              </w:rPr>
              <w:t xml:space="preserve">shall be taken </w:t>
            </w:r>
            <w:r w:rsidRPr="001E008D">
              <w:rPr>
                <w:rFonts w:cs="Arial"/>
                <w:b/>
              </w:rPr>
              <w:t>into account.</w:t>
            </w:r>
          </w:p>
        </w:tc>
      </w:tr>
      <w:tr w:rsidR="002A4D94" w:rsidRPr="004E2099" w14:paraId="0ABD8E21" w14:textId="77777777" w:rsidTr="00735DBB">
        <w:tc>
          <w:tcPr>
            <w:tcW w:w="1696" w:type="dxa"/>
          </w:tcPr>
          <w:p w14:paraId="702C1C8D" w14:textId="77777777" w:rsidR="002A4D94" w:rsidRPr="00A57531" w:rsidRDefault="002A4D94" w:rsidP="00735DBB">
            <w:pPr>
              <w:rPr>
                <w:rFonts w:cs="Arial"/>
                <w:b/>
                <w:bCs/>
              </w:rPr>
            </w:pPr>
            <w:r w:rsidRPr="00A57531">
              <w:rPr>
                <w:rFonts w:cs="Arial"/>
                <w:b/>
                <w:bCs/>
              </w:rPr>
              <w:t>Justification:</w:t>
            </w:r>
          </w:p>
        </w:tc>
        <w:tc>
          <w:tcPr>
            <w:tcW w:w="7366" w:type="dxa"/>
            <w:gridSpan w:val="3"/>
          </w:tcPr>
          <w:p w14:paraId="675032E6" w14:textId="77777777" w:rsidR="002A4D94" w:rsidRPr="00A57531" w:rsidRDefault="002A4D94" w:rsidP="00735DBB">
            <w:pPr>
              <w:rPr>
                <w:rFonts w:cs="Arial"/>
                <w:bCs/>
              </w:rPr>
            </w:pPr>
            <w:r>
              <w:rPr>
                <w:rFonts w:cs="Arial"/>
                <w:bCs/>
              </w:rPr>
              <w:t>RID/ADR 6.10.1.1.1 defines “protected area” as the top part of a tank in a zone over an angle up to 30° of either side of the top.</w:t>
            </w:r>
          </w:p>
        </w:tc>
      </w:tr>
      <w:tr w:rsidR="002A4D94" w:rsidRPr="004E2099" w14:paraId="3D0CDF44" w14:textId="77777777" w:rsidTr="00735DBB">
        <w:tc>
          <w:tcPr>
            <w:tcW w:w="1696" w:type="dxa"/>
          </w:tcPr>
          <w:p w14:paraId="25024309" w14:textId="77777777" w:rsidR="002A4D94" w:rsidRPr="00A57531" w:rsidRDefault="002A4D94" w:rsidP="00735DBB">
            <w:pPr>
              <w:rPr>
                <w:rFonts w:cs="Arial"/>
                <w:b/>
                <w:bCs/>
              </w:rPr>
            </w:pPr>
            <w:r w:rsidRPr="00A57531">
              <w:rPr>
                <w:rFonts w:cs="Arial"/>
                <w:b/>
                <w:bCs/>
              </w:rPr>
              <w:t>Note:</w:t>
            </w:r>
          </w:p>
        </w:tc>
        <w:tc>
          <w:tcPr>
            <w:tcW w:w="7366" w:type="dxa"/>
            <w:gridSpan w:val="3"/>
          </w:tcPr>
          <w:p w14:paraId="62D268D7" w14:textId="77777777" w:rsidR="002A4D94" w:rsidRPr="00A57531" w:rsidRDefault="002A4D94" w:rsidP="00735DBB">
            <w:pPr>
              <w:rPr>
                <w:rFonts w:cs="Arial"/>
                <w:bCs/>
              </w:rPr>
            </w:pPr>
            <w:r>
              <w:rPr>
                <w:rFonts w:cs="Arial"/>
                <w:bCs/>
              </w:rPr>
              <w:t>Both protection aims shall be fulfilled.</w:t>
            </w:r>
          </w:p>
        </w:tc>
      </w:tr>
      <w:tr w:rsidR="002A4D94" w:rsidRPr="005A144E" w14:paraId="7B28008C" w14:textId="77777777" w:rsidTr="00735DBB">
        <w:tc>
          <w:tcPr>
            <w:tcW w:w="3020" w:type="dxa"/>
            <w:gridSpan w:val="2"/>
          </w:tcPr>
          <w:p w14:paraId="31DE0168" w14:textId="77777777" w:rsidR="002A4D94" w:rsidRDefault="002A4D94" w:rsidP="00735DBB">
            <w:pPr>
              <w:jc w:val="center"/>
              <w:rPr>
                <w:rFonts w:cs="Arial"/>
                <w:b/>
                <w:bCs/>
              </w:rPr>
            </w:pPr>
            <w:r w:rsidRPr="00A57531">
              <w:rPr>
                <w:rFonts w:cs="Arial"/>
                <w:b/>
                <w:bCs/>
              </w:rPr>
              <w:t>TPED NBG</w:t>
            </w:r>
          </w:p>
          <w:p w14:paraId="2CE8B41F" w14:textId="77777777" w:rsidR="002A4D94" w:rsidRPr="00A57531" w:rsidRDefault="002A4D94" w:rsidP="00735DBB">
            <w:pPr>
              <w:jc w:val="center"/>
              <w:rPr>
                <w:rFonts w:cs="Arial"/>
                <w:b/>
                <w:bCs/>
              </w:rPr>
            </w:pPr>
            <w:r>
              <w:rPr>
                <w:rFonts w:cs="Arial"/>
                <w:b/>
                <w:bCs/>
              </w:rPr>
              <w:t>2023-11-30</w:t>
            </w:r>
          </w:p>
        </w:tc>
        <w:tc>
          <w:tcPr>
            <w:tcW w:w="3021" w:type="dxa"/>
          </w:tcPr>
          <w:p w14:paraId="7652CBB8" w14:textId="77777777" w:rsidR="002A4D94" w:rsidRPr="00A57531" w:rsidRDefault="002A4D94" w:rsidP="00735DBB">
            <w:pPr>
              <w:jc w:val="center"/>
              <w:rPr>
                <w:rFonts w:cs="Arial"/>
                <w:b/>
                <w:bCs/>
              </w:rPr>
            </w:pPr>
            <w:r w:rsidRPr="00A57531">
              <w:rPr>
                <w:rFonts w:cs="Arial"/>
                <w:b/>
                <w:bCs/>
              </w:rPr>
              <w:t>ADCO</w:t>
            </w:r>
          </w:p>
        </w:tc>
        <w:tc>
          <w:tcPr>
            <w:tcW w:w="3021" w:type="dxa"/>
          </w:tcPr>
          <w:p w14:paraId="615E5677" w14:textId="77777777" w:rsidR="002A4D94" w:rsidRPr="00A57531" w:rsidRDefault="002A4D94" w:rsidP="00735DBB">
            <w:pPr>
              <w:jc w:val="center"/>
              <w:rPr>
                <w:rFonts w:cs="Arial"/>
                <w:b/>
                <w:bCs/>
              </w:rPr>
            </w:pPr>
            <w:r w:rsidRPr="00A57531">
              <w:rPr>
                <w:rFonts w:cs="Arial"/>
                <w:b/>
                <w:bCs/>
              </w:rPr>
              <w:t>Publication</w:t>
            </w:r>
          </w:p>
        </w:tc>
      </w:tr>
    </w:tbl>
    <w:p w14:paraId="350F8786" w14:textId="77777777" w:rsidR="00132922" w:rsidRDefault="00132922" w:rsidP="00132922">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856"/>
        <w:gridCol w:w="2772"/>
      </w:tblGrid>
      <w:tr w:rsidR="002E49EA" w:rsidRPr="000B16B1" w14:paraId="79B0BC01" w14:textId="77777777" w:rsidTr="00735DBB">
        <w:tc>
          <w:tcPr>
            <w:tcW w:w="2660" w:type="dxa"/>
            <w:shd w:val="clear" w:color="auto" w:fill="auto"/>
          </w:tcPr>
          <w:p w14:paraId="4C74D15C" w14:textId="77777777" w:rsidR="002E49EA" w:rsidRPr="00A81C15" w:rsidRDefault="002E49EA" w:rsidP="00735DBB">
            <w:pPr>
              <w:pStyle w:val="Header"/>
              <w:rPr>
                <w:rFonts w:cs="Arial"/>
              </w:rPr>
            </w:pPr>
          </w:p>
          <w:p w14:paraId="3890A3AB" w14:textId="77777777" w:rsidR="002E49EA" w:rsidRDefault="002E49EA" w:rsidP="00735DBB">
            <w:pPr>
              <w:pStyle w:val="Header"/>
              <w:jc w:val="center"/>
              <w:rPr>
                <w:rFonts w:cs="Arial"/>
                <w:b w:val="0"/>
                <w:sz w:val="24"/>
                <w:szCs w:val="24"/>
              </w:rPr>
            </w:pPr>
            <w:r w:rsidRPr="00A81C15">
              <w:rPr>
                <w:rFonts w:cs="Arial"/>
                <w:sz w:val="24"/>
                <w:szCs w:val="24"/>
              </w:rPr>
              <w:t xml:space="preserve">TPED NBG </w:t>
            </w:r>
            <w:r>
              <w:rPr>
                <w:rFonts w:cs="Arial"/>
                <w:sz w:val="24"/>
                <w:szCs w:val="24"/>
              </w:rPr>
              <w:t>23</w:t>
            </w:r>
            <w:r w:rsidRPr="00A81C15">
              <w:rPr>
                <w:rFonts w:cs="Arial"/>
                <w:sz w:val="24"/>
                <w:szCs w:val="24"/>
              </w:rPr>
              <w:t>-0</w:t>
            </w:r>
            <w:r>
              <w:rPr>
                <w:rFonts w:cs="Arial"/>
                <w:sz w:val="24"/>
                <w:szCs w:val="24"/>
              </w:rPr>
              <w:t>35</w:t>
            </w:r>
          </w:p>
          <w:p w14:paraId="1FE3AA85" w14:textId="77777777" w:rsidR="002E49EA" w:rsidRPr="000B16B1" w:rsidRDefault="002E49EA" w:rsidP="00735DBB">
            <w:pPr>
              <w:pStyle w:val="Header"/>
              <w:jc w:val="center"/>
              <w:rPr>
                <w:rFonts w:cs="Arial"/>
                <w:b w:val="0"/>
                <w:sz w:val="24"/>
                <w:szCs w:val="24"/>
              </w:rPr>
            </w:pPr>
            <w:r w:rsidRPr="000B16B1">
              <w:rPr>
                <w:rFonts w:cs="Arial"/>
                <w:sz w:val="24"/>
                <w:szCs w:val="24"/>
              </w:rPr>
              <w:t xml:space="preserve">Rev. </w:t>
            </w:r>
            <w:r>
              <w:rPr>
                <w:rFonts w:cs="Arial"/>
                <w:sz w:val="24"/>
                <w:szCs w:val="24"/>
              </w:rPr>
              <w:t>1</w:t>
            </w:r>
          </w:p>
          <w:p w14:paraId="7C116A28" w14:textId="77777777" w:rsidR="002E49EA" w:rsidRPr="0078424D" w:rsidRDefault="002E49EA" w:rsidP="00735DBB">
            <w:pPr>
              <w:jc w:val="center"/>
            </w:pPr>
          </w:p>
        </w:tc>
        <w:tc>
          <w:tcPr>
            <w:tcW w:w="3856" w:type="dxa"/>
            <w:shd w:val="clear" w:color="auto" w:fill="auto"/>
          </w:tcPr>
          <w:p w14:paraId="4322896D" w14:textId="77777777" w:rsidR="002E49EA" w:rsidRPr="00996E08" w:rsidRDefault="002E49EA" w:rsidP="00735DBB">
            <w:pPr>
              <w:pStyle w:val="Header"/>
            </w:pPr>
          </w:p>
          <w:p w14:paraId="1EFEEF0B" w14:textId="77777777" w:rsidR="002E49EA" w:rsidRDefault="002E49EA" w:rsidP="00735DBB">
            <w:pPr>
              <w:pStyle w:val="Header"/>
              <w:jc w:val="center"/>
              <w:rPr>
                <w:rFonts w:cs="Arial"/>
                <w:b w:val="0"/>
                <w:sz w:val="24"/>
                <w:szCs w:val="24"/>
              </w:rPr>
            </w:pPr>
            <w:r w:rsidRPr="000B16B1">
              <w:rPr>
                <w:rFonts w:cs="Arial"/>
                <w:color w:val="FF0000"/>
                <w:sz w:val="24"/>
                <w:szCs w:val="24"/>
              </w:rPr>
              <w:t>DRAFT</w:t>
            </w:r>
            <w:r>
              <w:rPr>
                <w:rFonts w:cs="Arial"/>
                <w:sz w:val="24"/>
                <w:szCs w:val="24"/>
              </w:rPr>
              <w:t xml:space="preserve"> </w:t>
            </w:r>
            <w:r w:rsidRPr="00996E08">
              <w:rPr>
                <w:rFonts w:cs="Arial"/>
                <w:sz w:val="24"/>
                <w:szCs w:val="24"/>
              </w:rPr>
              <w:t>ADMINISTRATIVE</w:t>
            </w:r>
          </w:p>
          <w:p w14:paraId="352547AC" w14:textId="77777777" w:rsidR="002E49EA" w:rsidRDefault="002E49EA" w:rsidP="00735DBB">
            <w:pPr>
              <w:pStyle w:val="Header"/>
              <w:jc w:val="center"/>
              <w:rPr>
                <w:rFonts w:cs="Arial"/>
                <w:b w:val="0"/>
                <w:sz w:val="24"/>
                <w:szCs w:val="24"/>
              </w:rPr>
            </w:pPr>
            <w:r w:rsidRPr="00996E08">
              <w:rPr>
                <w:rFonts w:cs="Arial"/>
                <w:sz w:val="24"/>
                <w:szCs w:val="24"/>
              </w:rPr>
              <w:t xml:space="preserve"> DECISION </w:t>
            </w:r>
          </w:p>
          <w:p w14:paraId="723B60AE" w14:textId="77777777" w:rsidR="002E49EA" w:rsidRPr="004769ED" w:rsidRDefault="002E49EA" w:rsidP="00735DBB">
            <w:pPr>
              <w:pStyle w:val="Header"/>
              <w:jc w:val="center"/>
            </w:pPr>
          </w:p>
        </w:tc>
        <w:tc>
          <w:tcPr>
            <w:tcW w:w="2772" w:type="dxa"/>
            <w:shd w:val="clear" w:color="auto" w:fill="auto"/>
          </w:tcPr>
          <w:p w14:paraId="6AF8F330" w14:textId="77777777" w:rsidR="002E49EA" w:rsidRPr="004769ED" w:rsidRDefault="002E49EA" w:rsidP="00735DBB">
            <w:pPr>
              <w:pStyle w:val="Header"/>
              <w:rPr>
                <w:rFonts w:cs="Arial"/>
              </w:rPr>
            </w:pPr>
          </w:p>
          <w:p w14:paraId="6B965B91" w14:textId="77777777" w:rsidR="002E49EA" w:rsidRPr="004769ED" w:rsidRDefault="002E49EA" w:rsidP="00735DBB">
            <w:pPr>
              <w:pStyle w:val="Header"/>
              <w:jc w:val="center"/>
              <w:rPr>
                <w:rFonts w:cs="Arial"/>
                <w:b w:val="0"/>
              </w:rPr>
            </w:pPr>
            <w:r>
              <w:rPr>
                <w:rFonts w:cs="Arial"/>
              </w:rPr>
              <w:t>Group of notified bodies</w:t>
            </w:r>
            <w:r w:rsidRPr="004769ED">
              <w:rPr>
                <w:rFonts w:cs="Arial"/>
              </w:rPr>
              <w:t xml:space="preserve"> on</w:t>
            </w:r>
            <w:r>
              <w:rPr>
                <w:rFonts w:cs="Arial"/>
              </w:rPr>
              <w:t xml:space="preserve"> </w:t>
            </w:r>
            <w:r w:rsidRPr="004769ED">
              <w:rPr>
                <w:rFonts w:cs="Arial"/>
              </w:rPr>
              <w:t>Transportable Pressure Equipment Directive</w:t>
            </w:r>
          </w:p>
          <w:p w14:paraId="0243AF82" w14:textId="77777777" w:rsidR="002E49EA" w:rsidRPr="004769ED" w:rsidRDefault="002E49EA" w:rsidP="00735DBB">
            <w:pPr>
              <w:pStyle w:val="Header"/>
              <w:jc w:val="center"/>
            </w:pPr>
            <w:r w:rsidRPr="004769ED">
              <w:rPr>
                <w:rFonts w:cs="Arial"/>
              </w:rPr>
              <w:t>2010/35/EU</w:t>
            </w:r>
          </w:p>
        </w:tc>
      </w:tr>
    </w:tbl>
    <w:p w14:paraId="3F3B26BC" w14:textId="77777777" w:rsidR="002A4D94" w:rsidRDefault="002A4D94" w:rsidP="00132922">
      <w:pPr>
        <w:jc w:val="both"/>
      </w:pPr>
    </w:p>
    <w:p w14:paraId="700A9DC0" w14:textId="77777777" w:rsidR="002E49EA" w:rsidRDefault="002E49EA" w:rsidP="00132922">
      <w:pPr>
        <w:jc w:val="both"/>
      </w:pPr>
    </w:p>
    <w:p w14:paraId="68943337" w14:textId="77777777" w:rsidR="00CB5812" w:rsidRDefault="00CB5812" w:rsidP="00132922">
      <w:pPr>
        <w:jc w:val="both"/>
      </w:pPr>
    </w:p>
    <w:p w14:paraId="2BCBD034" w14:textId="77777777" w:rsidR="00CB5812" w:rsidRDefault="00CB5812" w:rsidP="00132922">
      <w:pPr>
        <w:jc w:val="both"/>
      </w:pPr>
    </w:p>
    <w:p w14:paraId="7BF50E4A" w14:textId="38B7D759" w:rsidR="00CB5812" w:rsidRDefault="00CB5812" w:rsidP="00132922">
      <w:pPr>
        <w:jc w:val="both"/>
      </w:pPr>
    </w:p>
    <w:p w14:paraId="0DD8EDED" w14:textId="50DCB54E" w:rsidR="00CB5812" w:rsidRDefault="00CB5812" w:rsidP="00132922">
      <w:pPr>
        <w:jc w:val="both"/>
      </w:pPr>
    </w:p>
    <w:p w14:paraId="42C542FB" w14:textId="13020DEB" w:rsidR="00CB5812" w:rsidRDefault="00F62770" w:rsidP="00132922">
      <w:pPr>
        <w:jc w:val="both"/>
      </w:pPr>
      <w:r>
        <w:rPr>
          <w:noProof/>
        </w:rPr>
        <w:drawing>
          <wp:inline distT="0" distB="0" distL="0" distR="0" wp14:anchorId="156A9CE1" wp14:editId="635A1C71">
            <wp:extent cx="6115050" cy="3676650"/>
            <wp:effectExtent l="0" t="0" r="0" b="0"/>
            <wp:docPr id="1808473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676650"/>
                    </a:xfrm>
                    <a:prstGeom prst="rect">
                      <a:avLst/>
                    </a:prstGeom>
                    <a:noFill/>
                    <a:ln>
                      <a:noFill/>
                    </a:ln>
                  </pic:spPr>
                </pic:pic>
              </a:graphicData>
            </a:graphic>
          </wp:inline>
        </w:drawing>
      </w:r>
    </w:p>
    <w:p w14:paraId="5680DA2C" w14:textId="0281A062" w:rsidR="00CB5812" w:rsidRPr="003865A8" w:rsidRDefault="003865A8" w:rsidP="003865A8">
      <w:pPr>
        <w:spacing w:before="240" w:after="0" w:line="240" w:lineRule="atLeast"/>
        <w:jc w:val="center"/>
        <w:rPr>
          <w:u w:val="single"/>
        </w:rPr>
      </w:pPr>
      <w:r>
        <w:rPr>
          <w:u w:val="single"/>
        </w:rPr>
        <w:tab/>
      </w:r>
      <w:r>
        <w:rPr>
          <w:u w:val="single"/>
        </w:rPr>
        <w:tab/>
      </w:r>
      <w:r>
        <w:rPr>
          <w:u w:val="single"/>
        </w:rPr>
        <w:tab/>
      </w:r>
    </w:p>
    <w:sectPr w:rsidR="00CB5812" w:rsidRPr="003865A8" w:rsidSect="00735DC7">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4657" w14:textId="77777777" w:rsidR="00C32425" w:rsidRDefault="00C32425"/>
  </w:endnote>
  <w:endnote w:type="continuationSeparator" w:id="0">
    <w:p w14:paraId="04223E40" w14:textId="77777777" w:rsidR="00C32425" w:rsidRDefault="00C32425"/>
  </w:endnote>
  <w:endnote w:type="continuationNotice" w:id="1">
    <w:p w14:paraId="09F1C0BA" w14:textId="77777777" w:rsidR="00C32425" w:rsidRDefault="00C32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7E09" w14:textId="77777777" w:rsidR="00C32425" w:rsidRPr="000B175B" w:rsidRDefault="00C32425" w:rsidP="000B175B">
      <w:pPr>
        <w:tabs>
          <w:tab w:val="right" w:pos="2155"/>
        </w:tabs>
        <w:spacing w:after="80"/>
        <w:ind w:left="680"/>
        <w:rPr>
          <w:u w:val="single"/>
        </w:rPr>
      </w:pPr>
      <w:r>
        <w:rPr>
          <w:u w:val="single"/>
        </w:rPr>
        <w:tab/>
      </w:r>
    </w:p>
  </w:footnote>
  <w:footnote w:type="continuationSeparator" w:id="0">
    <w:p w14:paraId="4F70E088" w14:textId="77777777" w:rsidR="00C32425" w:rsidRPr="00FC68B7" w:rsidRDefault="00C32425" w:rsidP="00FC68B7">
      <w:pPr>
        <w:tabs>
          <w:tab w:val="left" w:pos="2155"/>
        </w:tabs>
        <w:spacing w:after="80"/>
        <w:ind w:left="680"/>
        <w:rPr>
          <w:u w:val="single"/>
        </w:rPr>
      </w:pPr>
      <w:r>
        <w:rPr>
          <w:u w:val="single"/>
        </w:rPr>
        <w:tab/>
      </w:r>
    </w:p>
  </w:footnote>
  <w:footnote w:type="continuationNotice" w:id="1">
    <w:p w14:paraId="38B9DF45" w14:textId="77777777" w:rsidR="00C32425" w:rsidRDefault="00C32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415FB1BE" w:rsidR="00021E68" w:rsidRPr="0009455D" w:rsidRDefault="00021E68">
    <w:pPr>
      <w:pStyle w:val="Header"/>
      <w:rPr>
        <w:lang w:val="fr-CH"/>
      </w:rPr>
    </w:pPr>
    <w:r>
      <w:rPr>
        <w:lang w:val="fr-CH"/>
      </w:rPr>
      <w:t>INF.</w:t>
    </w:r>
    <w:r w:rsidR="00746A9C">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3B43DE32" w:rsidR="00021E68" w:rsidRPr="00073BC9" w:rsidRDefault="00021E68" w:rsidP="0009455D">
    <w:pPr>
      <w:pStyle w:val="Header"/>
      <w:jc w:val="right"/>
    </w:pPr>
    <w:r>
      <w:t>INF.</w:t>
    </w:r>
    <w:r w:rsidR="007F368E">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24985C4A" w:rsidR="00021E68" w:rsidRPr="006B2961" w:rsidRDefault="00021E68" w:rsidP="006B2961">
    <w:pPr>
      <w:pStyle w:val="Header"/>
      <w:jc w:val="right"/>
      <w:rPr>
        <w:sz w:val="28"/>
        <w:szCs w:val="28"/>
        <w:lang w:val="fr-CH"/>
      </w:rPr>
    </w:pPr>
    <w:r w:rsidRPr="00D857C7">
      <w:rPr>
        <w:sz w:val="28"/>
        <w:szCs w:val="28"/>
        <w:lang w:val="fr-CH"/>
      </w:rPr>
      <w:t>INF.</w:t>
    </w:r>
    <w:r w:rsidR="00483756">
      <w:rPr>
        <w:sz w:val="28"/>
        <w:szCs w:val="28"/>
        <w:lang w:val="fr-CH"/>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5"/>
  </w:num>
  <w:num w:numId="12" w16cid:durableId="692075847">
    <w:abstractNumId w:val="14"/>
  </w:num>
  <w:num w:numId="13" w16cid:durableId="1950353850">
    <w:abstractNumId w:val="10"/>
  </w:num>
  <w:num w:numId="14" w16cid:durableId="1357656930">
    <w:abstractNumId w:val="11"/>
  </w:num>
  <w:num w:numId="15" w16cid:durableId="116527628">
    <w:abstractNumId w:val="17"/>
  </w:num>
  <w:num w:numId="16" w16cid:durableId="608315694">
    <w:abstractNumId w:val="13"/>
  </w:num>
  <w:num w:numId="17" w16cid:durableId="1802528721">
    <w:abstractNumId w:val="23"/>
  </w:num>
  <w:num w:numId="18" w16cid:durableId="55594120">
    <w:abstractNumId w:val="26"/>
  </w:num>
  <w:num w:numId="19" w16cid:durableId="766073106">
    <w:abstractNumId w:val="22"/>
  </w:num>
  <w:num w:numId="20" w16cid:durableId="1815021586">
    <w:abstractNumId w:val="12"/>
  </w:num>
  <w:num w:numId="21" w16cid:durableId="2012903382">
    <w:abstractNumId w:val="19"/>
  </w:num>
  <w:num w:numId="22" w16cid:durableId="1089235904">
    <w:abstractNumId w:val="27"/>
  </w:num>
  <w:num w:numId="23" w16cid:durableId="116993930">
    <w:abstractNumId w:val="18"/>
  </w:num>
  <w:num w:numId="24" w16cid:durableId="284426730">
    <w:abstractNumId w:val="21"/>
  </w:num>
  <w:num w:numId="25" w16cid:durableId="775902413">
    <w:abstractNumId w:val="25"/>
  </w:num>
  <w:num w:numId="26" w16cid:durableId="1489007523">
    <w:abstractNumId w:val="20"/>
  </w:num>
  <w:num w:numId="27" w16cid:durableId="450363729">
    <w:abstractNumId w:val="16"/>
  </w:num>
  <w:num w:numId="28" w16cid:durableId="94804547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54D4"/>
    <w:rsid w:val="000154F1"/>
    <w:rsid w:val="0002055A"/>
    <w:rsid w:val="00021E68"/>
    <w:rsid w:val="00027624"/>
    <w:rsid w:val="00027E77"/>
    <w:rsid w:val="00031F0D"/>
    <w:rsid w:val="000336C4"/>
    <w:rsid w:val="00034F1E"/>
    <w:rsid w:val="000408A1"/>
    <w:rsid w:val="00050F6B"/>
    <w:rsid w:val="00056E1C"/>
    <w:rsid w:val="00057D31"/>
    <w:rsid w:val="00060650"/>
    <w:rsid w:val="00060675"/>
    <w:rsid w:val="000616FF"/>
    <w:rsid w:val="00062540"/>
    <w:rsid w:val="0006357E"/>
    <w:rsid w:val="000677D8"/>
    <w:rsid w:val="000678CD"/>
    <w:rsid w:val="00071813"/>
    <w:rsid w:val="00072C8C"/>
    <w:rsid w:val="00073BC9"/>
    <w:rsid w:val="00074041"/>
    <w:rsid w:val="000743DF"/>
    <w:rsid w:val="00075498"/>
    <w:rsid w:val="00076E06"/>
    <w:rsid w:val="0007719F"/>
    <w:rsid w:val="00081CE0"/>
    <w:rsid w:val="00081E5B"/>
    <w:rsid w:val="000848FF"/>
    <w:rsid w:val="000849FA"/>
    <w:rsid w:val="00084D30"/>
    <w:rsid w:val="00090320"/>
    <w:rsid w:val="00091148"/>
    <w:rsid w:val="000929E0"/>
    <w:rsid w:val="000931C0"/>
    <w:rsid w:val="0009338E"/>
    <w:rsid w:val="0009455D"/>
    <w:rsid w:val="00095148"/>
    <w:rsid w:val="00097793"/>
    <w:rsid w:val="000A09D9"/>
    <w:rsid w:val="000A2E09"/>
    <w:rsid w:val="000B175B"/>
    <w:rsid w:val="000B3627"/>
    <w:rsid w:val="000B3A0F"/>
    <w:rsid w:val="000B404B"/>
    <w:rsid w:val="000B41FA"/>
    <w:rsid w:val="000C2A7D"/>
    <w:rsid w:val="000C7DCF"/>
    <w:rsid w:val="000D15B5"/>
    <w:rsid w:val="000E0415"/>
    <w:rsid w:val="000E0A45"/>
    <w:rsid w:val="000E233A"/>
    <w:rsid w:val="000E7EB0"/>
    <w:rsid w:val="000F3AFC"/>
    <w:rsid w:val="000F7715"/>
    <w:rsid w:val="00102C30"/>
    <w:rsid w:val="00103E99"/>
    <w:rsid w:val="00105662"/>
    <w:rsid w:val="00117315"/>
    <w:rsid w:val="00132922"/>
    <w:rsid w:val="00137561"/>
    <w:rsid w:val="0014401A"/>
    <w:rsid w:val="00147A0B"/>
    <w:rsid w:val="00147FE3"/>
    <w:rsid w:val="00156B99"/>
    <w:rsid w:val="0015713B"/>
    <w:rsid w:val="00166124"/>
    <w:rsid w:val="00167F20"/>
    <w:rsid w:val="0017009E"/>
    <w:rsid w:val="00172600"/>
    <w:rsid w:val="00174EC8"/>
    <w:rsid w:val="001765D7"/>
    <w:rsid w:val="00176739"/>
    <w:rsid w:val="00184DDA"/>
    <w:rsid w:val="001900CD"/>
    <w:rsid w:val="00193D85"/>
    <w:rsid w:val="0019444B"/>
    <w:rsid w:val="001A0452"/>
    <w:rsid w:val="001A3481"/>
    <w:rsid w:val="001A5F15"/>
    <w:rsid w:val="001A7832"/>
    <w:rsid w:val="001B4B04"/>
    <w:rsid w:val="001B5875"/>
    <w:rsid w:val="001B6D96"/>
    <w:rsid w:val="001C3A25"/>
    <w:rsid w:val="001C4B28"/>
    <w:rsid w:val="001C4B9C"/>
    <w:rsid w:val="001C6663"/>
    <w:rsid w:val="001C7895"/>
    <w:rsid w:val="001D15C4"/>
    <w:rsid w:val="001D26DF"/>
    <w:rsid w:val="001D312D"/>
    <w:rsid w:val="001D5626"/>
    <w:rsid w:val="001D5FA8"/>
    <w:rsid w:val="001E0DF6"/>
    <w:rsid w:val="001F12DF"/>
    <w:rsid w:val="001F1599"/>
    <w:rsid w:val="001F1961"/>
    <w:rsid w:val="001F19C4"/>
    <w:rsid w:val="001F4788"/>
    <w:rsid w:val="001F6B91"/>
    <w:rsid w:val="00200570"/>
    <w:rsid w:val="00202DD6"/>
    <w:rsid w:val="002043F0"/>
    <w:rsid w:val="002060B9"/>
    <w:rsid w:val="00210140"/>
    <w:rsid w:val="00211E0B"/>
    <w:rsid w:val="00215A1B"/>
    <w:rsid w:val="00216BB2"/>
    <w:rsid w:val="00217EA8"/>
    <w:rsid w:val="00232575"/>
    <w:rsid w:val="00233572"/>
    <w:rsid w:val="0023589F"/>
    <w:rsid w:val="00235FA8"/>
    <w:rsid w:val="00242AFE"/>
    <w:rsid w:val="00243F8C"/>
    <w:rsid w:val="00247258"/>
    <w:rsid w:val="00250356"/>
    <w:rsid w:val="002565C8"/>
    <w:rsid w:val="002574B9"/>
    <w:rsid w:val="00257CAC"/>
    <w:rsid w:val="00262D91"/>
    <w:rsid w:val="002815FC"/>
    <w:rsid w:val="002821FB"/>
    <w:rsid w:val="00284862"/>
    <w:rsid w:val="002902E0"/>
    <w:rsid w:val="002909F9"/>
    <w:rsid w:val="002924BB"/>
    <w:rsid w:val="002938DB"/>
    <w:rsid w:val="00294042"/>
    <w:rsid w:val="00295F1A"/>
    <w:rsid w:val="002974E9"/>
    <w:rsid w:val="002A214F"/>
    <w:rsid w:val="002A4D94"/>
    <w:rsid w:val="002A6D75"/>
    <w:rsid w:val="002A7F94"/>
    <w:rsid w:val="002B109A"/>
    <w:rsid w:val="002B1AE2"/>
    <w:rsid w:val="002B5129"/>
    <w:rsid w:val="002B79C1"/>
    <w:rsid w:val="002C1973"/>
    <w:rsid w:val="002C4661"/>
    <w:rsid w:val="002C57D6"/>
    <w:rsid w:val="002C6D45"/>
    <w:rsid w:val="002D1828"/>
    <w:rsid w:val="002D4CF0"/>
    <w:rsid w:val="002D5A7C"/>
    <w:rsid w:val="002D6E53"/>
    <w:rsid w:val="002D743E"/>
    <w:rsid w:val="002E2296"/>
    <w:rsid w:val="002E49EA"/>
    <w:rsid w:val="002F046D"/>
    <w:rsid w:val="002F093B"/>
    <w:rsid w:val="003007E7"/>
    <w:rsid w:val="00301764"/>
    <w:rsid w:val="00302B3E"/>
    <w:rsid w:val="003143F2"/>
    <w:rsid w:val="003229D8"/>
    <w:rsid w:val="00323AD2"/>
    <w:rsid w:val="0032484E"/>
    <w:rsid w:val="00333784"/>
    <w:rsid w:val="00336080"/>
    <w:rsid w:val="00336C97"/>
    <w:rsid w:val="003372D0"/>
    <w:rsid w:val="00337D65"/>
    <w:rsid w:val="00337F88"/>
    <w:rsid w:val="00340D8D"/>
    <w:rsid w:val="00342432"/>
    <w:rsid w:val="003445E5"/>
    <w:rsid w:val="00350B59"/>
    <w:rsid w:val="00352D4B"/>
    <w:rsid w:val="00354724"/>
    <w:rsid w:val="00354AAE"/>
    <w:rsid w:val="00354CED"/>
    <w:rsid w:val="0035638C"/>
    <w:rsid w:val="003564DC"/>
    <w:rsid w:val="00367BBF"/>
    <w:rsid w:val="00367F33"/>
    <w:rsid w:val="00370928"/>
    <w:rsid w:val="00371FDD"/>
    <w:rsid w:val="00372A69"/>
    <w:rsid w:val="00373041"/>
    <w:rsid w:val="0038056A"/>
    <w:rsid w:val="003806F0"/>
    <w:rsid w:val="003813BD"/>
    <w:rsid w:val="0038499B"/>
    <w:rsid w:val="003850BD"/>
    <w:rsid w:val="003865A8"/>
    <w:rsid w:val="003921E5"/>
    <w:rsid w:val="0039609E"/>
    <w:rsid w:val="003A1C51"/>
    <w:rsid w:val="003A46BB"/>
    <w:rsid w:val="003A4EC7"/>
    <w:rsid w:val="003A7295"/>
    <w:rsid w:val="003B115E"/>
    <w:rsid w:val="003B1F60"/>
    <w:rsid w:val="003B3A7E"/>
    <w:rsid w:val="003B4643"/>
    <w:rsid w:val="003C1732"/>
    <w:rsid w:val="003C2CC4"/>
    <w:rsid w:val="003C3176"/>
    <w:rsid w:val="003C7026"/>
    <w:rsid w:val="003D4B23"/>
    <w:rsid w:val="003D58A1"/>
    <w:rsid w:val="003D5FCE"/>
    <w:rsid w:val="003D6C76"/>
    <w:rsid w:val="003E278A"/>
    <w:rsid w:val="003E3D94"/>
    <w:rsid w:val="003E564E"/>
    <w:rsid w:val="003E56B3"/>
    <w:rsid w:val="003F068C"/>
    <w:rsid w:val="004019C8"/>
    <w:rsid w:val="004032CF"/>
    <w:rsid w:val="0040454A"/>
    <w:rsid w:val="004116EE"/>
    <w:rsid w:val="00413520"/>
    <w:rsid w:val="00414F7A"/>
    <w:rsid w:val="004151F6"/>
    <w:rsid w:val="00430DD4"/>
    <w:rsid w:val="00431D4D"/>
    <w:rsid w:val="004325CB"/>
    <w:rsid w:val="00433A82"/>
    <w:rsid w:val="00433B98"/>
    <w:rsid w:val="00435D4B"/>
    <w:rsid w:val="00437737"/>
    <w:rsid w:val="00440A07"/>
    <w:rsid w:val="004411B0"/>
    <w:rsid w:val="00444E7B"/>
    <w:rsid w:val="004472CB"/>
    <w:rsid w:val="00447EAE"/>
    <w:rsid w:val="004520E1"/>
    <w:rsid w:val="00453060"/>
    <w:rsid w:val="00462880"/>
    <w:rsid w:val="0047298C"/>
    <w:rsid w:val="004736B2"/>
    <w:rsid w:val="0047429E"/>
    <w:rsid w:val="00476F24"/>
    <w:rsid w:val="00477528"/>
    <w:rsid w:val="00480B89"/>
    <w:rsid w:val="00483756"/>
    <w:rsid w:val="0048402E"/>
    <w:rsid w:val="004909E7"/>
    <w:rsid w:val="004A1BDB"/>
    <w:rsid w:val="004A3C94"/>
    <w:rsid w:val="004B45B0"/>
    <w:rsid w:val="004B5B23"/>
    <w:rsid w:val="004B6EA7"/>
    <w:rsid w:val="004B74ED"/>
    <w:rsid w:val="004B7EA2"/>
    <w:rsid w:val="004C17F5"/>
    <w:rsid w:val="004C54B9"/>
    <w:rsid w:val="004C55B0"/>
    <w:rsid w:val="004D51F6"/>
    <w:rsid w:val="004E0327"/>
    <w:rsid w:val="004E106B"/>
    <w:rsid w:val="004E168D"/>
    <w:rsid w:val="004E4179"/>
    <w:rsid w:val="004F24D7"/>
    <w:rsid w:val="004F3F8F"/>
    <w:rsid w:val="004F46FE"/>
    <w:rsid w:val="004F6BA0"/>
    <w:rsid w:val="00501F8B"/>
    <w:rsid w:val="005034CE"/>
    <w:rsid w:val="00503BEA"/>
    <w:rsid w:val="0050410A"/>
    <w:rsid w:val="00507A3E"/>
    <w:rsid w:val="0052097E"/>
    <w:rsid w:val="00521317"/>
    <w:rsid w:val="00533616"/>
    <w:rsid w:val="00535170"/>
    <w:rsid w:val="00535ABA"/>
    <w:rsid w:val="005371A0"/>
    <w:rsid w:val="0053768B"/>
    <w:rsid w:val="00541630"/>
    <w:rsid w:val="005420F2"/>
    <w:rsid w:val="0054285C"/>
    <w:rsid w:val="00547A88"/>
    <w:rsid w:val="00551AE1"/>
    <w:rsid w:val="0055514F"/>
    <w:rsid w:val="005566B9"/>
    <w:rsid w:val="00560572"/>
    <w:rsid w:val="005634E3"/>
    <w:rsid w:val="00564BF4"/>
    <w:rsid w:val="00566B08"/>
    <w:rsid w:val="00573297"/>
    <w:rsid w:val="0057505B"/>
    <w:rsid w:val="00582239"/>
    <w:rsid w:val="00584173"/>
    <w:rsid w:val="005850DE"/>
    <w:rsid w:val="00587BBB"/>
    <w:rsid w:val="00595520"/>
    <w:rsid w:val="005A0287"/>
    <w:rsid w:val="005A2539"/>
    <w:rsid w:val="005A28C9"/>
    <w:rsid w:val="005A2FA9"/>
    <w:rsid w:val="005A44B9"/>
    <w:rsid w:val="005A548A"/>
    <w:rsid w:val="005A683E"/>
    <w:rsid w:val="005B1BA0"/>
    <w:rsid w:val="005B3DB3"/>
    <w:rsid w:val="005B56E9"/>
    <w:rsid w:val="005B6365"/>
    <w:rsid w:val="005D15CA"/>
    <w:rsid w:val="005D390C"/>
    <w:rsid w:val="005E7B00"/>
    <w:rsid w:val="005F3066"/>
    <w:rsid w:val="005F3E61"/>
    <w:rsid w:val="005F51F6"/>
    <w:rsid w:val="005F69C7"/>
    <w:rsid w:val="00604DDD"/>
    <w:rsid w:val="0061121F"/>
    <w:rsid w:val="006115CC"/>
    <w:rsid w:val="00611FC4"/>
    <w:rsid w:val="00613302"/>
    <w:rsid w:val="00614EC5"/>
    <w:rsid w:val="006176FB"/>
    <w:rsid w:val="00617D7E"/>
    <w:rsid w:val="0062380F"/>
    <w:rsid w:val="0062564C"/>
    <w:rsid w:val="006258D0"/>
    <w:rsid w:val="00630FCB"/>
    <w:rsid w:val="00632F10"/>
    <w:rsid w:val="0063330B"/>
    <w:rsid w:val="0064017F"/>
    <w:rsid w:val="00640B26"/>
    <w:rsid w:val="00642502"/>
    <w:rsid w:val="00643BD3"/>
    <w:rsid w:val="00644A26"/>
    <w:rsid w:val="00646BA3"/>
    <w:rsid w:val="006516F3"/>
    <w:rsid w:val="00651A29"/>
    <w:rsid w:val="0066061F"/>
    <w:rsid w:val="006643C6"/>
    <w:rsid w:val="00667346"/>
    <w:rsid w:val="00667D6B"/>
    <w:rsid w:val="006770B2"/>
    <w:rsid w:val="00677C63"/>
    <w:rsid w:val="006940E1"/>
    <w:rsid w:val="006A1D39"/>
    <w:rsid w:val="006A3C72"/>
    <w:rsid w:val="006A7392"/>
    <w:rsid w:val="006B03A1"/>
    <w:rsid w:val="006B2961"/>
    <w:rsid w:val="006B5F72"/>
    <w:rsid w:val="006B67D9"/>
    <w:rsid w:val="006C1772"/>
    <w:rsid w:val="006C5535"/>
    <w:rsid w:val="006D0589"/>
    <w:rsid w:val="006D5290"/>
    <w:rsid w:val="006D54F8"/>
    <w:rsid w:val="006E564B"/>
    <w:rsid w:val="006E6FC4"/>
    <w:rsid w:val="006E7154"/>
    <w:rsid w:val="006E786B"/>
    <w:rsid w:val="006F07DD"/>
    <w:rsid w:val="006F0884"/>
    <w:rsid w:val="007003CD"/>
    <w:rsid w:val="00703A6D"/>
    <w:rsid w:val="0070701E"/>
    <w:rsid w:val="0070702F"/>
    <w:rsid w:val="00714B5C"/>
    <w:rsid w:val="00715BE5"/>
    <w:rsid w:val="00722510"/>
    <w:rsid w:val="00725AB6"/>
    <w:rsid w:val="0072632A"/>
    <w:rsid w:val="007271BE"/>
    <w:rsid w:val="0073482D"/>
    <w:rsid w:val="00734EA7"/>
    <w:rsid w:val="007358E8"/>
    <w:rsid w:val="00735DC7"/>
    <w:rsid w:val="00736ECE"/>
    <w:rsid w:val="00736FB7"/>
    <w:rsid w:val="00737D52"/>
    <w:rsid w:val="0074533B"/>
    <w:rsid w:val="00746694"/>
    <w:rsid w:val="00746A9C"/>
    <w:rsid w:val="00752E41"/>
    <w:rsid w:val="007535E5"/>
    <w:rsid w:val="00762EA6"/>
    <w:rsid w:val="00763642"/>
    <w:rsid w:val="0076432E"/>
    <w:rsid w:val="007643BC"/>
    <w:rsid w:val="0076523B"/>
    <w:rsid w:val="00770846"/>
    <w:rsid w:val="007810E1"/>
    <w:rsid w:val="007827AC"/>
    <w:rsid w:val="007959FE"/>
    <w:rsid w:val="00795E37"/>
    <w:rsid w:val="007A0CF1"/>
    <w:rsid w:val="007A7652"/>
    <w:rsid w:val="007A7BE3"/>
    <w:rsid w:val="007A7CC0"/>
    <w:rsid w:val="007B1A05"/>
    <w:rsid w:val="007B6A61"/>
    <w:rsid w:val="007B6BA5"/>
    <w:rsid w:val="007B71AD"/>
    <w:rsid w:val="007B73FE"/>
    <w:rsid w:val="007C01A9"/>
    <w:rsid w:val="007C3390"/>
    <w:rsid w:val="007C42D8"/>
    <w:rsid w:val="007C4F4B"/>
    <w:rsid w:val="007C68C8"/>
    <w:rsid w:val="007D12EF"/>
    <w:rsid w:val="007D5759"/>
    <w:rsid w:val="007D7362"/>
    <w:rsid w:val="007E0FB2"/>
    <w:rsid w:val="007E2259"/>
    <w:rsid w:val="007E4914"/>
    <w:rsid w:val="007F1D4D"/>
    <w:rsid w:val="007F2E11"/>
    <w:rsid w:val="007F368E"/>
    <w:rsid w:val="007F546E"/>
    <w:rsid w:val="007F5CE2"/>
    <w:rsid w:val="007F5F51"/>
    <w:rsid w:val="007F6611"/>
    <w:rsid w:val="00803B7F"/>
    <w:rsid w:val="00810BAC"/>
    <w:rsid w:val="00811920"/>
    <w:rsid w:val="00812B1B"/>
    <w:rsid w:val="008175E9"/>
    <w:rsid w:val="008203B2"/>
    <w:rsid w:val="008242D7"/>
    <w:rsid w:val="00825578"/>
    <w:rsid w:val="0082577B"/>
    <w:rsid w:val="00830D15"/>
    <w:rsid w:val="00831FD0"/>
    <w:rsid w:val="008354DC"/>
    <w:rsid w:val="00836D84"/>
    <w:rsid w:val="00840737"/>
    <w:rsid w:val="00843B5C"/>
    <w:rsid w:val="00845A55"/>
    <w:rsid w:val="008558E7"/>
    <w:rsid w:val="0086054B"/>
    <w:rsid w:val="00866893"/>
    <w:rsid w:val="00866F02"/>
    <w:rsid w:val="00867D18"/>
    <w:rsid w:val="008707F8"/>
    <w:rsid w:val="00871F9A"/>
    <w:rsid w:val="00871FD5"/>
    <w:rsid w:val="00876B8E"/>
    <w:rsid w:val="0088172E"/>
    <w:rsid w:val="00881EFA"/>
    <w:rsid w:val="00883E28"/>
    <w:rsid w:val="008850DC"/>
    <w:rsid w:val="00890F51"/>
    <w:rsid w:val="0089256A"/>
    <w:rsid w:val="008979B1"/>
    <w:rsid w:val="008A346D"/>
    <w:rsid w:val="008A6792"/>
    <w:rsid w:val="008A6B25"/>
    <w:rsid w:val="008A6C4F"/>
    <w:rsid w:val="008A7787"/>
    <w:rsid w:val="008B0699"/>
    <w:rsid w:val="008B389E"/>
    <w:rsid w:val="008B59E3"/>
    <w:rsid w:val="008C5B2D"/>
    <w:rsid w:val="008C5BCB"/>
    <w:rsid w:val="008D045E"/>
    <w:rsid w:val="008D0C2C"/>
    <w:rsid w:val="008D1C6F"/>
    <w:rsid w:val="008D3F25"/>
    <w:rsid w:val="008D4A70"/>
    <w:rsid w:val="008D4D82"/>
    <w:rsid w:val="008E0E09"/>
    <w:rsid w:val="008E0E46"/>
    <w:rsid w:val="008E24AB"/>
    <w:rsid w:val="008E45C6"/>
    <w:rsid w:val="008E5A5D"/>
    <w:rsid w:val="008E7116"/>
    <w:rsid w:val="008F143B"/>
    <w:rsid w:val="008F33C4"/>
    <w:rsid w:val="008F3882"/>
    <w:rsid w:val="008F3C40"/>
    <w:rsid w:val="008F4B7C"/>
    <w:rsid w:val="00901464"/>
    <w:rsid w:val="009022B5"/>
    <w:rsid w:val="00904D63"/>
    <w:rsid w:val="00913B8E"/>
    <w:rsid w:val="00914DC3"/>
    <w:rsid w:val="009154D0"/>
    <w:rsid w:val="00915C95"/>
    <w:rsid w:val="00916B9C"/>
    <w:rsid w:val="00926B1B"/>
    <w:rsid w:val="00926D83"/>
    <w:rsid w:val="00926E47"/>
    <w:rsid w:val="009324AE"/>
    <w:rsid w:val="009330A2"/>
    <w:rsid w:val="00937075"/>
    <w:rsid w:val="0093732C"/>
    <w:rsid w:val="00943AC4"/>
    <w:rsid w:val="00945AAF"/>
    <w:rsid w:val="00945B24"/>
    <w:rsid w:val="00946D3D"/>
    <w:rsid w:val="00947162"/>
    <w:rsid w:val="00953163"/>
    <w:rsid w:val="00954EB3"/>
    <w:rsid w:val="009561C7"/>
    <w:rsid w:val="009601FF"/>
    <w:rsid w:val="009602BC"/>
    <w:rsid w:val="0096068B"/>
    <w:rsid w:val="00960D5D"/>
    <w:rsid w:val="009610D0"/>
    <w:rsid w:val="00961977"/>
    <w:rsid w:val="0096314B"/>
    <w:rsid w:val="0096375C"/>
    <w:rsid w:val="00965B3D"/>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293A"/>
    <w:rsid w:val="009C4DE1"/>
    <w:rsid w:val="009C59B9"/>
    <w:rsid w:val="009C6124"/>
    <w:rsid w:val="009D01C0"/>
    <w:rsid w:val="009D2E01"/>
    <w:rsid w:val="009D6A08"/>
    <w:rsid w:val="009E0A16"/>
    <w:rsid w:val="009E224A"/>
    <w:rsid w:val="009E65E8"/>
    <w:rsid w:val="009E7970"/>
    <w:rsid w:val="009F2EAC"/>
    <w:rsid w:val="009F57E3"/>
    <w:rsid w:val="00A005C2"/>
    <w:rsid w:val="00A00D3D"/>
    <w:rsid w:val="00A024E0"/>
    <w:rsid w:val="00A03AF1"/>
    <w:rsid w:val="00A07EBB"/>
    <w:rsid w:val="00A10F4F"/>
    <w:rsid w:val="00A11067"/>
    <w:rsid w:val="00A1704A"/>
    <w:rsid w:val="00A23E9E"/>
    <w:rsid w:val="00A258D5"/>
    <w:rsid w:val="00A27113"/>
    <w:rsid w:val="00A3758F"/>
    <w:rsid w:val="00A37D17"/>
    <w:rsid w:val="00A41BB8"/>
    <w:rsid w:val="00A425EB"/>
    <w:rsid w:val="00A45726"/>
    <w:rsid w:val="00A45CB7"/>
    <w:rsid w:val="00A47439"/>
    <w:rsid w:val="00A557DB"/>
    <w:rsid w:val="00A72F22"/>
    <w:rsid w:val="00A733BC"/>
    <w:rsid w:val="00A7408E"/>
    <w:rsid w:val="00A748A6"/>
    <w:rsid w:val="00A749C1"/>
    <w:rsid w:val="00A76A69"/>
    <w:rsid w:val="00A77D0C"/>
    <w:rsid w:val="00A820B8"/>
    <w:rsid w:val="00A824E7"/>
    <w:rsid w:val="00A8261C"/>
    <w:rsid w:val="00A83FCB"/>
    <w:rsid w:val="00A877C6"/>
    <w:rsid w:val="00A879A4"/>
    <w:rsid w:val="00A87D81"/>
    <w:rsid w:val="00A96696"/>
    <w:rsid w:val="00A9767A"/>
    <w:rsid w:val="00AA0FF8"/>
    <w:rsid w:val="00AA3567"/>
    <w:rsid w:val="00AB2CE7"/>
    <w:rsid w:val="00AC0F2C"/>
    <w:rsid w:val="00AC502A"/>
    <w:rsid w:val="00AC7298"/>
    <w:rsid w:val="00AC7686"/>
    <w:rsid w:val="00AD3135"/>
    <w:rsid w:val="00AE2615"/>
    <w:rsid w:val="00AF1B03"/>
    <w:rsid w:val="00AF3A98"/>
    <w:rsid w:val="00AF58C1"/>
    <w:rsid w:val="00B02C57"/>
    <w:rsid w:val="00B03E68"/>
    <w:rsid w:val="00B0495E"/>
    <w:rsid w:val="00B06643"/>
    <w:rsid w:val="00B15055"/>
    <w:rsid w:val="00B17FC5"/>
    <w:rsid w:val="00B30179"/>
    <w:rsid w:val="00B306A5"/>
    <w:rsid w:val="00B347D7"/>
    <w:rsid w:val="00B351DA"/>
    <w:rsid w:val="00B37B15"/>
    <w:rsid w:val="00B4482F"/>
    <w:rsid w:val="00B45C02"/>
    <w:rsid w:val="00B4691D"/>
    <w:rsid w:val="00B609E7"/>
    <w:rsid w:val="00B61908"/>
    <w:rsid w:val="00B66C4B"/>
    <w:rsid w:val="00B70F5A"/>
    <w:rsid w:val="00B72A1E"/>
    <w:rsid w:val="00B74DC8"/>
    <w:rsid w:val="00B81E12"/>
    <w:rsid w:val="00B8509D"/>
    <w:rsid w:val="00B978B3"/>
    <w:rsid w:val="00BA339B"/>
    <w:rsid w:val="00BB541F"/>
    <w:rsid w:val="00BB6148"/>
    <w:rsid w:val="00BC1E7E"/>
    <w:rsid w:val="00BC2E45"/>
    <w:rsid w:val="00BC3E26"/>
    <w:rsid w:val="00BC74E9"/>
    <w:rsid w:val="00BC75A8"/>
    <w:rsid w:val="00BD3805"/>
    <w:rsid w:val="00BE36A9"/>
    <w:rsid w:val="00BE618E"/>
    <w:rsid w:val="00BE7BEC"/>
    <w:rsid w:val="00BF0A5A"/>
    <w:rsid w:val="00BF0E63"/>
    <w:rsid w:val="00BF103C"/>
    <w:rsid w:val="00BF12A3"/>
    <w:rsid w:val="00BF16D7"/>
    <w:rsid w:val="00BF218C"/>
    <w:rsid w:val="00BF2373"/>
    <w:rsid w:val="00BF3856"/>
    <w:rsid w:val="00BF4DC1"/>
    <w:rsid w:val="00C044E2"/>
    <w:rsid w:val="00C048CB"/>
    <w:rsid w:val="00C066F3"/>
    <w:rsid w:val="00C06865"/>
    <w:rsid w:val="00C07CA9"/>
    <w:rsid w:val="00C10783"/>
    <w:rsid w:val="00C11B07"/>
    <w:rsid w:val="00C14529"/>
    <w:rsid w:val="00C15DC2"/>
    <w:rsid w:val="00C3148C"/>
    <w:rsid w:val="00C32425"/>
    <w:rsid w:val="00C36878"/>
    <w:rsid w:val="00C36D25"/>
    <w:rsid w:val="00C40035"/>
    <w:rsid w:val="00C401E7"/>
    <w:rsid w:val="00C44BB0"/>
    <w:rsid w:val="00C45BBB"/>
    <w:rsid w:val="00C463DD"/>
    <w:rsid w:val="00C60D93"/>
    <w:rsid w:val="00C61347"/>
    <w:rsid w:val="00C65548"/>
    <w:rsid w:val="00C70809"/>
    <w:rsid w:val="00C745C3"/>
    <w:rsid w:val="00C805A7"/>
    <w:rsid w:val="00C83923"/>
    <w:rsid w:val="00C92C03"/>
    <w:rsid w:val="00CA2221"/>
    <w:rsid w:val="00CA24A4"/>
    <w:rsid w:val="00CA3137"/>
    <w:rsid w:val="00CA44E1"/>
    <w:rsid w:val="00CA4F53"/>
    <w:rsid w:val="00CB1D0B"/>
    <w:rsid w:val="00CB263A"/>
    <w:rsid w:val="00CB348D"/>
    <w:rsid w:val="00CB34BE"/>
    <w:rsid w:val="00CB4FCE"/>
    <w:rsid w:val="00CB5812"/>
    <w:rsid w:val="00CB763D"/>
    <w:rsid w:val="00CC0178"/>
    <w:rsid w:val="00CC1B3A"/>
    <w:rsid w:val="00CD1640"/>
    <w:rsid w:val="00CD2214"/>
    <w:rsid w:val="00CD46F5"/>
    <w:rsid w:val="00CD6598"/>
    <w:rsid w:val="00CD6883"/>
    <w:rsid w:val="00CD6C29"/>
    <w:rsid w:val="00CE2428"/>
    <w:rsid w:val="00CE4A8F"/>
    <w:rsid w:val="00CE52ED"/>
    <w:rsid w:val="00CE7EBE"/>
    <w:rsid w:val="00CF071D"/>
    <w:rsid w:val="00CF116C"/>
    <w:rsid w:val="00CF2546"/>
    <w:rsid w:val="00CF4D69"/>
    <w:rsid w:val="00CF7E60"/>
    <w:rsid w:val="00D00745"/>
    <w:rsid w:val="00D03595"/>
    <w:rsid w:val="00D1157C"/>
    <w:rsid w:val="00D15B04"/>
    <w:rsid w:val="00D170B7"/>
    <w:rsid w:val="00D17298"/>
    <w:rsid w:val="00D177AB"/>
    <w:rsid w:val="00D17925"/>
    <w:rsid w:val="00D2031B"/>
    <w:rsid w:val="00D23EAC"/>
    <w:rsid w:val="00D25EC1"/>
    <w:rsid w:val="00D25FE2"/>
    <w:rsid w:val="00D303C8"/>
    <w:rsid w:val="00D37DA9"/>
    <w:rsid w:val="00D406A7"/>
    <w:rsid w:val="00D417F8"/>
    <w:rsid w:val="00D43252"/>
    <w:rsid w:val="00D44D86"/>
    <w:rsid w:val="00D4540B"/>
    <w:rsid w:val="00D50B7D"/>
    <w:rsid w:val="00D50CAD"/>
    <w:rsid w:val="00D52012"/>
    <w:rsid w:val="00D704E5"/>
    <w:rsid w:val="00D72727"/>
    <w:rsid w:val="00D731DD"/>
    <w:rsid w:val="00D73D7E"/>
    <w:rsid w:val="00D821BD"/>
    <w:rsid w:val="00D857C7"/>
    <w:rsid w:val="00D86426"/>
    <w:rsid w:val="00D871AC"/>
    <w:rsid w:val="00D90395"/>
    <w:rsid w:val="00D90B35"/>
    <w:rsid w:val="00D978C6"/>
    <w:rsid w:val="00DA0956"/>
    <w:rsid w:val="00DA121A"/>
    <w:rsid w:val="00DA2926"/>
    <w:rsid w:val="00DA357F"/>
    <w:rsid w:val="00DA3E12"/>
    <w:rsid w:val="00DA56F3"/>
    <w:rsid w:val="00DB46CF"/>
    <w:rsid w:val="00DB55AA"/>
    <w:rsid w:val="00DB5900"/>
    <w:rsid w:val="00DB66FA"/>
    <w:rsid w:val="00DC0A90"/>
    <w:rsid w:val="00DC18AD"/>
    <w:rsid w:val="00DC36B8"/>
    <w:rsid w:val="00DC584A"/>
    <w:rsid w:val="00DD370D"/>
    <w:rsid w:val="00DD3FE8"/>
    <w:rsid w:val="00DE0CB9"/>
    <w:rsid w:val="00DE1E14"/>
    <w:rsid w:val="00DE2A9D"/>
    <w:rsid w:val="00DE5105"/>
    <w:rsid w:val="00DF1147"/>
    <w:rsid w:val="00DF1A1E"/>
    <w:rsid w:val="00DF3EA4"/>
    <w:rsid w:val="00DF4518"/>
    <w:rsid w:val="00DF5958"/>
    <w:rsid w:val="00DF6A82"/>
    <w:rsid w:val="00DF7CAE"/>
    <w:rsid w:val="00E02011"/>
    <w:rsid w:val="00E1773B"/>
    <w:rsid w:val="00E17E14"/>
    <w:rsid w:val="00E235D2"/>
    <w:rsid w:val="00E324A0"/>
    <w:rsid w:val="00E423C0"/>
    <w:rsid w:val="00E4499E"/>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1D06"/>
    <w:rsid w:val="00E96630"/>
    <w:rsid w:val="00EA5049"/>
    <w:rsid w:val="00EA586A"/>
    <w:rsid w:val="00EA7B12"/>
    <w:rsid w:val="00EB68FA"/>
    <w:rsid w:val="00EC10B9"/>
    <w:rsid w:val="00EC2F8E"/>
    <w:rsid w:val="00ED18DC"/>
    <w:rsid w:val="00ED6201"/>
    <w:rsid w:val="00ED6E09"/>
    <w:rsid w:val="00ED7A2A"/>
    <w:rsid w:val="00EE2D40"/>
    <w:rsid w:val="00EE4832"/>
    <w:rsid w:val="00EF1D7F"/>
    <w:rsid w:val="00EF367C"/>
    <w:rsid w:val="00EF4426"/>
    <w:rsid w:val="00EF7C9E"/>
    <w:rsid w:val="00F0002F"/>
    <w:rsid w:val="00F0137E"/>
    <w:rsid w:val="00F0148F"/>
    <w:rsid w:val="00F1128E"/>
    <w:rsid w:val="00F1376C"/>
    <w:rsid w:val="00F21786"/>
    <w:rsid w:val="00F237F4"/>
    <w:rsid w:val="00F25EAF"/>
    <w:rsid w:val="00F347BC"/>
    <w:rsid w:val="00F3742B"/>
    <w:rsid w:val="00F40CCF"/>
    <w:rsid w:val="00F41FDB"/>
    <w:rsid w:val="00F5337D"/>
    <w:rsid w:val="00F5390C"/>
    <w:rsid w:val="00F55493"/>
    <w:rsid w:val="00F56D63"/>
    <w:rsid w:val="00F609A9"/>
    <w:rsid w:val="00F62770"/>
    <w:rsid w:val="00F632CC"/>
    <w:rsid w:val="00F70E6F"/>
    <w:rsid w:val="00F71DA2"/>
    <w:rsid w:val="00F754D7"/>
    <w:rsid w:val="00F80C99"/>
    <w:rsid w:val="00F867EC"/>
    <w:rsid w:val="00F91B2B"/>
    <w:rsid w:val="00FA06F9"/>
    <w:rsid w:val="00FA3135"/>
    <w:rsid w:val="00FA44F4"/>
    <w:rsid w:val="00FB0A54"/>
    <w:rsid w:val="00FB49C2"/>
    <w:rsid w:val="00FB5ABD"/>
    <w:rsid w:val="00FB6CF1"/>
    <w:rsid w:val="00FC03CD"/>
    <w:rsid w:val="00FC0646"/>
    <w:rsid w:val="00FC0826"/>
    <w:rsid w:val="00FC2FC6"/>
    <w:rsid w:val="00FC6741"/>
    <w:rsid w:val="00FC68B7"/>
    <w:rsid w:val="00FD24D1"/>
    <w:rsid w:val="00FD545E"/>
    <w:rsid w:val="00FD7583"/>
    <w:rsid w:val="00FE00F4"/>
    <w:rsid w:val="00FE1314"/>
    <w:rsid w:val="00FE6985"/>
    <w:rsid w:val="00FF11EB"/>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A0B2DC"/>
  <w15:chartTrackingRefBased/>
  <w15:docId w15:val="{CF980EAF-829C-4BCF-BEA5-AAADC8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uiPriority w:val="99"/>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2.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865</Words>
  <Characters>4933</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INF.10</vt:lpstr>
      <vt:lpstr>INF</vt:lpstr>
      <vt:lpstr>INF</vt:lpstr>
    </vt:vector>
  </TitlesOfParts>
  <Company>UNECE</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INF.10</dc:title>
  <dc:subject/>
  <dc:creator>Berthet</dc:creator>
  <cp:keywords/>
  <cp:lastModifiedBy>Romain Hubert</cp:lastModifiedBy>
  <cp:revision>7</cp:revision>
  <cp:lastPrinted>2023-12-27T15:15:00Z</cp:lastPrinted>
  <dcterms:created xsi:type="dcterms:W3CDTF">2024-02-08T08:56:00Z</dcterms:created>
  <dcterms:modified xsi:type="dcterms:W3CDTF">2024-02-08T11:26:00Z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