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EDC3D" w14:textId="77777777" w:rsidR="008D0C2C" w:rsidRPr="00560572" w:rsidRDefault="008D0C2C" w:rsidP="008D0C2C">
      <w:pPr>
        <w:spacing w:before="120" w:after="0" w:line="240" w:lineRule="atLeast"/>
        <w:rPr>
          <w:b/>
          <w:sz w:val="28"/>
          <w:szCs w:val="28"/>
        </w:rPr>
      </w:pPr>
      <w:r w:rsidRPr="00560572">
        <w:rPr>
          <w:b/>
          <w:sz w:val="28"/>
          <w:szCs w:val="28"/>
        </w:rPr>
        <w:t>Economic Commission for Europe</w:t>
      </w:r>
    </w:p>
    <w:p w14:paraId="56A3FBFB" w14:textId="77777777" w:rsidR="008D0C2C" w:rsidRPr="00560572" w:rsidRDefault="008D0C2C" w:rsidP="008D0C2C">
      <w:pPr>
        <w:spacing w:before="120" w:after="0" w:line="240" w:lineRule="atLeast"/>
        <w:rPr>
          <w:sz w:val="28"/>
          <w:szCs w:val="28"/>
        </w:rPr>
      </w:pPr>
      <w:r w:rsidRPr="00560572">
        <w:rPr>
          <w:sz w:val="28"/>
          <w:szCs w:val="28"/>
        </w:rPr>
        <w:t>Inland Transport Committee</w:t>
      </w:r>
    </w:p>
    <w:p w14:paraId="6C06B4B5" w14:textId="4AF71F86" w:rsidR="008D0C2C" w:rsidRPr="00560572" w:rsidRDefault="008D0C2C" w:rsidP="008D0C2C">
      <w:pPr>
        <w:tabs>
          <w:tab w:val="left" w:pos="7230"/>
        </w:tabs>
        <w:spacing w:before="120" w:after="0" w:line="240" w:lineRule="atLeast"/>
        <w:rPr>
          <w:b/>
          <w:szCs w:val="24"/>
        </w:rPr>
      </w:pPr>
      <w:r w:rsidRPr="00560572">
        <w:rPr>
          <w:b/>
          <w:szCs w:val="24"/>
        </w:rPr>
        <w:t>Working Party on the Transport of Dangerous Goods</w:t>
      </w:r>
      <w:r w:rsidRPr="00560572">
        <w:rPr>
          <w:b/>
          <w:szCs w:val="24"/>
        </w:rPr>
        <w:tab/>
      </w:r>
      <w:r w:rsidRPr="00560572">
        <w:rPr>
          <w:b/>
        </w:rPr>
        <w:tab/>
      </w:r>
      <w:r w:rsidR="007E2DC9">
        <w:rPr>
          <w:b/>
        </w:rPr>
        <w:t>1</w:t>
      </w:r>
      <w:r w:rsidR="00AD2325">
        <w:rPr>
          <w:b/>
        </w:rPr>
        <w:t>9</w:t>
      </w:r>
      <w:r w:rsidR="00501F8B">
        <w:rPr>
          <w:b/>
        </w:rPr>
        <w:t xml:space="preserve"> February</w:t>
      </w:r>
      <w:r w:rsidR="008D1C6F">
        <w:rPr>
          <w:b/>
        </w:rPr>
        <w:t xml:space="preserve"> 202</w:t>
      </w:r>
      <w:r w:rsidR="00501F8B">
        <w:rPr>
          <w:b/>
        </w:rPr>
        <w:t>4</w:t>
      </w:r>
    </w:p>
    <w:p w14:paraId="584F6C81" w14:textId="77777777" w:rsidR="008D0C2C" w:rsidRPr="00560572" w:rsidRDefault="008D0C2C" w:rsidP="008D0C2C">
      <w:pPr>
        <w:spacing w:before="120" w:after="120" w:line="240" w:lineRule="atLeast"/>
        <w:rPr>
          <w:b/>
        </w:rPr>
      </w:pPr>
      <w:r w:rsidRPr="00560572">
        <w:rPr>
          <w:b/>
        </w:rPr>
        <w:t xml:space="preserve">Joint Meeting of the RID Committee of Experts and the </w:t>
      </w:r>
      <w:r w:rsidRPr="00560572">
        <w:rPr>
          <w:b/>
        </w:rPr>
        <w:br/>
        <w:t>Working Party on the Transport of Dangerous Goods</w:t>
      </w:r>
    </w:p>
    <w:p w14:paraId="4BD23C40" w14:textId="2A4AE3AC" w:rsidR="00D46AEE" w:rsidRDefault="00200570" w:rsidP="00D46AEE">
      <w:pPr>
        <w:rPr>
          <w:b/>
        </w:rPr>
      </w:pPr>
      <w:r>
        <w:rPr>
          <w:lang w:val="en-US"/>
        </w:rPr>
        <w:t>Bern</w:t>
      </w:r>
      <w:r w:rsidR="00926D83" w:rsidRPr="002512A4">
        <w:rPr>
          <w:lang w:val="en-US"/>
        </w:rPr>
        <w:t xml:space="preserve">, </w:t>
      </w:r>
      <w:r>
        <w:rPr>
          <w:lang w:val="en-US"/>
        </w:rPr>
        <w:t>2</w:t>
      </w:r>
      <w:r w:rsidR="002924BB">
        <w:rPr>
          <w:lang w:val="en-US"/>
        </w:rPr>
        <w:t>5</w:t>
      </w:r>
      <w:r>
        <w:rPr>
          <w:lang w:val="en-US"/>
        </w:rPr>
        <w:t>-2</w:t>
      </w:r>
      <w:r w:rsidR="002924BB">
        <w:rPr>
          <w:lang w:val="en-US"/>
        </w:rPr>
        <w:t>8</w:t>
      </w:r>
      <w:r>
        <w:rPr>
          <w:lang w:val="en-US"/>
        </w:rPr>
        <w:t xml:space="preserve"> March 202</w:t>
      </w:r>
      <w:r w:rsidR="002924BB">
        <w:rPr>
          <w:lang w:val="en-US"/>
        </w:rPr>
        <w:t>4</w:t>
      </w:r>
      <w:r w:rsidR="008D0C2C">
        <w:br/>
      </w:r>
      <w:r w:rsidR="007C01A9" w:rsidRPr="0028203C">
        <w:t xml:space="preserve">Item </w:t>
      </w:r>
      <w:r w:rsidR="004C4C1F">
        <w:t>3</w:t>
      </w:r>
      <w:r w:rsidR="007A3557" w:rsidRPr="0028203C">
        <w:t xml:space="preserve"> </w:t>
      </w:r>
      <w:r w:rsidR="007C01A9" w:rsidRPr="0028203C">
        <w:t>of the provisional agenda:</w:t>
      </w:r>
      <w:r w:rsidR="007C01A9" w:rsidRPr="00560572">
        <w:br/>
      </w:r>
      <w:r w:rsidR="00981212">
        <w:rPr>
          <w:b/>
        </w:rPr>
        <w:t>Standards</w:t>
      </w:r>
    </w:p>
    <w:p w14:paraId="57719D21" w14:textId="77777777" w:rsidR="0064199F" w:rsidRPr="00104A1E" w:rsidRDefault="00981212" w:rsidP="0064199F">
      <w:pPr>
        <w:pStyle w:val="HChG"/>
        <w:outlineLvl w:val="0"/>
      </w:pPr>
      <w:r>
        <w:tab/>
      </w:r>
      <w:r>
        <w:tab/>
      </w:r>
      <w:r w:rsidR="0064199F" w:rsidRPr="004562C3">
        <w:t>Report of the Working Group on Standards</w:t>
      </w:r>
    </w:p>
    <w:p w14:paraId="3CA5E95C" w14:textId="77777777" w:rsidR="0064199F" w:rsidRDefault="0064199F" w:rsidP="0064199F">
      <w:pPr>
        <w:pStyle w:val="H1G"/>
      </w:pPr>
      <w:r w:rsidRPr="00104A1E">
        <w:tab/>
      </w:r>
      <w:r w:rsidRPr="00104A1E">
        <w:tab/>
        <w:t>Transmitted by the European Committee for Standardisation (CEN)</w:t>
      </w:r>
    </w:p>
    <w:p w14:paraId="5604E093" w14:textId="52D9B26E" w:rsidR="007A571F" w:rsidRPr="007A571F" w:rsidRDefault="00557DCF" w:rsidP="007A571F">
      <w:pPr>
        <w:pStyle w:val="HChG"/>
      </w:pPr>
      <w:r>
        <w:tab/>
      </w:r>
      <w:r>
        <w:tab/>
        <w:t>Introduction</w:t>
      </w:r>
    </w:p>
    <w:p w14:paraId="43F63741" w14:textId="30973C5E" w:rsidR="0064199F" w:rsidRPr="00FF1935" w:rsidRDefault="00F72C40" w:rsidP="00F72C40">
      <w:pPr>
        <w:pStyle w:val="SingleTxtG"/>
      </w:pPr>
      <w:r>
        <w:tab/>
      </w:r>
      <w:r w:rsidR="0064199F" w:rsidRPr="00EF1F00">
        <w:t>1.</w:t>
      </w:r>
      <w:r w:rsidR="0064199F" w:rsidRPr="00EF1F00">
        <w:tab/>
      </w:r>
      <w:r w:rsidR="0064199F" w:rsidRPr="004562C3">
        <w:t xml:space="preserve">The Working Group </w:t>
      </w:r>
      <w:r w:rsidR="0064199F" w:rsidRPr="00557DCF">
        <w:t>on</w:t>
      </w:r>
      <w:r w:rsidR="0064199F" w:rsidRPr="004562C3">
        <w:t xml:space="preserve"> Standards held a virtual meeting on </w:t>
      </w:r>
      <w:r w:rsidR="0064199F">
        <w:t>1</w:t>
      </w:r>
      <w:r w:rsidR="0064199F" w:rsidRPr="004562C3">
        <w:t xml:space="preserve"> </w:t>
      </w:r>
      <w:r w:rsidR="0064199F">
        <w:t>February</w:t>
      </w:r>
      <w:r w:rsidR="0064199F" w:rsidRPr="004562C3">
        <w:t xml:space="preserve"> 202</w:t>
      </w:r>
      <w:r w:rsidR="0064199F">
        <w:t>4</w:t>
      </w:r>
      <w:r w:rsidR="0064199F" w:rsidRPr="004562C3">
        <w:t xml:space="preserve"> when it reviewed the standards listed in document ECE/TRANS/WP.15/AC.1/202</w:t>
      </w:r>
      <w:r w:rsidR="0064199F">
        <w:t>4</w:t>
      </w:r>
      <w:r w:rsidR="0064199F" w:rsidRPr="004562C3">
        <w:t>/</w:t>
      </w:r>
      <w:r w:rsidR="0064199F">
        <w:t>9</w:t>
      </w:r>
      <w:r w:rsidR="002E2AF2">
        <w:t>.</w:t>
      </w:r>
      <w:r w:rsidR="0064199F">
        <w:t xml:space="preserve"> </w:t>
      </w:r>
      <w:r w:rsidR="008501FB">
        <w:t xml:space="preserve">Standards </w:t>
      </w:r>
      <w:r w:rsidR="0064199F" w:rsidRPr="00014F3E">
        <w:t>EN</w:t>
      </w:r>
      <w:r w:rsidR="0039424F">
        <w:t> </w:t>
      </w:r>
      <w:r w:rsidR="0064199F" w:rsidRPr="00014F3E">
        <w:t>ISO 10297:[2024]</w:t>
      </w:r>
      <w:r w:rsidR="0064199F">
        <w:t xml:space="preserve"> </w:t>
      </w:r>
      <w:r w:rsidR="0064199F" w:rsidRPr="0085290E">
        <w:rPr>
          <w:i/>
          <w:iCs/>
        </w:rPr>
        <w:t>Gas cylinders – Cylinder valves – Specification and type testing</w:t>
      </w:r>
      <w:r w:rsidR="0064199F">
        <w:rPr>
          <w:i/>
          <w:iCs/>
        </w:rPr>
        <w:t xml:space="preserve"> </w:t>
      </w:r>
      <w:r w:rsidR="0064199F">
        <w:t>and EN</w:t>
      </w:r>
      <w:r w:rsidR="0064199F" w:rsidRPr="004668E5">
        <w:t xml:space="preserve"> 13322-1:[2024]</w:t>
      </w:r>
      <w:r w:rsidR="0064199F">
        <w:t xml:space="preserve"> </w:t>
      </w:r>
      <w:r w:rsidR="0064199F" w:rsidRPr="00FF1935">
        <w:rPr>
          <w:i/>
          <w:iCs/>
        </w:rPr>
        <w:t>Transportable gas cylinders – Refillable welded steel gas cylinders – Design and construction – Part 1: Welded steel</w:t>
      </w:r>
      <w:r w:rsidR="0064199F">
        <w:rPr>
          <w:i/>
          <w:iCs/>
        </w:rPr>
        <w:t xml:space="preserve"> </w:t>
      </w:r>
      <w:r w:rsidR="0064199F">
        <w:t xml:space="preserve">were not included in </w:t>
      </w:r>
      <w:r w:rsidR="00684CDE">
        <w:t xml:space="preserve">document </w:t>
      </w:r>
      <w:r w:rsidR="0064199F" w:rsidRPr="009C0DB2">
        <w:t>ECE/TRANS/WP.15/AC.1/2024/9</w:t>
      </w:r>
      <w:r w:rsidR="0064199F">
        <w:t xml:space="preserve">. These two standards have been assessed by the </w:t>
      </w:r>
      <w:r w:rsidR="0064199F" w:rsidRPr="00027073">
        <w:t xml:space="preserve">Joint Meeting </w:t>
      </w:r>
      <w:r w:rsidR="0039424F">
        <w:t>s</w:t>
      </w:r>
      <w:r w:rsidR="0064199F" w:rsidRPr="00027073">
        <w:t xml:space="preserve">tandards </w:t>
      </w:r>
      <w:r w:rsidR="0039424F">
        <w:t>a</w:t>
      </w:r>
      <w:r w:rsidR="0064199F" w:rsidRPr="00027073">
        <w:t>dvisor</w:t>
      </w:r>
      <w:r w:rsidR="0064199F">
        <w:t xml:space="preserve"> and found to be </w:t>
      </w:r>
      <w:r w:rsidR="0064199F" w:rsidRPr="00D40A26">
        <w:t>suitable for referencing in the RID/ADR</w:t>
      </w:r>
      <w:r w:rsidR="0064199F">
        <w:t xml:space="preserve"> and are included in this </w:t>
      </w:r>
      <w:r w:rsidR="00610DFE">
        <w:t>document</w:t>
      </w:r>
      <w:r w:rsidR="0064199F" w:rsidRPr="00D40A26">
        <w:t>.</w:t>
      </w:r>
    </w:p>
    <w:p w14:paraId="57B2815E" w14:textId="2F3276BB" w:rsidR="0064199F" w:rsidRPr="004562C3" w:rsidRDefault="0064199F" w:rsidP="0064199F">
      <w:pPr>
        <w:pStyle w:val="H23G"/>
      </w:pPr>
      <w:r>
        <w:tab/>
        <w:t>2.</w:t>
      </w:r>
      <w:r>
        <w:tab/>
      </w:r>
      <w:r w:rsidRPr="004562C3">
        <w:t>Results</w:t>
      </w:r>
    </w:p>
    <w:p w14:paraId="7619DB4C" w14:textId="042C79D9" w:rsidR="0064199F" w:rsidRPr="004562C3" w:rsidRDefault="0064199F" w:rsidP="00362587">
      <w:pPr>
        <w:pStyle w:val="SingleTxtG"/>
      </w:pPr>
      <w:r w:rsidRPr="00EF1F00">
        <w:t>2.1</w:t>
      </w:r>
      <w:r w:rsidRPr="004562C3">
        <w:tab/>
        <w:t xml:space="preserve">The </w:t>
      </w:r>
      <w:r w:rsidRPr="00362587">
        <w:t>proposals</w:t>
      </w:r>
      <w:r w:rsidRPr="004562C3">
        <w:t xml:space="preserve"> in part 3 </w:t>
      </w:r>
      <w:r>
        <w:t>below</w:t>
      </w:r>
      <w:r w:rsidRPr="004562C3">
        <w:t xml:space="preserve"> are made based on </w:t>
      </w:r>
      <w:r w:rsidR="0017602B">
        <w:t xml:space="preserve">document </w:t>
      </w:r>
      <w:r w:rsidRPr="00462F9A">
        <w:t xml:space="preserve">ECE/TRANS/WP.15/AC.1/2024/9 </w:t>
      </w:r>
      <w:r w:rsidR="0007177C">
        <w:t>–</w:t>
      </w:r>
      <w:r w:rsidRPr="00462F9A">
        <w:t xml:space="preserve"> Information on work of the Working Group on Standards</w:t>
      </w:r>
      <w:r>
        <w:t xml:space="preserve"> and the two standards referenced above.</w:t>
      </w:r>
    </w:p>
    <w:p w14:paraId="58FEDEE1" w14:textId="77777777" w:rsidR="0064199F" w:rsidRPr="00621288" w:rsidRDefault="0064199F" w:rsidP="00362587">
      <w:pPr>
        <w:pStyle w:val="SingleTxtG"/>
      </w:pPr>
      <w:r w:rsidRPr="004562C3">
        <w:t>2.</w:t>
      </w:r>
      <w:r w:rsidRPr="00B679F5">
        <w:t>2</w:t>
      </w:r>
      <w:r w:rsidRPr="00B679F5">
        <w:tab/>
      </w:r>
      <w:r w:rsidRPr="00621288">
        <w:t xml:space="preserve">Four </w:t>
      </w:r>
      <w:r w:rsidRPr="00362587">
        <w:t>replacement</w:t>
      </w:r>
      <w:r w:rsidRPr="00621288">
        <w:t xml:space="preserve"> standards are proposed for referencing. Standards not yet published show their dates in square brackets.</w:t>
      </w:r>
    </w:p>
    <w:p w14:paraId="44B949B6" w14:textId="283E0B3A" w:rsidR="0064199F" w:rsidRPr="004562C3" w:rsidRDefault="0064199F" w:rsidP="00362587">
      <w:pPr>
        <w:pStyle w:val="SingleTxtG"/>
      </w:pPr>
      <w:r>
        <w:t>2.3</w:t>
      </w:r>
      <w:r>
        <w:tab/>
        <w:t xml:space="preserve">prEN ISO 11118 </w:t>
      </w:r>
      <w:r w:rsidRPr="00955D53">
        <w:rPr>
          <w:i/>
          <w:iCs/>
        </w:rPr>
        <w:t xml:space="preserve">Gas cylinders </w:t>
      </w:r>
      <w:r w:rsidR="00446C61">
        <w:t>–</w:t>
      </w:r>
      <w:r w:rsidRPr="00955D53">
        <w:rPr>
          <w:i/>
          <w:iCs/>
        </w:rPr>
        <w:t xml:space="preserve"> Non-refillable metallic gas cylinders</w:t>
      </w:r>
      <w:r>
        <w:t xml:space="preserve"> </w:t>
      </w:r>
      <w:r w:rsidRPr="009F6034">
        <w:rPr>
          <w:i/>
          <w:iCs/>
        </w:rPr>
        <w:t xml:space="preserve">– Specification and test methods </w:t>
      </w:r>
      <w:r>
        <w:t xml:space="preserve">was assessed. A concern was raised about the marking requirements in the standard that whilst they permit national or regional variations, the standard is not in full compliance with the regulations. The amount of space to apply marks to a small cylinder is limited. Consequently, it was agreed that the chair would approach industry associations including ECMA, Liquid Gas Europe and EIGA about preparing a proposal to amend the </w:t>
      </w:r>
      <w:r w:rsidRPr="00391A73">
        <w:rPr>
          <w:i/>
          <w:iCs/>
        </w:rPr>
        <w:t>Model Regulations</w:t>
      </w:r>
      <w:r>
        <w:t xml:space="preserve"> for the marks on small cylinders. In any case</w:t>
      </w:r>
      <w:r w:rsidR="005106A5">
        <w:t>,</w:t>
      </w:r>
      <w:r>
        <w:t xml:space="preserve"> the standard will not be published in time for inclusion in the 2025 edition of the RID/ADR.</w:t>
      </w:r>
    </w:p>
    <w:p w14:paraId="523308B2" w14:textId="546FC87A" w:rsidR="00046B3F" w:rsidRPr="007A571F" w:rsidRDefault="00046B3F" w:rsidP="00046B3F">
      <w:pPr>
        <w:pStyle w:val="HChG"/>
      </w:pPr>
      <w:r>
        <w:tab/>
      </w:r>
      <w:r>
        <w:tab/>
        <w:t>Propos</w:t>
      </w:r>
      <w:r w:rsidR="0051387F">
        <w:t>als</w:t>
      </w:r>
    </w:p>
    <w:p w14:paraId="134D9B25" w14:textId="103101BA" w:rsidR="0064199F" w:rsidRPr="00583FD1" w:rsidRDefault="00362587" w:rsidP="00362587">
      <w:pPr>
        <w:pStyle w:val="H23G"/>
      </w:pPr>
      <w:r>
        <w:tab/>
      </w:r>
      <w:r w:rsidR="0064199F" w:rsidRPr="00224852">
        <w:t>3.</w:t>
      </w:r>
      <w:r w:rsidR="0064199F" w:rsidRPr="00224852">
        <w:tab/>
        <w:t>Proposed additions to the list of standards for reference in RID/ADR 2025</w:t>
      </w:r>
    </w:p>
    <w:p w14:paraId="23458D9F" w14:textId="07906B01" w:rsidR="0064199F" w:rsidRPr="003453FC" w:rsidRDefault="00362587" w:rsidP="00B81B62">
      <w:pPr>
        <w:pStyle w:val="H23G"/>
      </w:pPr>
      <w:r>
        <w:tab/>
      </w:r>
      <w:r w:rsidR="0064199F" w:rsidRPr="003453FC">
        <w:t>3.</w:t>
      </w:r>
      <w:r w:rsidR="0064199F">
        <w:t>1</w:t>
      </w:r>
      <w:r w:rsidR="0064199F">
        <w:tab/>
      </w:r>
      <w:r w:rsidR="0064199F" w:rsidRPr="003453FC">
        <w:t xml:space="preserve">Draft </w:t>
      </w:r>
      <w:r w:rsidR="0064199F" w:rsidRPr="00B81B62">
        <w:t>amendment</w:t>
      </w:r>
      <w:r w:rsidR="0064199F" w:rsidRPr="003453FC">
        <w:t xml:space="preserve"> relating to standard </w:t>
      </w:r>
      <w:r w:rsidR="0064199F" w:rsidRPr="00AE2F58">
        <w:t>EN ISO</w:t>
      </w:r>
      <w:r w:rsidR="0064199F">
        <w:t xml:space="preserve"> </w:t>
      </w:r>
      <w:r w:rsidR="0064199F" w:rsidRPr="00AE2F58">
        <w:t>17871:2020</w:t>
      </w:r>
      <w:r w:rsidR="0064199F">
        <w:t xml:space="preserve"> + A1:[2024]</w:t>
      </w:r>
    </w:p>
    <w:p w14:paraId="3E56C290" w14:textId="6A1578B4" w:rsidR="0064199F" w:rsidRPr="001F6093" w:rsidRDefault="0064199F" w:rsidP="00362587">
      <w:pPr>
        <w:pStyle w:val="SingleTxtG"/>
      </w:pPr>
      <w:r w:rsidRPr="001F6093">
        <w:t>6.</w:t>
      </w:r>
      <w:r>
        <w:t>2.4.1</w:t>
      </w:r>
      <w:r w:rsidR="006E361F">
        <w:tab/>
      </w:r>
      <w:r w:rsidR="006E361F">
        <w:tab/>
      </w:r>
      <w:r w:rsidRPr="001F6093">
        <w:t>Amend the table</w:t>
      </w:r>
      <w:r>
        <w:t xml:space="preserve"> </w:t>
      </w:r>
      <w:r w:rsidRPr="00AF24AC">
        <w:rPr>
          <w:i/>
          <w:iCs/>
        </w:rPr>
        <w:t xml:space="preserve">for design and construction of closures </w:t>
      </w:r>
      <w:r w:rsidRPr="00963CBD">
        <w:t>as follows:</w:t>
      </w:r>
    </w:p>
    <w:p w14:paraId="2172D1D3" w14:textId="2AF52E38" w:rsidR="0064199F" w:rsidRPr="00825381" w:rsidRDefault="0064199F" w:rsidP="00362587">
      <w:pPr>
        <w:pStyle w:val="SingleTxtG"/>
      </w:pPr>
      <w:bookmarkStart w:id="0" w:name="_Hlk126658302"/>
      <w:r w:rsidRPr="00825381">
        <w:lastRenderedPageBreak/>
        <w:t xml:space="preserve">For </w:t>
      </w:r>
      <w:r>
        <w:t xml:space="preserve">EN </w:t>
      </w:r>
      <w:r w:rsidRPr="00362587">
        <w:t>ISO</w:t>
      </w:r>
      <w:r>
        <w:t xml:space="preserve"> 17871:2020 </w:t>
      </w:r>
      <w:r w:rsidRPr="00825381">
        <w:t>in column (4) replace “Until further notice” by “</w:t>
      </w:r>
      <w:r>
        <w:t xml:space="preserve">Between 1 January 2023 </w:t>
      </w:r>
      <w:r w:rsidR="005F344C">
        <w:t>and</w:t>
      </w:r>
      <w:r>
        <w:t xml:space="preserve"> </w:t>
      </w:r>
      <w:r w:rsidRPr="00825381">
        <w:t xml:space="preserve">31 </w:t>
      </w:r>
      <w:r w:rsidRPr="00DC4252">
        <w:t>December 20</w:t>
      </w:r>
      <w:r>
        <w:t>26</w:t>
      </w:r>
      <w:r w:rsidRPr="00DC4252">
        <w:t>”. After the row</w:t>
      </w:r>
      <w:r w:rsidRPr="00825381">
        <w:t xml:space="preserve"> for “</w:t>
      </w:r>
      <w:r w:rsidRPr="00843272">
        <w:t>EN ISO 17871:2020</w:t>
      </w:r>
      <w:r w:rsidRPr="00825381">
        <w:t>” insert the following new row:</w:t>
      </w:r>
    </w:p>
    <w:tbl>
      <w:tblPr>
        <w:tblStyle w:val="TableGrid"/>
        <w:tblW w:w="7370" w:type="dxa"/>
        <w:tblInd w:w="1134" w:type="dxa"/>
        <w:tblLook w:val="04A0" w:firstRow="1" w:lastRow="0" w:firstColumn="1" w:lastColumn="0" w:noHBand="0" w:noVBand="1"/>
      </w:tblPr>
      <w:tblGrid>
        <w:gridCol w:w="1373"/>
        <w:gridCol w:w="3951"/>
        <w:gridCol w:w="827"/>
        <w:gridCol w:w="1219"/>
      </w:tblGrid>
      <w:tr w:rsidR="0064199F" w14:paraId="36C6B607" w14:textId="77777777" w:rsidTr="00E568D4">
        <w:tc>
          <w:tcPr>
            <w:tcW w:w="1418" w:type="dxa"/>
          </w:tcPr>
          <w:bookmarkEnd w:id="0"/>
          <w:p w14:paraId="4CE85861" w14:textId="494109F0" w:rsidR="0064199F" w:rsidRPr="00825381" w:rsidRDefault="0064199F" w:rsidP="00E568D4">
            <w:pPr>
              <w:spacing w:after="120"/>
              <w:jc w:val="center"/>
            </w:pPr>
            <w:r w:rsidRPr="00843272">
              <w:t xml:space="preserve">EN ISO 17871:2020 </w:t>
            </w:r>
            <w:r>
              <w:t xml:space="preserve">+ </w:t>
            </w:r>
            <w:r w:rsidRPr="00843272">
              <w:t>A1</w:t>
            </w:r>
            <w:r>
              <w:t>:[</w:t>
            </w:r>
            <w:r w:rsidRPr="00843272">
              <w:t>202</w:t>
            </w:r>
            <w:r>
              <w:t>4</w:t>
            </w:r>
            <w:r w:rsidRPr="00843272">
              <w:t>]</w:t>
            </w:r>
          </w:p>
        </w:tc>
        <w:tc>
          <w:tcPr>
            <w:tcW w:w="4252" w:type="dxa"/>
          </w:tcPr>
          <w:p w14:paraId="08935B15" w14:textId="77777777" w:rsidR="0064199F" w:rsidRDefault="0064199F" w:rsidP="00E568D4">
            <w:pPr>
              <w:spacing w:after="0"/>
              <w:ind w:left="135" w:right="-3"/>
            </w:pPr>
            <w:r>
              <w:t>Gas cylinders – Quick-release cylinder</w:t>
            </w:r>
          </w:p>
          <w:p w14:paraId="1819DFF1" w14:textId="77777777" w:rsidR="0064199F" w:rsidRPr="00825381" w:rsidRDefault="0064199F" w:rsidP="00E568D4">
            <w:pPr>
              <w:spacing w:after="120"/>
              <w:ind w:left="135" w:right="-3"/>
            </w:pPr>
            <w:r>
              <w:t>valves – Specification and type testing</w:t>
            </w:r>
          </w:p>
        </w:tc>
        <w:tc>
          <w:tcPr>
            <w:tcW w:w="851" w:type="dxa"/>
          </w:tcPr>
          <w:p w14:paraId="33B0D394" w14:textId="77777777" w:rsidR="0064199F" w:rsidRPr="00825381" w:rsidRDefault="0064199F" w:rsidP="00E568D4">
            <w:pPr>
              <w:jc w:val="center"/>
            </w:pPr>
            <w:r>
              <w:t>6.2.3.1, 6.2.3.3 and 6.2.3.4</w:t>
            </w:r>
          </w:p>
        </w:tc>
        <w:tc>
          <w:tcPr>
            <w:tcW w:w="1276" w:type="dxa"/>
          </w:tcPr>
          <w:p w14:paraId="21B1A2FE" w14:textId="77777777" w:rsidR="0064199F" w:rsidRDefault="0064199F" w:rsidP="00E568D4">
            <w:pPr>
              <w:ind w:left="141"/>
            </w:pPr>
            <w:r w:rsidRPr="00825381">
              <w:t>Until further notice</w:t>
            </w:r>
          </w:p>
        </w:tc>
      </w:tr>
    </w:tbl>
    <w:p w14:paraId="4E57CF3D" w14:textId="77777777" w:rsidR="00362587" w:rsidRDefault="00362587" w:rsidP="0064199F">
      <w:pPr>
        <w:pStyle w:val="SingleTxtG"/>
        <w:ind w:left="1494"/>
        <w:rPr>
          <w:b/>
          <w:bCs/>
        </w:rPr>
      </w:pPr>
    </w:p>
    <w:p w14:paraId="7D9B2D32" w14:textId="21BC395A" w:rsidR="0064199F" w:rsidRPr="003453FC" w:rsidRDefault="00362587" w:rsidP="00362587">
      <w:pPr>
        <w:pStyle w:val="H23G"/>
      </w:pPr>
      <w:r>
        <w:tab/>
      </w:r>
      <w:r w:rsidR="0064199F" w:rsidRPr="003453FC">
        <w:t>3.</w:t>
      </w:r>
      <w:r w:rsidR="0064199F">
        <w:t>2</w:t>
      </w:r>
      <w:r w:rsidR="0064199F" w:rsidRPr="003453FC">
        <w:tab/>
        <w:t xml:space="preserve">Draft amendment relating to standard EN ISO </w:t>
      </w:r>
      <w:r w:rsidR="0064199F">
        <w:t>10297</w:t>
      </w:r>
      <w:r w:rsidR="0064199F" w:rsidRPr="003453FC">
        <w:t>:</w:t>
      </w:r>
      <w:r w:rsidR="0064199F">
        <w:t>[</w:t>
      </w:r>
      <w:r w:rsidR="0064199F" w:rsidRPr="003453FC">
        <w:t>202</w:t>
      </w:r>
      <w:r w:rsidR="0064199F">
        <w:t>4]</w:t>
      </w:r>
    </w:p>
    <w:p w14:paraId="4521D20C" w14:textId="77777777" w:rsidR="0064199F" w:rsidRDefault="0064199F" w:rsidP="00362587">
      <w:pPr>
        <w:pStyle w:val="SingleTxtG"/>
      </w:pPr>
      <w:r>
        <w:t xml:space="preserve">Amend </w:t>
      </w:r>
      <w:r w:rsidRPr="0066647B">
        <w:t>Table 4.1.6.15.1: Standards for UN and non-UN pressure recept</w:t>
      </w:r>
      <w:r>
        <w:t xml:space="preserve">acles </w:t>
      </w:r>
      <w:r w:rsidRPr="001F6093">
        <w:t>as follows</w:t>
      </w:r>
      <w:r>
        <w:t xml:space="preserve">, </w:t>
      </w:r>
      <w:r w:rsidRPr="00DA28A6">
        <w:rPr>
          <w:u w:val="single"/>
        </w:rPr>
        <w:t>new text underlined:</w:t>
      </w:r>
    </w:p>
    <w:tbl>
      <w:tblPr>
        <w:tblStyle w:val="TableGrid"/>
        <w:tblW w:w="0" w:type="auto"/>
        <w:tblInd w:w="1129" w:type="dxa"/>
        <w:tblLook w:val="04A0" w:firstRow="1" w:lastRow="0" w:firstColumn="1" w:lastColumn="0" w:noHBand="0" w:noVBand="1"/>
      </w:tblPr>
      <w:tblGrid>
        <w:gridCol w:w="2136"/>
        <w:gridCol w:w="3393"/>
        <w:gridCol w:w="1989"/>
      </w:tblGrid>
      <w:tr w:rsidR="0064199F" w14:paraId="3BFC602C" w14:textId="77777777" w:rsidTr="00E568D4">
        <w:tc>
          <w:tcPr>
            <w:tcW w:w="2136" w:type="dxa"/>
          </w:tcPr>
          <w:p w14:paraId="3D83FA64" w14:textId="77777777" w:rsidR="0064199F" w:rsidRPr="00D53FF6" w:rsidRDefault="0064199F" w:rsidP="00E568D4">
            <w:pPr>
              <w:pStyle w:val="SingleTxtG"/>
              <w:ind w:left="0"/>
              <w:rPr>
                <w:b/>
                <w:bCs/>
              </w:rPr>
            </w:pPr>
            <w:r w:rsidRPr="00D53FF6">
              <w:rPr>
                <w:b/>
                <w:bCs/>
              </w:rPr>
              <w:t>Applicable paragraphs</w:t>
            </w:r>
          </w:p>
        </w:tc>
        <w:tc>
          <w:tcPr>
            <w:tcW w:w="3393" w:type="dxa"/>
          </w:tcPr>
          <w:p w14:paraId="0B29949D" w14:textId="77777777" w:rsidR="0064199F" w:rsidRPr="00D53FF6" w:rsidRDefault="0064199F" w:rsidP="00E568D4">
            <w:pPr>
              <w:pStyle w:val="SingleTxtG"/>
              <w:ind w:left="0"/>
              <w:rPr>
                <w:b/>
                <w:bCs/>
              </w:rPr>
            </w:pPr>
            <w:r w:rsidRPr="00D53FF6">
              <w:rPr>
                <w:b/>
                <w:bCs/>
              </w:rPr>
              <w:t>Reference</w:t>
            </w:r>
          </w:p>
        </w:tc>
        <w:tc>
          <w:tcPr>
            <w:tcW w:w="1984" w:type="dxa"/>
          </w:tcPr>
          <w:p w14:paraId="55370D0C" w14:textId="77777777" w:rsidR="0064199F" w:rsidRPr="00D53FF6" w:rsidRDefault="0064199F" w:rsidP="00E568D4">
            <w:pPr>
              <w:pStyle w:val="SingleTxtG"/>
              <w:ind w:left="0"/>
              <w:jc w:val="left"/>
              <w:rPr>
                <w:b/>
                <w:bCs/>
              </w:rPr>
            </w:pPr>
            <w:r w:rsidRPr="00D53FF6">
              <w:rPr>
                <w:b/>
                <w:bCs/>
              </w:rPr>
              <w:t>Title of document</w:t>
            </w:r>
          </w:p>
        </w:tc>
      </w:tr>
      <w:tr w:rsidR="0064199F" w14:paraId="6CADAEB9" w14:textId="77777777" w:rsidTr="00E568D4">
        <w:tc>
          <w:tcPr>
            <w:tcW w:w="2136" w:type="dxa"/>
          </w:tcPr>
          <w:p w14:paraId="5C025784" w14:textId="77777777" w:rsidR="0064199F" w:rsidRDefault="0064199F" w:rsidP="00E568D4">
            <w:pPr>
              <w:pStyle w:val="SingleTxtG"/>
              <w:spacing w:after="0"/>
              <w:ind w:left="62" w:right="276" w:hanging="62"/>
            </w:pPr>
            <w:r>
              <w:t>4.1.6.8</w:t>
            </w:r>
          </w:p>
          <w:p w14:paraId="60E4537E" w14:textId="77777777" w:rsidR="0064199F" w:rsidRDefault="0064199F" w:rsidP="00E568D4">
            <w:pPr>
              <w:pStyle w:val="SingleTxtG"/>
              <w:spacing w:after="0"/>
              <w:ind w:left="62" w:right="276" w:hanging="62"/>
            </w:pPr>
            <w:r>
              <w:t>Valves with</w:t>
            </w:r>
          </w:p>
          <w:p w14:paraId="3264023C" w14:textId="77777777" w:rsidR="0064199F" w:rsidRDefault="0064199F" w:rsidP="00E568D4">
            <w:pPr>
              <w:pStyle w:val="SingleTxtG"/>
              <w:ind w:left="62" w:right="276" w:hanging="62"/>
            </w:pPr>
            <w:r>
              <w:t>inherent protection</w:t>
            </w:r>
          </w:p>
        </w:tc>
        <w:tc>
          <w:tcPr>
            <w:tcW w:w="3393" w:type="dxa"/>
          </w:tcPr>
          <w:p w14:paraId="41B67C22" w14:textId="77777777" w:rsidR="0064199F" w:rsidRDefault="0064199F" w:rsidP="00E568D4">
            <w:pPr>
              <w:autoSpaceDE w:val="0"/>
              <w:autoSpaceDN w:val="0"/>
              <w:adjustRightInd w:val="0"/>
              <w:spacing w:after="0"/>
              <w:rPr>
                <w:rFonts w:ascii="TimesNewRomanPSMT" w:hAnsi="TimesNewRomanPSMT" w:cs="TimesNewRomanPSMT"/>
              </w:rPr>
            </w:pPr>
            <w:r>
              <w:rPr>
                <w:rFonts w:ascii="TimesNewRomanPSMT" w:hAnsi="TimesNewRomanPSMT" w:cs="TimesNewRomanPSMT"/>
              </w:rPr>
              <w:t>Clause 4.6.2 of EN ISO</w:t>
            </w:r>
          </w:p>
          <w:p w14:paraId="10C4F102" w14:textId="77777777" w:rsidR="0064199F" w:rsidRDefault="0064199F" w:rsidP="00E568D4">
            <w:pPr>
              <w:autoSpaceDE w:val="0"/>
              <w:autoSpaceDN w:val="0"/>
              <w:adjustRightInd w:val="0"/>
              <w:spacing w:after="0"/>
              <w:rPr>
                <w:rFonts w:ascii="TimesNewRomanPSMT" w:hAnsi="TimesNewRomanPSMT" w:cs="TimesNewRomanPSMT"/>
              </w:rPr>
            </w:pPr>
            <w:r>
              <w:rPr>
                <w:rFonts w:ascii="TimesNewRomanPSMT" w:hAnsi="TimesNewRomanPSMT" w:cs="TimesNewRomanPSMT"/>
              </w:rPr>
              <w:t>10297:2006 or clause</w:t>
            </w:r>
          </w:p>
          <w:p w14:paraId="6E5E863B" w14:textId="77777777" w:rsidR="0064199F" w:rsidRDefault="0064199F" w:rsidP="00E568D4">
            <w:pPr>
              <w:autoSpaceDE w:val="0"/>
              <w:autoSpaceDN w:val="0"/>
              <w:adjustRightInd w:val="0"/>
              <w:spacing w:after="0"/>
              <w:rPr>
                <w:rFonts w:ascii="TimesNewRomanPSMT" w:hAnsi="TimesNewRomanPSMT" w:cs="TimesNewRomanPSMT"/>
              </w:rPr>
            </w:pPr>
            <w:r>
              <w:rPr>
                <w:rFonts w:ascii="TimesNewRomanPSMT" w:hAnsi="TimesNewRomanPSMT" w:cs="TimesNewRomanPSMT"/>
              </w:rPr>
              <w:t>5.5.2 of EN ISO 10297:2014 or clause</w:t>
            </w:r>
          </w:p>
          <w:p w14:paraId="3B508197" w14:textId="77777777" w:rsidR="0064199F" w:rsidRDefault="0064199F" w:rsidP="00E568D4">
            <w:pPr>
              <w:autoSpaceDE w:val="0"/>
              <w:autoSpaceDN w:val="0"/>
              <w:adjustRightInd w:val="0"/>
              <w:spacing w:after="0"/>
              <w:rPr>
                <w:rFonts w:ascii="TimesNewRomanPSMT" w:hAnsi="TimesNewRomanPSMT" w:cs="TimesNewRomanPSMT"/>
              </w:rPr>
            </w:pPr>
            <w:r>
              <w:rPr>
                <w:rFonts w:ascii="TimesNewRomanPSMT" w:hAnsi="TimesNewRomanPSMT" w:cs="TimesNewRomanPSMT"/>
              </w:rPr>
              <w:t>5.5.2 of EN ISO 10297:2014 + A1:2017</w:t>
            </w:r>
          </w:p>
          <w:p w14:paraId="1A8856F3" w14:textId="16DE7A9B" w:rsidR="0064199F" w:rsidRPr="00D53FF6" w:rsidRDefault="0064199F" w:rsidP="00E568D4">
            <w:pPr>
              <w:autoSpaceDE w:val="0"/>
              <w:autoSpaceDN w:val="0"/>
              <w:adjustRightInd w:val="0"/>
              <w:spacing w:after="0"/>
              <w:rPr>
                <w:u w:val="single"/>
              </w:rPr>
            </w:pPr>
            <w:r w:rsidRPr="00D53FF6">
              <w:rPr>
                <w:u w:val="single"/>
              </w:rPr>
              <w:t>[or clause 5.</w:t>
            </w:r>
            <w:r>
              <w:rPr>
                <w:u w:val="single"/>
              </w:rPr>
              <w:t>4</w:t>
            </w:r>
            <w:r w:rsidRPr="00D53FF6">
              <w:rPr>
                <w:u w:val="single"/>
              </w:rPr>
              <w:t>.2 of EN ISO 10297</w:t>
            </w:r>
            <w:r>
              <w:rPr>
                <w:u w:val="single"/>
              </w:rPr>
              <w:t>:</w:t>
            </w:r>
            <w:r w:rsidRPr="00C800EA">
              <w:t>[</w:t>
            </w:r>
            <w:r w:rsidRPr="00D53FF6">
              <w:rPr>
                <w:u w:val="single"/>
              </w:rPr>
              <w:t>2024]</w:t>
            </w:r>
          </w:p>
        </w:tc>
        <w:tc>
          <w:tcPr>
            <w:tcW w:w="1984" w:type="dxa"/>
          </w:tcPr>
          <w:p w14:paraId="7B7C5AA0" w14:textId="77777777" w:rsidR="0064199F" w:rsidRDefault="0064199F" w:rsidP="00E568D4">
            <w:pPr>
              <w:pStyle w:val="SingleTxtG"/>
              <w:ind w:left="0" w:right="430"/>
              <w:jc w:val="left"/>
            </w:pPr>
            <w:r w:rsidRPr="003A0820">
              <w:t>Gas cylinders – Cylinder valves – Specification and type testing</w:t>
            </w:r>
          </w:p>
        </w:tc>
      </w:tr>
    </w:tbl>
    <w:p w14:paraId="5E14E01F" w14:textId="77777777" w:rsidR="0064199F" w:rsidRDefault="0064199F" w:rsidP="0064199F">
      <w:pPr>
        <w:pStyle w:val="SingleTxtG"/>
        <w:ind w:left="1494"/>
      </w:pPr>
    </w:p>
    <w:p w14:paraId="61E6FB46" w14:textId="4FBF69E0" w:rsidR="0064199F" w:rsidRPr="00DC6702" w:rsidRDefault="0064199F" w:rsidP="00362587">
      <w:pPr>
        <w:pStyle w:val="SingleTxtG"/>
        <w:rPr>
          <w:i/>
          <w:iCs/>
        </w:rPr>
      </w:pPr>
      <w:r>
        <w:t>6.2.4.1</w:t>
      </w:r>
      <w:r w:rsidR="002C7FD9">
        <w:tab/>
      </w:r>
      <w:r w:rsidR="00E70191">
        <w:tab/>
      </w:r>
      <w:r w:rsidRPr="00362587">
        <w:t>Amend</w:t>
      </w:r>
      <w:r>
        <w:t xml:space="preserve"> the tables </w:t>
      </w:r>
      <w:r w:rsidRPr="00DC6702">
        <w:rPr>
          <w:i/>
          <w:iCs/>
        </w:rPr>
        <w:t xml:space="preserve">for design and construction of closures </w:t>
      </w:r>
      <w:r w:rsidRPr="00B70053">
        <w:t>as follows:</w:t>
      </w:r>
    </w:p>
    <w:p w14:paraId="7542897D" w14:textId="77777777" w:rsidR="0064199F" w:rsidRDefault="0064199F" w:rsidP="00362587">
      <w:pPr>
        <w:pStyle w:val="SingleTxtG"/>
        <w:rPr>
          <w:b/>
          <w:bCs/>
        </w:rPr>
      </w:pPr>
      <w:r w:rsidRPr="00144565">
        <w:t>For EN ISO 10297:2014 +A1:2017 in column (4) replace “Until further notice” by “Between 1 January 20</w:t>
      </w:r>
      <w:r>
        <w:t>19</w:t>
      </w:r>
      <w:r w:rsidRPr="00144565">
        <w:t xml:space="preserve"> and 31 December 20</w:t>
      </w:r>
      <w:r>
        <w:t>26</w:t>
      </w:r>
      <w:r w:rsidRPr="00144565">
        <w:t>” After the row for “EN ISO 10297:2014 +A1:2017 insert the following new row:</w:t>
      </w:r>
      <w:r w:rsidRPr="009A4F1C">
        <w:rPr>
          <w:b/>
          <w:bCs/>
        </w:rPr>
        <w:t xml:space="preserve"> </w:t>
      </w:r>
    </w:p>
    <w:tbl>
      <w:tblPr>
        <w:tblStyle w:val="TableGrid"/>
        <w:tblW w:w="7792" w:type="dxa"/>
        <w:tblInd w:w="1134" w:type="dxa"/>
        <w:tblLook w:val="04A0" w:firstRow="1" w:lastRow="0" w:firstColumn="1" w:lastColumn="0" w:noHBand="0" w:noVBand="1"/>
      </w:tblPr>
      <w:tblGrid>
        <w:gridCol w:w="1271"/>
        <w:gridCol w:w="3544"/>
        <w:gridCol w:w="992"/>
        <w:gridCol w:w="1173"/>
        <w:gridCol w:w="812"/>
      </w:tblGrid>
      <w:tr w:rsidR="0064199F" w14:paraId="1D6052FF" w14:textId="77777777" w:rsidTr="00E568D4">
        <w:tc>
          <w:tcPr>
            <w:tcW w:w="1271" w:type="dxa"/>
            <w:shd w:val="clear" w:color="auto" w:fill="auto"/>
          </w:tcPr>
          <w:p w14:paraId="14A1712E" w14:textId="77777777" w:rsidR="0064199F" w:rsidRPr="0094692A" w:rsidRDefault="0064199F" w:rsidP="00E568D4">
            <w:pPr>
              <w:spacing w:after="120"/>
              <w:jc w:val="center"/>
            </w:pPr>
            <w:bookmarkStart w:id="1" w:name="_Hlk126658985"/>
            <w:r w:rsidRPr="00C800EA">
              <w:rPr>
                <w:bCs/>
                <w:iCs/>
              </w:rPr>
              <w:t xml:space="preserve">EN </w:t>
            </w:r>
            <w:r>
              <w:rPr>
                <w:bCs/>
                <w:iCs/>
              </w:rPr>
              <w:t>ISO 10297</w:t>
            </w:r>
            <w:r w:rsidRPr="00C800EA">
              <w:t>:</w:t>
            </w:r>
            <w:r>
              <w:t xml:space="preserve"> </w:t>
            </w:r>
            <w:r w:rsidRPr="00C800EA">
              <w:t>[202</w:t>
            </w:r>
            <w:r>
              <w:t>4</w:t>
            </w:r>
            <w:r w:rsidRPr="00C800EA">
              <w:t>]</w:t>
            </w:r>
          </w:p>
        </w:tc>
        <w:tc>
          <w:tcPr>
            <w:tcW w:w="3544" w:type="dxa"/>
          </w:tcPr>
          <w:p w14:paraId="107FB36D" w14:textId="77777777" w:rsidR="0064199F" w:rsidRPr="0094692A" w:rsidRDefault="0064199F" w:rsidP="00E568D4">
            <w:pPr>
              <w:ind w:left="144"/>
              <w:rPr>
                <w:bCs/>
              </w:rPr>
            </w:pPr>
            <w:bookmarkStart w:id="2" w:name="_Hlk158206034"/>
            <w:r w:rsidRPr="00F84D06">
              <w:rPr>
                <w:bCs/>
                <w:iCs/>
              </w:rPr>
              <w:t>Gas cylinders – Cylinder valves –</w:t>
            </w:r>
            <w:r>
              <w:rPr>
                <w:bCs/>
                <w:iCs/>
              </w:rPr>
              <w:t xml:space="preserve"> </w:t>
            </w:r>
            <w:r w:rsidRPr="00F84D06">
              <w:rPr>
                <w:bCs/>
                <w:iCs/>
              </w:rPr>
              <w:t>Specification and type testing</w:t>
            </w:r>
            <w:bookmarkEnd w:id="2"/>
          </w:p>
        </w:tc>
        <w:tc>
          <w:tcPr>
            <w:tcW w:w="992" w:type="dxa"/>
          </w:tcPr>
          <w:p w14:paraId="0E131B8A" w14:textId="77777777" w:rsidR="0064199F" w:rsidRPr="0094692A" w:rsidRDefault="0064199F" w:rsidP="00E568D4">
            <w:pPr>
              <w:jc w:val="both"/>
            </w:pPr>
            <w:r w:rsidRPr="00F84D06">
              <w:t>6.2.3.1 and 6.2.3.3</w:t>
            </w:r>
          </w:p>
        </w:tc>
        <w:tc>
          <w:tcPr>
            <w:tcW w:w="1173" w:type="dxa"/>
          </w:tcPr>
          <w:p w14:paraId="0E1446CA" w14:textId="77777777" w:rsidR="0064199F" w:rsidRPr="0094692A" w:rsidRDefault="0064199F" w:rsidP="00E568D4">
            <w:pPr>
              <w:spacing w:after="120"/>
              <w:jc w:val="center"/>
            </w:pPr>
            <w:r w:rsidRPr="0094692A">
              <w:t>Until further notice</w:t>
            </w:r>
          </w:p>
        </w:tc>
        <w:tc>
          <w:tcPr>
            <w:tcW w:w="812" w:type="dxa"/>
          </w:tcPr>
          <w:p w14:paraId="3AEC7C10" w14:textId="77777777" w:rsidR="0064199F" w:rsidRDefault="0064199F" w:rsidP="00E568D4"/>
        </w:tc>
      </w:tr>
      <w:bookmarkEnd w:id="1"/>
    </w:tbl>
    <w:p w14:paraId="135CCAAB" w14:textId="77777777" w:rsidR="0064199F" w:rsidRDefault="0064199F" w:rsidP="0064199F">
      <w:pPr>
        <w:pStyle w:val="SingleTxtG"/>
        <w:ind w:left="1494"/>
      </w:pPr>
    </w:p>
    <w:p w14:paraId="69D7C747" w14:textId="4CF0E95E" w:rsidR="0064199F" w:rsidRDefault="00362587" w:rsidP="00362587">
      <w:pPr>
        <w:pStyle w:val="H23G"/>
      </w:pPr>
      <w:r>
        <w:tab/>
      </w:r>
      <w:r w:rsidR="0064199F" w:rsidRPr="003453FC">
        <w:t>3.</w:t>
      </w:r>
      <w:r w:rsidR="0064199F">
        <w:t>3</w:t>
      </w:r>
      <w:r w:rsidR="0064199F" w:rsidRPr="003453FC">
        <w:tab/>
        <w:t xml:space="preserve">Draft amendment relating to standard EN </w:t>
      </w:r>
      <w:r w:rsidR="0064199F">
        <w:t>12972:2018 + A1:[2024]</w:t>
      </w:r>
    </w:p>
    <w:p w14:paraId="1604E1BC" w14:textId="5135936A" w:rsidR="0064199F" w:rsidRPr="00D97E39" w:rsidRDefault="0064199F" w:rsidP="00362587">
      <w:pPr>
        <w:pStyle w:val="SingleTxtG"/>
      </w:pPr>
      <w:r w:rsidRPr="00D97E39">
        <w:t>6.8.2.3.</w:t>
      </w:r>
      <w:r>
        <w:t>2</w:t>
      </w:r>
      <w:r w:rsidR="00E70191">
        <w:tab/>
      </w:r>
      <w:r>
        <w:t xml:space="preserve">In </w:t>
      </w:r>
      <w:r w:rsidRPr="00362587">
        <w:t>the</w:t>
      </w:r>
      <w:r>
        <w:t xml:space="preserve"> Note, replace EN 12972:2018 with EN 12972:2018+A1:[2024].</w:t>
      </w:r>
    </w:p>
    <w:p w14:paraId="5454B533" w14:textId="126E98C6" w:rsidR="0064199F" w:rsidRDefault="0064199F" w:rsidP="00362587">
      <w:pPr>
        <w:pStyle w:val="SingleTxtG"/>
      </w:pPr>
      <w:r>
        <w:t>6.8.2.6.2</w:t>
      </w:r>
      <w:r w:rsidR="00E70191">
        <w:tab/>
      </w:r>
      <w:r>
        <w:t xml:space="preserve">For EN 12972:2018, in column (4) replace “Until further notice” by “Until 31 December 2026”. After the row for EN 12972:2018 insert the following row: </w:t>
      </w:r>
    </w:p>
    <w:tbl>
      <w:tblPr>
        <w:tblStyle w:val="TableGrid"/>
        <w:tblW w:w="7792" w:type="dxa"/>
        <w:tblInd w:w="1134" w:type="dxa"/>
        <w:tblLook w:val="04A0" w:firstRow="1" w:lastRow="0" w:firstColumn="1" w:lastColumn="0" w:noHBand="0" w:noVBand="1"/>
      </w:tblPr>
      <w:tblGrid>
        <w:gridCol w:w="1696"/>
        <w:gridCol w:w="3261"/>
        <w:gridCol w:w="1417"/>
        <w:gridCol w:w="1418"/>
      </w:tblGrid>
      <w:tr w:rsidR="0064199F" w14:paraId="10386416" w14:textId="77777777" w:rsidTr="00E568D4">
        <w:tc>
          <w:tcPr>
            <w:tcW w:w="1696" w:type="dxa"/>
          </w:tcPr>
          <w:p w14:paraId="50B83F71" w14:textId="77777777" w:rsidR="0064199F" w:rsidRDefault="0064199F" w:rsidP="00E568D4">
            <w:pPr>
              <w:spacing w:after="0" w:line="0" w:lineRule="atLeast"/>
              <w:rPr>
                <w:bCs/>
                <w:iCs/>
              </w:rPr>
            </w:pPr>
            <w:r w:rsidRPr="003F0ABF">
              <w:rPr>
                <w:bCs/>
                <w:iCs/>
              </w:rPr>
              <w:t>EN 12972:2018+</w:t>
            </w:r>
          </w:p>
          <w:p w14:paraId="4766AAB1" w14:textId="77777777" w:rsidR="0064199F" w:rsidRPr="0094692A" w:rsidRDefault="0064199F" w:rsidP="00E568D4">
            <w:pPr>
              <w:spacing w:after="0" w:line="0" w:lineRule="atLeast"/>
            </w:pPr>
            <w:r w:rsidRPr="003F0ABF">
              <w:rPr>
                <w:bCs/>
                <w:iCs/>
              </w:rPr>
              <w:t>A1</w:t>
            </w:r>
            <w:r>
              <w:rPr>
                <w:bCs/>
                <w:iCs/>
              </w:rPr>
              <w:t>:</w:t>
            </w:r>
            <w:r w:rsidRPr="003F0ABF">
              <w:rPr>
                <w:bCs/>
                <w:iCs/>
              </w:rPr>
              <w:t>[2024]</w:t>
            </w:r>
          </w:p>
        </w:tc>
        <w:tc>
          <w:tcPr>
            <w:tcW w:w="3261" w:type="dxa"/>
          </w:tcPr>
          <w:p w14:paraId="48AF1D92" w14:textId="77777777" w:rsidR="0064199F" w:rsidRPr="004B2B39" w:rsidRDefault="0064199F" w:rsidP="00E568D4">
            <w:pPr>
              <w:spacing w:after="0" w:line="0" w:lineRule="atLeast"/>
              <w:ind w:left="142"/>
              <w:rPr>
                <w:bCs/>
                <w:iCs/>
              </w:rPr>
            </w:pPr>
            <w:r w:rsidRPr="00661B70">
              <w:rPr>
                <w:bCs/>
                <w:iCs/>
              </w:rPr>
              <w:t>Tanks for transport of dangerous goods –</w:t>
            </w:r>
            <w:r>
              <w:rPr>
                <w:bCs/>
                <w:iCs/>
              </w:rPr>
              <w:t xml:space="preserve"> </w:t>
            </w:r>
            <w:r w:rsidRPr="00661B70">
              <w:rPr>
                <w:bCs/>
                <w:iCs/>
              </w:rPr>
              <w:t>Testing, inspection and marking of metallic</w:t>
            </w:r>
            <w:r>
              <w:rPr>
                <w:bCs/>
                <w:iCs/>
              </w:rPr>
              <w:t xml:space="preserve"> </w:t>
            </w:r>
            <w:r w:rsidRPr="00661B70">
              <w:rPr>
                <w:bCs/>
                <w:iCs/>
              </w:rPr>
              <w:t>tanks</w:t>
            </w:r>
          </w:p>
        </w:tc>
        <w:tc>
          <w:tcPr>
            <w:tcW w:w="1417" w:type="dxa"/>
          </w:tcPr>
          <w:p w14:paraId="010E38A5" w14:textId="77777777" w:rsidR="0064199F" w:rsidRDefault="0064199F" w:rsidP="00E568D4">
            <w:pPr>
              <w:spacing w:after="0"/>
              <w:jc w:val="both"/>
            </w:pPr>
            <w:r>
              <w:t>6.8.2.1.23,</w:t>
            </w:r>
          </w:p>
          <w:p w14:paraId="199FB3D0" w14:textId="3BA5D051" w:rsidR="0064199F" w:rsidRPr="0094692A" w:rsidRDefault="0064199F" w:rsidP="00531CA5">
            <w:pPr>
              <w:spacing w:after="120"/>
            </w:pPr>
            <w:r>
              <w:t>6.8.2.4</w:t>
            </w:r>
            <w:r w:rsidR="002D3215">
              <w:t xml:space="preserve"> and</w:t>
            </w:r>
            <w:r>
              <w:t xml:space="preserve"> 6.8.3.4</w:t>
            </w:r>
          </w:p>
        </w:tc>
        <w:tc>
          <w:tcPr>
            <w:tcW w:w="1418" w:type="dxa"/>
          </w:tcPr>
          <w:p w14:paraId="1EC1E9F0" w14:textId="77777777" w:rsidR="0064199F" w:rsidRDefault="0064199F" w:rsidP="00E568D4">
            <w:r w:rsidRPr="0094692A">
              <w:t>Until further notice</w:t>
            </w:r>
          </w:p>
        </w:tc>
      </w:tr>
    </w:tbl>
    <w:p w14:paraId="5E644B30" w14:textId="77777777" w:rsidR="0064199F" w:rsidRPr="003453FC" w:rsidRDefault="0064199F" w:rsidP="0064199F">
      <w:pPr>
        <w:tabs>
          <w:tab w:val="left" w:pos="426"/>
        </w:tabs>
        <w:spacing w:before="120" w:after="120"/>
        <w:ind w:left="1701" w:right="1134"/>
        <w:rPr>
          <w:b/>
          <w:bCs/>
        </w:rPr>
      </w:pPr>
    </w:p>
    <w:p w14:paraId="48A5528E" w14:textId="772E9CDE" w:rsidR="0064199F" w:rsidRPr="00265D3B" w:rsidRDefault="00362587" w:rsidP="00362587">
      <w:pPr>
        <w:pStyle w:val="H23G"/>
      </w:pPr>
      <w:r>
        <w:tab/>
      </w:r>
      <w:r w:rsidR="0064199F" w:rsidRPr="00265D3B">
        <w:t>3.</w:t>
      </w:r>
      <w:r w:rsidR="0064199F">
        <w:t>4</w:t>
      </w:r>
      <w:r w:rsidR="0064199F" w:rsidRPr="00265D3B">
        <w:tab/>
        <w:t xml:space="preserve">Draft amendment relating to standard EN </w:t>
      </w:r>
      <w:r w:rsidR="0064199F">
        <w:t>13322-1:</w:t>
      </w:r>
      <w:r w:rsidR="0064199F" w:rsidRPr="00265D3B">
        <w:t>[2024]</w:t>
      </w:r>
    </w:p>
    <w:p w14:paraId="095CF924" w14:textId="37E7B12E" w:rsidR="0064199F" w:rsidRDefault="0064199F" w:rsidP="00362587">
      <w:pPr>
        <w:pStyle w:val="SingleTxtG"/>
      </w:pPr>
      <w:r>
        <w:t>6.2.4.1</w:t>
      </w:r>
      <w:r w:rsidR="00E70191">
        <w:tab/>
      </w:r>
      <w:r w:rsidR="00E70191">
        <w:tab/>
      </w:r>
      <w:r>
        <w:t>Amend the table “</w:t>
      </w:r>
      <w:r w:rsidRPr="000C60B4">
        <w:rPr>
          <w:i/>
          <w:iCs/>
        </w:rPr>
        <w:t>for the design and construction of pressure receptacles or pressure receptacle shells</w:t>
      </w:r>
      <w:r>
        <w:t>”.</w:t>
      </w:r>
    </w:p>
    <w:p w14:paraId="4ECE8E9A" w14:textId="457268CA" w:rsidR="0064199F" w:rsidRDefault="0064199F" w:rsidP="00362587">
      <w:pPr>
        <w:pStyle w:val="SingleTxtG"/>
      </w:pPr>
      <w:r>
        <w:t xml:space="preserve">For </w:t>
      </w:r>
      <w:r w:rsidRPr="00F6381E">
        <w:t>EN 13322-1:2003 +A1:2006 in column (4) replace “Until further notice” by “</w:t>
      </w:r>
      <w:r>
        <w:t>Between 1 January 2007 u</w:t>
      </w:r>
      <w:r w:rsidRPr="00F6381E">
        <w:t>ntil 31 December 20</w:t>
      </w:r>
      <w:r>
        <w:t>26</w:t>
      </w:r>
      <w:r w:rsidRPr="00F6381E">
        <w:t>”</w:t>
      </w:r>
      <w:r>
        <w:t>.</w:t>
      </w:r>
      <w:r w:rsidRPr="00F6381E">
        <w:t xml:space="preserve"> After the</w:t>
      </w:r>
      <w:r>
        <w:t xml:space="preserve"> row for EN 13322-1:2003 +</w:t>
      </w:r>
      <w:r w:rsidR="009B0902">
        <w:t xml:space="preserve"> </w:t>
      </w:r>
      <w:r>
        <w:t>A1:2006 insert the following new row:</w:t>
      </w:r>
    </w:p>
    <w:tbl>
      <w:tblPr>
        <w:tblStyle w:val="TableGrid"/>
        <w:tblW w:w="7933" w:type="dxa"/>
        <w:tblInd w:w="1134" w:type="dxa"/>
        <w:tblLook w:val="04A0" w:firstRow="1" w:lastRow="0" w:firstColumn="1" w:lastColumn="0" w:noHBand="0" w:noVBand="1"/>
      </w:tblPr>
      <w:tblGrid>
        <w:gridCol w:w="1696"/>
        <w:gridCol w:w="3575"/>
        <w:gridCol w:w="925"/>
        <w:gridCol w:w="866"/>
        <w:gridCol w:w="871"/>
      </w:tblGrid>
      <w:tr w:rsidR="0064199F" w14:paraId="02D42BE7" w14:textId="77777777" w:rsidTr="00E568D4">
        <w:tc>
          <w:tcPr>
            <w:tcW w:w="1696" w:type="dxa"/>
          </w:tcPr>
          <w:p w14:paraId="65419072" w14:textId="53D04349" w:rsidR="0064199F" w:rsidRPr="0094692A" w:rsidRDefault="0064199F" w:rsidP="00E568D4">
            <w:pPr>
              <w:spacing w:after="0" w:line="0" w:lineRule="atLeast"/>
            </w:pPr>
            <w:r>
              <w:lastRenderedPageBreak/>
              <w:t>EN 13322-1:[</w:t>
            </w:r>
            <w:r w:rsidRPr="006F1EC5">
              <w:t>202</w:t>
            </w:r>
            <w:r>
              <w:t>4]</w:t>
            </w:r>
          </w:p>
        </w:tc>
        <w:tc>
          <w:tcPr>
            <w:tcW w:w="3575" w:type="dxa"/>
          </w:tcPr>
          <w:p w14:paraId="1F4F51D6" w14:textId="77777777" w:rsidR="0064199F" w:rsidRPr="000D19D0" w:rsidRDefault="0064199F" w:rsidP="00E568D4">
            <w:pPr>
              <w:spacing w:after="0" w:line="0" w:lineRule="atLeast"/>
              <w:ind w:left="142"/>
              <w:rPr>
                <w:bCs/>
                <w:iCs/>
              </w:rPr>
            </w:pPr>
            <w:r w:rsidRPr="000D19D0">
              <w:rPr>
                <w:bCs/>
                <w:iCs/>
              </w:rPr>
              <w:t>Transportable gas cylinders – Refillable</w:t>
            </w:r>
          </w:p>
          <w:p w14:paraId="41035236" w14:textId="77777777" w:rsidR="0064199F" w:rsidRPr="000D19D0" w:rsidRDefault="0064199F" w:rsidP="00E568D4">
            <w:pPr>
              <w:spacing w:after="0" w:line="0" w:lineRule="atLeast"/>
              <w:ind w:left="142"/>
              <w:rPr>
                <w:bCs/>
                <w:iCs/>
              </w:rPr>
            </w:pPr>
            <w:r w:rsidRPr="000D19D0">
              <w:rPr>
                <w:bCs/>
                <w:iCs/>
              </w:rPr>
              <w:t>welded steel gas cylinders – Design and</w:t>
            </w:r>
          </w:p>
          <w:p w14:paraId="3775C8CB" w14:textId="77777777" w:rsidR="0064199F" w:rsidRPr="004B2B39" w:rsidRDefault="0064199F" w:rsidP="00E568D4">
            <w:pPr>
              <w:spacing w:after="0" w:line="0" w:lineRule="atLeast"/>
              <w:ind w:left="142"/>
              <w:rPr>
                <w:bCs/>
                <w:iCs/>
              </w:rPr>
            </w:pPr>
            <w:r w:rsidRPr="000D19D0">
              <w:rPr>
                <w:bCs/>
                <w:iCs/>
              </w:rPr>
              <w:t>construction – Part 1: Welded steel</w:t>
            </w:r>
          </w:p>
        </w:tc>
        <w:tc>
          <w:tcPr>
            <w:tcW w:w="925" w:type="dxa"/>
          </w:tcPr>
          <w:p w14:paraId="3CA4F228" w14:textId="77777777" w:rsidR="0064199F" w:rsidRPr="0094692A" w:rsidRDefault="0064199F" w:rsidP="00E568D4">
            <w:pPr>
              <w:jc w:val="both"/>
            </w:pPr>
            <w:r w:rsidRPr="00D63538">
              <w:t>6.2.3.1 and 6.2.3.4</w:t>
            </w:r>
          </w:p>
        </w:tc>
        <w:tc>
          <w:tcPr>
            <w:tcW w:w="866" w:type="dxa"/>
          </w:tcPr>
          <w:p w14:paraId="1EEABD47" w14:textId="77777777" w:rsidR="0064199F" w:rsidRPr="0094692A" w:rsidRDefault="0064199F" w:rsidP="00E568D4">
            <w:pPr>
              <w:spacing w:after="120"/>
              <w:jc w:val="center"/>
            </w:pPr>
            <w:r w:rsidRPr="0094692A">
              <w:t>Until further notice</w:t>
            </w:r>
          </w:p>
        </w:tc>
        <w:tc>
          <w:tcPr>
            <w:tcW w:w="871" w:type="dxa"/>
          </w:tcPr>
          <w:p w14:paraId="2E6C10FB" w14:textId="77777777" w:rsidR="0064199F" w:rsidRDefault="0064199F" w:rsidP="00E568D4"/>
        </w:tc>
      </w:tr>
    </w:tbl>
    <w:p w14:paraId="20A4F1AB" w14:textId="77777777" w:rsidR="0064199F" w:rsidRDefault="0064199F" w:rsidP="0064199F">
      <w:pPr>
        <w:spacing w:after="120"/>
        <w:ind w:left="1701" w:right="1134"/>
      </w:pPr>
    </w:p>
    <w:p w14:paraId="63D7FC51" w14:textId="6E4DE6F9" w:rsidR="0064199F" w:rsidRPr="005E5713" w:rsidRDefault="00362587" w:rsidP="00362587">
      <w:pPr>
        <w:pStyle w:val="H23G"/>
        <w:rPr>
          <w:lang w:val="fr-FR"/>
        </w:rPr>
      </w:pPr>
      <w:r>
        <w:rPr>
          <w:lang w:val="fr-FR"/>
        </w:rPr>
        <w:tab/>
      </w:r>
      <w:r w:rsidR="0064199F" w:rsidRPr="00A22DB7">
        <w:rPr>
          <w:lang w:val="fr-FR"/>
        </w:rPr>
        <w:t>4</w:t>
      </w:r>
      <w:r w:rsidR="0064199F">
        <w:rPr>
          <w:lang w:val="fr-FR"/>
        </w:rPr>
        <w:t>.</w:t>
      </w:r>
      <w:r w:rsidR="0064199F" w:rsidRPr="005E5713">
        <w:rPr>
          <w:lang w:val="fr-FR"/>
        </w:rPr>
        <w:tab/>
        <w:t xml:space="preserve">EN 14432 and EN 14433 – Comment </w:t>
      </w:r>
      <w:r w:rsidR="0064199F" w:rsidRPr="00113AC5">
        <w:t>from</w:t>
      </w:r>
      <w:r w:rsidR="0064199F" w:rsidRPr="005E5713">
        <w:rPr>
          <w:lang w:val="fr-FR"/>
        </w:rPr>
        <w:t xml:space="preserve"> UN </w:t>
      </w:r>
      <w:r w:rsidR="00CB08F3">
        <w:t>s</w:t>
      </w:r>
      <w:r w:rsidR="0064199F" w:rsidRPr="00113AC5">
        <w:t>ecretariat</w:t>
      </w:r>
    </w:p>
    <w:p w14:paraId="6FF7A164" w14:textId="77777777" w:rsidR="0064199F" w:rsidRPr="00BF5E71" w:rsidRDefault="0064199F" w:rsidP="00362587">
      <w:pPr>
        <w:pStyle w:val="SingleTxtG"/>
      </w:pPr>
      <w:r w:rsidRPr="00BF5E71">
        <w:t xml:space="preserve">Whilst </w:t>
      </w:r>
      <w:r w:rsidRPr="00362587">
        <w:t>preparing</w:t>
      </w:r>
      <w:r w:rsidRPr="00BF5E71">
        <w:t xml:space="preserve"> the consolidated version of ADR 2025, the UN secretariat noticed a different reference in 6.8.2.6.1,</w:t>
      </w:r>
      <w:r w:rsidRPr="00BF5E71">
        <w:rPr>
          <w:i/>
          <w:iCs/>
        </w:rPr>
        <w:t xml:space="preserve"> Design and Construction</w:t>
      </w:r>
      <w:r w:rsidRPr="00BF5E71">
        <w:t xml:space="preserve">, in the table </w:t>
      </w:r>
      <w:r w:rsidRPr="00BF5E71">
        <w:rPr>
          <w:i/>
          <w:iCs/>
        </w:rPr>
        <w:t>for equipment</w:t>
      </w:r>
      <w:r w:rsidRPr="00BF5E71">
        <w:t xml:space="preserve"> column (3), for EN 14432:2014 and EN 14432:2023. This also applied to EN 14433:2014 and EN 14433:2023.</w:t>
      </w:r>
    </w:p>
    <w:p w14:paraId="09F75DBC" w14:textId="77777777" w:rsidR="0064199F" w:rsidRDefault="0064199F" w:rsidP="00362587">
      <w:pPr>
        <w:pStyle w:val="SingleTxtG"/>
      </w:pPr>
      <w:r w:rsidRPr="00BF5E71">
        <w:t xml:space="preserve">In RID/ADR </w:t>
      </w:r>
      <w:r w:rsidRPr="00362587">
        <w:t>2021</w:t>
      </w:r>
      <w:r w:rsidRPr="00BF5E71">
        <w:t>, for these two 2014 standards, reference was made to 6.8.2.3.1 for the last paragraph on equipment approval. With RID/ADR 2023 6.8.2.3.1 became 6.8.2.3.2 so the reference was automatically changed without looking at the text in detail. For RID/ADR 2025 and the 2023 versions of these standards it was suggested to refer to 6.8.2.3.1, a more suitable text.</w:t>
      </w:r>
    </w:p>
    <w:p w14:paraId="71D3B80E" w14:textId="4E8515F7" w:rsidR="0064199F" w:rsidRPr="00362587" w:rsidRDefault="0064199F" w:rsidP="00362587">
      <w:pPr>
        <w:pStyle w:val="SingleTxtG"/>
      </w:pPr>
      <w:r>
        <w:t>6.8.2.6.1</w:t>
      </w:r>
      <w:r w:rsidR="00E70191">
        <w:tab/>
      </w:r>
      <w:r>
        <w:t>For EN 14432:2014 and EN 14433:2014 in column (3) replace “6.8.2.3.2” by “6.8.2.3.1”.</w:t>
      </w:r>
    </w:p>
    <w:p w14:paraId="6248EB38" w14:textId="2A6EDB5B" w:rsidR="0064199F" w:rsidRPr="00CC5B1E" w:rsidRDefault="0064199F" w:rsidP="00362587">
      <w:pPr>
        <w:pStyle w:val="H23G"/>
        <w:rPr>
          <w:u w:val="single"/>
        </w:rPr>
      </w:pPr>
      <w:r w:rsidRPr="005615EA">
        <w:rPr>
          <w:bCs/>
        </w:rPr>
        <w:tab/>
      </w:r>
      <w:r>
        <w:rPr>
          <w:bCs/>
        </w:rPr>
        <w:t>5</w:t>
      </w:r>
      <w:r w:rsidRPr="00DE2E5E">
        <w:rPr>
          <w:bCs/>
        </w:rPr>
        <w:t>.</w:t>
      </w:r>
      <w:r w:rsidRPr="00DE2E5E">
        <w:rPr>
          <w:bCs/>
        </w:rPr>
        <w:tab/>
      </w:r>
      <w:r w:rsidRPr="00CC5B1E">
        <w:t xml:space="preserve">Information </w:t>
      </w:r>
      <w:r w:rsidR="001305E3">
        <w:t>on</w:t>
      </w:r>
      <w:r w:rsidRPr="00CC5B1E">
        <w:t xml:space="preserve"> standards referenced in RID</w:t>
      </w:r>
      <w:r>
        <w:t>/ADR</w:t>
      </w:r>
    </w:p>
    <w:p w14:paraId="2274A02F" w14:textId="77777777" w:rsidR="0064199F" w:rsidRDefault="0064199F" w:rsidP="00362587">
      <w:pPr>
        <w:pStyle w:val="SingleTxtG"/>
      </w:pPr>
      <w:r w:rsidRPr="000F4218">
        <w:t>In May 2023, CEN communicated to the Joint Meeting secretariats an updated list of the latest versions of standards to be cited in RID/ADR. This list was reviewed, and it was identified that the following changes should be proposed:</w:t>
      </w:r>
    </w:p>
    <w:p w14:paraId="6F31E092" w14:textId="61075DBD" w:rsidR="0064199F" w:rsidRDefault="0064199F" w:rsidP="00362587">
      <w:pPr>
        <w:pStyle w:val="SingleTxtG"/>
      </w:pPr>
      <w:r>
        <w:t>(a)</w:t>
      </w:r>
      <w:r w:rsidR="00362587">
        <w:tab/>
      </w:r>
      <w:r>
        <w:t xml:space="preserve">In P200 (11) EN 1439:2021 </w:t>
      </w:r>
      <w:r w:rsidRPr="009F56F8">
        <w:rPr>
          <w:i/>
          <w:iCs/>
        </w:rPr>
        <w:t>LPG</w:t>
      </w:r>
      <w:r w:rsidRPr="00952C8A">
        <w:t xml:space="preserve"> </w:t>
      </w:r>
      <w:r w:rsidRPr="009F56F8">
        <w:rPr>
          <w:i/>
          <w:iCs/>
        </w:rPr>
        <w:t xml:space="preserve">equipment and accessories – Procedure for checking transportable refillable LPG cylinders before, during and after filling </w:t>
      </w:r>
      <w:r w:rsidRPr="00E20B5D">
        <w:t>is referenced.</w:t>
      </w:r>
      <w:r w:rsidRPr="009F56F8">
        <w:rPr>
          <w:i/>
          <w:iCs/>
        </w:rPr>
        <w:t xml:space="preserve"> </w:t>
      </w:r>
      <w:r w:rsidRPr="00E20B5D">
        <w:t>As well EN 14794:2005</w:t>
      </w:r>
      <w:r w:rsidRPr="009F56F8">
        <w:rPr>
          <w:i/>
          <w:iCs/>
        </w:rPr>
        <w:t xml:space="preserve"> LPG equipment and accessories </w:t>
      </w:r>
      <w:r w:rsidR="006675BA" w:rsidRPr="009F56F8">
        <w:rPr>
          <w:i/>
          <w:iCs/>
        </w:rPr>
        <w:t>–</w:t>
      </w:r>
      <w:r w:rsidRPr="009F56F8">
        <w:rPr>
          <w:i/>
          <w:iCs/>
        </w:rPr>
        <w:t xml:space="preserve"> Transportable refillable aluminium cylinders for liquefied petroleum gas (LPG) </w:t>
      </w:r>
      <w:r w:rsidR="006675BA" w:rsidRPr="009F56F8">
        <w:rPr>
          <w:i/>
          <w:iCs/>
        </w:rPr>
        <w:t>–</w:t>
      </w:r>
      <w:r w:rsidRPr="009F56F8">
        <w:rPr>
          <w:i/>
          <w:iCs/>
        </w:rPr>
        <w:t xml:space="preserve"> Procedure for checking before, during and after filling</w:t>
      </w:r>
      <w:r>
        <w:t xml:space="preserve"> is also referenced. </w:t>
      </w:r>
      <w:r w:rsidR="00841813">
        <w:t xml:space="preserve">Standard </w:t>
      </w:r>
      <w:r>
        <w:t>EN 14794 has been withdrawn and requirements incorporated into EN 1439. Consequently, it is proposed to delete the entry of EN</w:t>
      </w:r>
      <w:r w:rsidR="005712E7">
        <w:t> </w:t>
      </w:r>
      <w:r>
        <w:t>14794 at the end of the table of P200 (11).</w:t>
      </w:r>
    </w:p>
    <w:p w14:paraId="67813567" w14:textId="039C2D9A" w:rsidR="0064199F" w:rsidRDefault="0064199F" w:rsidP="00362587">
      <w:pPr>
        <w:pStyle w:val="SingleTxtG"/>
      </w:pPr>
      <w:r w:rsidRPr="000F1CF6">
        <w:t>(b)</w:t>
      </w:r>
      <w:r w:rsidR="00362587">
        <w:tab/>
      </w:r>
      <w:r w:rsidRPr="000F1CF6">
        <w:t xml:space="preserve">EN </w:t>
      </w:r>
      <w:r w:rsidRPr="00362587">
        <w:t>ISO</w:t>
      </w:r>
      <w:r w:rsidRPr="000F1CF6">
        <w:t xml:space="preserve"> 9712:2012 </w:t>
      </w:r>
      <w:r w:rsidRPr="0097721B">
        <w:rPr>
          <w:i/>
          <w:iCs/>
        </w:rPr>
        <w:t xml:space="preserve">Non-destructive testing – Qualification and certification of </w:t>
      </w:r>
      <w:r w:rsidRPr="00044D7E">
        <w:rPr>
          <w:i/>
          <w:iCs/>
        </w:rPr>
        <w:t>NDT personnel – General principles</w:t>
      </w:r>
      <w:r w:rsidRPr="00044D7E">
        <w:t xml:space="preserve"> has been replaced by EN ISO 9712:2022. </w:t>
      </w:r>
      <w:r w:rsidR="00660E5D">
        <w:t xml:space="preserve">Standard </w:t>
      </w:r>
      <w:r w:rsidRPr="00044D7E">
        <w:t>EN ISO 9172:2012 is referenced in 6.8.4 TT8 and TT11. EN ISO 9712 is referenced extensively in the standards of Chapter 6.2, however in these standards EN ISO 9712 is undated. As the dated edition of the standard is only referenced in Chapter 6.8, the Tanks Working Group have been asked to advise if the updated edition should be used or if the standard can</w:t>
      </w:r>
      <w:r>
        <w:t xml:space="preserve"> be undated.</w:t>
      </w:r>
    </w:p>
    <w:p w14:paraId="62EA8DB4" w14:textId="604424D4" w:rsidR="0064199F" w:rsidRDefault="0064199F" w:rsidP="00362587">
      <w:pPr>
        <w:pStyle w:val="H23G"/>
      </w:pPr>
      <w:r>
        <w:tab/>
        <w:t>6.</w:t>
      </w:r>
      <w:r>
        <w:tab/>
      </w:r>
      <w:r w:rsidRPr="00362587">
        <w:t>General</w:t>
      </w:r>
      <w:r>
        <w:t xml:space="preserve"> Purpose Standards</w:t>
      </w:r>
    </w:p>
    <w:p w14:paraId="5B4B11B3" w14:textId="1993E1B2" w:rsidR="0064199F" w:rsidRDefault="0064199F" w:rsidP="00362587">
      <w:pPr>
        <w:pStyle w:val="SingleTxtG"/>
      </w:pPr>
      <w:r>
        <w:t>No general purpose standards have been published since the last Joint Meeting. Nevertheless, it has been identified that EN 590:2013</w:t>
      </w:r>
      <w:r w:rsidR="002A7406">
        <w:t xml:space="preserve"> </w:t>
      </w:r>
      <w:r>
        <w:t>+</w:t>
      </w:r>
      <w:r w:rsidR="002A7406">
        <w:t xml:space="preserve"> </w:t>
      </w:r>
      <w:r>
        <w:t xml:space="preserve">A1:2017 has been replaced by EN 590:2022 </w:t>
      </w:r>
      <w:r w:rsidRPr="000E6F0B">
        <w:rPr>
          <w:i/>
          <w:iCs/>
        </w:rPr>
        <w:t>Automotive fuels. Diesel. Requirements and test methods</w:t>
      </w:r>
      <w:r>
        <w:t>.</w:t>
      </w:r>
    </w:p>
    <w:p w14:paraId="69F2DBAA" w14:textId="24AF7A8E" w:rsidR="0064199F" w:rsidRDefault="0064199F" w:rsidP="00362587">
      <w:pPr>
        <w:pStyle w:val="SingleTxtG"/>
      </w:pPr>
      <w:r>
        <w:t xml:space="preserve">EN 590 is referenced in 3.2.1, in 4.1.1.21.6 for UN 1202 and in 9.1.1.2. The Standards Working Group requests that the appropriate experts are consulted to confirm if </w:t>
      </w:r>
      <w:r w:rsidR="00B23CD3">
        <w:t>standard</w:t>
      </w:r>
      <w:r>
        <w:t xml:space="preserve"> EN</w:t>
      </w:r>
      <w:r w:rsidR="00E01B0E">
        <w:t> </w:t>
      </w:r>
      <w:r>
        <w:t>590:2022 should be included in RID/ADR or if the standard could be referenced undated.</w:t>
      </w:r>
    </w:p>
    <w:p w14:paraId="24E1E838" w14:textId="2740D2E7" w:rsidR="0064199F" w:rsidRDefault="0064199F" w:rsidP="00362587">
      <w:pPr>
        <w:pStyle w:val="H23G"/>
      </w:pPr>
      <w:r>
        <w:rPr>
          <w:bCs/>
        </w:rPr>
        <w:tab/>
        <w:t>7</w:t>
      </w:r>
      <w:r w:rsidRPr="00DE2E5E">
        <w:rPr>
          <w:bCs/>
        </w:rPr>
        <w:t>.</w:t>
      </w:r>
      <w:r>
        <w:rPr>
          <w:bCs/>
        </w:rPr>
        <w:tab/>
      </w:r>
      <w:r w:rsidRPr="009405D3">
        <w:t xml:space="preserve">Column </w:t>
      </w:r>
      <w:r>
        <w:t>(</w:t>
      </w:r>
      <w:r w:rsidRPr="009405D3">
        <w:t>3</w:t>
      </w:r>
      <w:r>
        <w:t>)</w:t>
      </w:r>
      <w:r w:rsidRPr="009405D3">
        <w:t xml:space="preserve"> in </w:t>
      </w:r>
      <w:r w:rsidRPr="00362587">
        <w:t>tables</w:t>
      </w:r>
      <w:r w:rsidRPr="009405D3">
        <w:t xml:space="preserve"> in Chapter</w:t>
      </w:r>
      <w:r w:rsidR="00E01B0E">
        <w:t>s</w:t>
      </w:r>
      <w:r w:rsidR="00296D22">
        <w:t xml:space="preserve"> </w:t>
      </w:r>
      <w:r w:rsidRPr="009405D3">
        <w:t>6.2 and 6.8</w:t>
      </w:r>
    </w:p>
    <w:p w14:paraId="09966F8F" w14:textId="07A6D6C9" w:rsidR="0064199F" w:rsidRDefault="0064199F" w:rsidP="00362587">
      <w:pPr>
        <w:pStyle w:val="SingleTxtG"/>
      </w:pPr>
      <w:r>
        <w:t>At the September 2023 session a late item was included in the report of the Standards Working Group concerning column (3) in Chapter</w:t>
      </w:r>
      <w:r w:rsidR="00E01B0E">
        <w:t>s</w:t>
      </w:r>
      <w:r>
        <w:t xml:space="preserve"> 6.2 and 6.8. At their meeting in February 2024 the Standards Working </w:t>
      </w:r>
      <w:r w:rsidRPr="00362587">
        <w:t>Group</w:t>
      </w:r>
      <w:r>
        <w:t xml:space="preserve"> discussed column (3) in more depth. It was noted that there is no equivalent column in the </w:t>
      </w:r>
      <w:r w:rsidRPr="002A7406">
        <w:rPr>
          <w:i/>
          <w:iCs/>
        </w:rPr>
        <w:t>Model Regulations</w:t>
      </w:r>
      <w:r>
        <w:t xml:space="preserve">. It was considered that column (3) </w:t>
      </w:r>
      <w:r>
        <w:lastRenderedPageBreak/>
        <w:t xml:space="preserve">was of use when standards were first introduced into RID/ADR. Members of the Standards Working Group said that when they look </w:t>
      </w:r>
      <w:r w:rsidR="0063186E">
        <w:t xml:space="preserve">at </w:t>
      </w:r>
      <w:r>
        <w:t>a standard, they would not just look at the sections referenced in column (3) but the entire regulations. In fact, all said they did not look at column</w:t>
      </w:r>
      <w:r w:rsidR="006E26CE">
        <w:t> </w:t>
      </w:r>
      <w:r>
        <w:t>(3).</w:t>
      </w:r>
    </w:p>
    <w:p w14:paraId="5B16ED36" w14:textId="174822FE" w:rsidR="00981212" w:rsidRDefault="0064199F" w:rsidP="00362587">
      <w:pPr>
        <w:pStyle w:val="SingleTxtG"/>
      </w:pPr>
      <w:r>
        <w:t>The recommendation to the Joint Meeting from the Standards Working Group is that column (3) is removed from Chapters 6.2 and 6.8. If the Joint Meeting agree</w:t>
      </w:r>
      <w:r w:rsidR="00B002D6">
        <w:t>s</w:t>
      </w:r>
      <w:r>
        <w:t xml:space="preserve"> to this</w:t>
      </w:r>
      <w:r w:rsidR="00B002D6">
        <w:t>,</w:t>
      </w:r>
      <w:r>
        <w:t xml:space="preserve"> an official document will be submitted for the next Joint Meeting for the removal of column (3) and any consequential changes.</w:t>
      </w:r>
    </w:p>
    <w:p w14:paraId="5AF4FFF3" w14:textId="040BF74E" w:rsidR="00362587" w:rsidRPr="00362587" w:rsidRDefault="00362587" w:rsidP="00362587">
      <w:pPr>
        <w:spacing w:before="240" w:after="0" w:line="240" w:lineRule="atLeast"/>
        <w:jc w:val="center"/>
        <w:rPr>
          <w:u w:val="single"/>
        </w:rPr>
      </w:pPr>
      <w:r>
        <w:rPr>
          <w:u w:val="single"/>
        </w:rPr>
        <w:tab/>
      </w:r>
      <w:r>
        <w:rPr>
          <w:u w:val="single"/>
        </w:rPr>
        <w:tab/>
      </w:r>
      <w:r>
        <w:rPr>
          <w:u w:val="single"/>
        </w:rPr>
        <w:tab/>
      </w:r>
    </w:p>
    <w:sectPr w:rsidR="00362587" w:rsidRPr="00362587" w:rsidSect="00735DC7">
      <w:headerReference w:type="even" r:id="rId11"/>
      <w:headerReference w:type="default" r:id="rId12"/>
      <w:footerReference w:type="even" r:id="rId13"/>
      <w:footerReference w:type="default" r:id="rId14"/>
      <w:headerReference w:type="first" r:id="rId15"/>
      <w:endnotePr>
        <w:numFmt w:val="decimal"/>
      </w:endnotePr>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99E07" w14:textId="77777777" w:rsidR="00A6580F" w:rsidRDefault="00A6580F"/>
  </w:endnote>
  <w:endnote w:type="continuationSeparator" w:id="0">
    <w:p w14:paraId="6EBCCA55" w14:textId="77777777" w:rsidR="00A6580F" w:rsidRDefault="00A6580F"/>
  </w:endnote>
  <w:endnote w:type="continuationNotice" w:id="1">
    <w:p w14:paraId="4DE5A509" w14:textId="77777777" w:rsidR="00A6580F" w:rsidRDefault="00A658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0F3FA" w14:textId="4EDD1CD5" w:rsidR="00021E68" w:rsidRPr="003B3A7E" w:rsidRDefault="00021E68" w:rsidP="003B3A7E">
    <w:pPr>
      <w:pStyle w:val="Footer"/>
    </w:pPr>
    <w:r>
      <w:rPr>
        <w:rStyle w:val="PageNumber"/>
      </w:rPr>
      <w:fldChar w:fldCharType="begin"/>
    </w:r>
    <w:r>
      <w:rPr>
        <w:rStyle w:val="PageNumber"/>
      </w:rPr>
      <w:instrText xml:space="preserve"> PAGE </w:instrText>
    </w:r>
    <w:r>
      <w:rPr>
        <w:rStyle w:val="PageNumber"/>
      </w:rPr>
      <w:fldChar w:fldCharType="separate"/>
    </w:r>
    <w:r w:rsidR="002B1AE2">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42EBD" w14:textId="2E05D5B2" w:rsidR="00021E68" w:rsidRDefault="00021E68" w:rsidP="003B3A7E">
    <w:pPr>
      <w:pStyle w:val="Footer"/>
      <w:jc w:val="right"/>
    </w:pPr>
    <w:r>
      <w:rPr>
        <w:rStyle w:val="PageNumber"/>
      </w:rPr>
      <w:fldChar w:fldCharType="begin"/>
    </w:r>
    <w:r>
      <w:rPr>
        <w:rStyle w:val="PageNumber"/>
      </w:rPr>
      <w:instrText xml:space="preserve"> PAGE </w:instrText>
    </w:r>
    <w:r>
      <w:rPr>
        <w:rStyle w:val="PageNumber"/>
      </w:rPr>
      <w:fldChar w:fldCharType="separate"/>
    </w:r>
    <w:r w:rsidR="002B1AE2">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257F0" w14:textId="77777777" w:rsidR="00A6580F" w:rsidRPr="000B175B" w:rsidRDefault="00A6580F" w:rsidP="000B175B">
      <w:pPr>
        <w:tabs>
          <w:tab w:val="right" w:pos="2155"/>
        </w:tabs>
        <w:spacing w:after="80"/>
        <w:ind w:left="680"/>
        <w:rPr>
          <w:u w:val="single"/>
        </w:rPr>
      </w:pPr>
      <w:r>
        <w:rPr>
          <w:u w:val="single"/>
        </w:rPr>
        <w:tab/>
      </w:r>
    </w:p>
  </w:footnote>
  <w:footnote w:type="continuationSeparator" w:id="0">
    <w:p w14:paraId="6D2A5D76" w14:textId="77777777" w:rsidR="00A6580F" w:rsidRPr="00FC68B7" w:rsidRDefault="00A6580F" w:rsidP="00FC68B7">
      <w:pPr>
        <w:tabs>
          <w:tab w:val="left" w:pos="2155"/>
        </w:tabs>
        <w:spacing w:after="80"/>
        <w:ind w:left="680"/>
        <w:rPr>
          <w:u w:val="single"/>
        </w:rPr>
      </w:pPr>
      <w:r>
        <w:rPr>
          <w:u w:val="single"/>
        </w:rPr>
        <w:tab/>
      </w:r>
    </w:p>
  </w:footnote>
  <w:footnote w:type="continuationNotice" w:id="1">
    <w:p w14:paraId="623AE65F" w14:textId="77777777" w:rsidR="00A6580F" w:rsidRDefault="00A658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DAAAE" w14:textId="127EC7E5" w:rsidR="00021E68" w:rsidRPr="0009455D" w:rsidRDefault="00021E68">
    <w:pPr>
      <w:pStyle w:val="Header"/>
      <w:rPr>
        <w:lang w:val="fr-CH"/>
      </w:rPr>
    </w:pPr>
    <w:r>
      <w:rPr>
        <w:lang w:val="fr-CH"/>
      </w:rPr>
      <w:t>INF.</w:t>
    </w:r>
    <w:r w:rsidR="00746A9C">
      <w:rPr>
        <w:lang w:val="fr-CH"/>
      </w:rPr>
      <w:t>1</w:t>
    </w:r>
    <w:r w:rsidR="00362587">
      <w:rPr>
        <w:lang w:val="fr-CH"/>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F65C5" w14:textId="6EF3B721" w:rsidR="00021E68" w:rsidRPr="00073BC9" w:rsidRDefault="00021E68" w:rsidP="0009455D">
    <w:pPr>
      <w:pStyle w:val="Header"/>
      <w:jc w:val="right"/>
    </w:pPr>
    <w:r>
      <w:t>INF.</w:t>
    </w:r>
    <w:r w:rsidR="007F368E">
      <w:t>1</w:t>
    </w:r>
    <w:r w:rsidR="00362587">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53512" w14:textId="743656DE" w:rsidR="00021E68" w:rsidRPr="006B2961" w:rsidRDefault="00021E68" w:rsidP="006B2961">
    <w:pPr>
      <w:pStyle w:val="Header"/>
      <w:jc w:val="right"/>
      <w:rPr>
        <w:sz w:val="28"/>
        <w:szCs w:val="28"/>
        <w:lang w:val="fr-CH"/>
      </w:rPr>
    </w:pPr>
    <w:r w:rsidRPr="00D857C7">
      <w:rPr>
        <w:sz w:val="28"/>
        <w:szCs w:val="28"/>
        <w:lang w:val="fr-CH"/>
      </w:rPr>
      <w:t>INF.</w:t>
    </w:r>
    <w:r w:rsidR="00483756">
      <w:rPr>
        <w:sz w:val="28"/>
        <w:szCs w:val="28"/>
        <w:lang w:val="fr-CH"/>
      </w:rPr>
      <w:t>1</w:t>
    </w:r>
    <w:r w:rsidR="00193539">
      <w:rPr>
        <w:sz w:val="28"/>
        <w:szCs w:val="28"/>
        <w:lang w:val="fr-CH"/>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D211FE1"/>
    <w:multiLevelType w:val="hybridMultilevel"/>
    <w:tmpl w:val="9B185678"/>
    <w:lvl w:ilvl="0" w:tplc="872035EA">
      <w:start w:val="10"/>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5D4BA3"/>
    <w:multiLevelType w:val="hybridMultilevel"/>
    <w:tmpl w:val="E95647AE"/>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EB56DD"/>
    <w:multiLevelType w:val="hybridMultilevel"/>
    <w:tmpl w:val="5BA05D9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56D5EC3"/>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0" w15:restartNumberingAfterBreak="0">
    <w:nsid w:val="38B77138"/>
    <w:multiLevelType w:val="hybridMultilevel"/>
    <w:tmpl w:val="E82C8D8E"/>
    <w:lvl w:ilvl="0" w:tplc="588A3AEC">
      <w:start w:val="1"/>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1" w15:restartNumberingAfterBreak="0">
    <w:nsid w:val="3A5E697A"/>
    <w:multiLevelType w:val="hybridMultilevel"/>
    <w:tmpl w:val="7C4847AA"/>
    <w:lvl w:ilvl="0" w:tplc="B6D49B54">
      <w:start w:val="11"/>
      <w:numFmt w:val="decimal"/>
      <w:lvlText w:val="%1."/>
      <w:lvlJc w:val="left"/>
      <w:pPr>
        <w:tabs>
          <w:tab w:val="num" w:pos="2055"/>
        </w:tabs>
        <w:ind w:left="2055" w:hanging="360"/>
      </w:pPr>
      <w:rPr>
        <w:rFonts w:hint="default"/>
      </w:rPr>
    </w:lvl>
    <w:lvl w:ilvl="1" w:tplc="04090019" w:tentative="1">
      <w:start w:val="1"/>
      <w:numFmt w:val="lowerLetter"/>
      <w:lvlText w:val="%2."/>
      <w:lvlJc w:val="left"/>
      <w:pPr>
        <w:tabs>
          <w:tab w:val="num" w:pos="2775"/>
        </w:tabs>
        <w:ind w:left="2775" w:hanging="360"/>
      </w:pPr>
    </w:lvl>
    <w:lvl w:ilvl="2" w:tplc="0409001B" w:tentative="1">
      <w:start w:val="1"/>
      <w:numFmt w:val="lowerRoman"/>
      <w:lvlText w:val="%3."/>
      <w:lvlJc w:val="right"/>
      <w:pPr>
        <w:tabs>
          <w:tab w:val="num" w:pos="3495"/>
        </w:tabs>
        <w:ind w:left="3495" w:hanging="180"/>
      </w:pPr>
    </w:lvl>
    <w:lvl w:ilvl="3" w:tplc="0409000F" w:tentative="1">
      <w:start w:val="1"/>
      <w:numFmt w:val="decimal"/>
      <w:lvlText w:val="%4."/>
      <w:lvlJc w:val="left"/>
      <w:pPr>
        <w:tabs>
          <w:tab w:val="num" w:pos="4215"/>
        </w:tabs>
        <w:ind w:left="4215" w:hanging="360"/>
      </w:pPr>
    </w:lvl>
    <w:lvl w:ilvl="4" w:tplc="04090019" w:tentative="1">
      <w:start w:val="1"/>
      <w:numFmt w:val="lowerLetter"/>
      <w:lvlText w:val="%5."/>
      <w:lvlJc w:val="left"/>
      <w:pPr>
        <w:tabs>
          <w:tab w:val="num" w:pos="4935"/>
        </w:tabs>
        <w:ind w:left="4935" w:hanging="360"/>
      </w:pPr>
    </w:lvl>
    <w:lvl w:ilvl="5" w:tplc="0409001B" w:tentative="1">
      <w:start w:val="1"/>
      <w:numFmt w:val="lowerRoman"/>
      <w:lvlText w:val="%6."/>
      <w:lvlJc w:val="right"/>
      <w:pPr>
        <w:tabs>
          <w:tab w:val="num" w:pos="5655"/>
        </w:tabs>
        <w:ind w:left="5655" w:hanging="180"/>
      </w:pPr>
    </w:lvl>
    <w:lvl w:ilvl="6" w:tplc="0409000F" w:tentative="1">
      <w:start w:val="1"/>
      <w:numFmt w:val="decimal"/>
      <w:lvlText w:val="%7."/>
      <w:lvlJc w:val="left"/>
      <w:pPr>
        <w:tabs>
          <w:tab w:val="num" w:pos="6375"/>
        </w:tabs>
        <w:ind w:left="6375" w:hanging="360"/>
      </w:pPr>
    </w:lvl>
    <w:lvl w:ilvl="7" w:tplc="04090019" w:tentative="1">
      <w:start w:val="1"/>
      <w:numFmt w:val="lowerLetter"/>
      <w:lvlText w:val="%8."/>
      <w:lvlJc w:val="left"/>
      <w:pPr>
        <w:tabs>
          <w:tab w:val="num" w:pos="7095"/>
        </w:tabs>
        <w:ind w:left="7095" w:hanging="360"/>
      </w:pPr>
    </w:lvl>
    <w:lvl w:ilvl="8" w:tplc="0409001B" w:tentative="1">
      <w:start w:val="1"/>
      <w:numFmt w:val="lowerRoman"/>
      <w:lvlText w:val="%9."/>
      <w:lvlJc w:val="right"/>
      <w:pPr>
        <w:tabs>
          <w:tab w:val="num" w:pos="7815"/>
        </w:tabs>
        <w:ind w:left="7815" w:hanging="180"/>
      </w:pPr>
    </w:lvl>
  </w:abstractNum>
  <w:abstractNum w:abstractNumId="22" w15:restartNumberingAfterBreak="0">
    <w:nsid w:val="44BF1240"/>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3" w15:restartNumberingAfterBreak="0">
    <w:nsid w:val="64473BB3"/>
    <w:multiLevelType w:val="hybridMultilevel"/>
    <w:tmpl w:val="DEECA174"/>
    <w:lvl w:ilvl="0" w:tplc="5FACC2DC">
      <w:numFmt w:val="bullet"/>
      <w:lvlText w:val="-"/>
      <w:lvlJc w:val="left"/>
      <w:pPr>
        <w:tabs>
          <w:tab w:val="num" w:pos="360"/>
        </w:tabs>
        <w:ind w:left="360" w:hanging="360"/>
      </w:pPr>
      <w:rPr>
        <w:rFonts w:ascii="Arial" w:eastAsia="Times New Roman" w:hAnsi="Arial" w:cs="Arial" w:hint="default"/>
        <w:color w:val="auto"/>
      </w:rPr>
    </w:lvl>
    <w:lvl w:ilvl="1" w:tplc="100C0003" w:tentative="1">
      <w:start w:val="1"/>
      <w:numFmt w:val="bullet"/>
      <w:lvlText w:val="o"/>
      <w:lvlJc w:val="left"/>
      <w:pPr>
        <w:tabs>
          <w:tab w:val="num" w:pos="1080"/>
        </w:tabs>
        <w:ind w:left="1080" w:hanging="360"/>
      </w:pPr>
      <w:rPr>
        <w:rFonts w:ascii="Courier New" w:hAnsi="Courier New" w:cs="Courier New" w:hint="default"/>
      </w:rPr>
    </w:lvl>
    <w:lvl w:ilvl="2" w:tplc="100C0005" w:tentative="1">
      <w:start w:val="1"/>
      <w:numFmt w:val="bullet"/>
      <w:lvlText w:val=""/>
      <w:lvlJc w:val="left"/>
      <w:pPr>
        <w:tabs>
          <w:tab w:val="num" w:pos="1800"/>
        </w:tabs>
        <w:ind w:left="1800" w:hanging="360"/>
      </w:pPr>
      <w:rPr>
        <w:rFonts w:ascii="Wingdings" w:hAnsi="Wingdings" w:hint="default"/>
      </w:rPr>
    </w:lvl>
    <w:lvl w:ilvl="3" w:tplc="100C0001" w:tentative="1">
      <w:start w:val="1"/>
      <w:numFmt w:val="bullet"/>
      <w:lvlText w:val=""/>
      <w:lvlJc w:val="left"/>
      <w:pPr>
        <w:tabs>
          <w:tab w:val="num" w:pos="2520"/>
        </w:tabs>
        <w:ind w:left="2520" w:hanging="360"/>
      </w:pPr>
      <w:rPr>
        <w:rFonts w:ascii="Symbol" w:hAnsi="Symbol" w:hint="default"/>
      </w:rPr>
    </w:lvl>
    <w:lvl w:ilvl="4" w:tplc="100C0003" w:tentative="1">
      <w:start w:val="1"/>
      <w:numFmt w:val="bullet"/>
      <w:lvlText w:val="o"/>
      <w:lvlJc w:val="left"/>
      <w:pPr>
        <w:tabs>
          <w:tab w:val="num" w:pos="3240"/>
        </w:tabs>
        <w:ind w:left="3240" w:hanging="360"/>
      </w:pPr>
      <w:rPr>
        <w:rFonts w:ascii="Courier New" w:hAnsi="Courier New" w:cs="Courier New" w:hint="default"/>
      </w:rPr>
    </w:lvl>
    <w:lvl w:ilvl="5" w:tplc="100C0005" w:tentative="1">
      <w:start w:val="1"/>
      <w:numFmt w:val="bullet"/>
      <w:lvlText w:val=""/>
      <w:lvlJc w:val="left"/>
      <w:pPr>
        <w:tabs>
          <w:tab w:val="num" w:pos="3960"/>
        </w:tabs>
        <w:ind w:left="3960" w:hanging="360"/>
      </w:pPr>
      <w:rPr>
        <w:rFonts w:ascii="Wingdings" w:hAnsi="Wingdings" w:hint="default"/>
      </w:rPr>
    </w:lvl>
    <w:lvl w:ilvl="6" w:tplc="100C0001" w:tentative="1">
      <w:start w:val="1"/>
      <w:numFmt w:val="bullet"/>
      <w:lvlText w:val=""/>
      <w:lvlJc w:val="left"/>
      <w:pPr>
        <w:tabs>
          <w:tab w:val="num" w:pos="4680"/>
        </w:tabs>
        <w:ind w:left="4680" w:hanging="360"/>
      </w:pPr>
      <w:rPr>
        <w:rFonts w:ascii="Symbol" w:hAnsi="Symbol" w:hint="default"/>
      </w:rPr>
    </w:lvl>
    <w:lvl w:ilvl="7" w:tplc="100C0003" w:tentative="1">
      <w:start w:val="1"/>
      <w:numFmt w:val="bullet"/>
      <w:lvlText w:val="o"/>
      <w:lvlJc w:val="left"/>
      <w:pPr>
        <w:tabs>
          <w:tab w:val="num" w:pos="5400"/>
        </w:tabs>
        <w:ind w:left="5400" w:hanging="360"/>
      </w:pPr>
      <w:rPr>
        <w:rFonts w:ascii="Courier New" w:hAnsi="Courier New" w:cs="Courier New" w:hint="default"/>
      </w:rPr>
    </w:lvl>
    <w:lvl w:ilvl="8" w:tplc="100C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521B60"/>
    <w:multiLevelType w:val="hybridMultilevel"/>
    <w:tmpl w:val="277E7100"/>
    <w:lvl w:ilvl="0" w:tplc="B7FCD29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15:restartNumberingAfterBreak="0">
    <w:nsid w:val="71E37019"/>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BDA391A"/>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num w:numId="1" w16cid:durableId="746415933">
    <w:abstractNumId w:val="1"/>
  </w:num>
  <w:num w:numId="2" w16cid:durableId="940137811">
    <w:abstractNumId w:val="0"/>
  </w:num>
  <w:num w:numId="3" w16cid:durableId="250897319">
    <w:abstractNumId w:val="2"/>
  </w:num>
  <w:num w:numId="4" w16cid:durableId="160118812">
    <w:abstractNumId w:val="3"/>
  </w:num>
  <w:num w:numId="5" w16cid:durableId="1085030322">
    <w:abstractNumId w:val="8"/>
  </w:num>
  <w:num w:numId="6" w16cid:durableId="1362633612">
    <w:abstractNumId w:val="9"/>
  </w:num>
  <w:num w:numId="7" w16cid:durableId="2123063773">
    <w:abstractNumId w:val="7"/>
  </w:num>
  <w:num w:numId="8" w16cid:durableId="1610503639">
    <w:abstractNumId w:val="6"/>
  </w:num>
  <w:num w:numId="9" w16cid:durableId="2036147405">
    <w:abstractNumId w:val="5"/>
  </w:num>
  <w:num w:numId="10" w16cid:durableId="1737584267">
    <w:abstractNumId w:val="4"/>
  </w:num>
  <w:num w:numId="11" w16cid:durableId="907225782">
    <w:abstractNumId w:val="16"/>
  </w:num>
  <w:num w:numId="12" w16cid:durableId="692075847">
    <w:abstractNumId w:val="14"/>
  </w:num>
  <w:num w:numId="13" w16cid:durableId="1950353850">
    <w:abstractNumId w:val="10"/>
  </w:num>
  <w:num w:numId="14" w16cid:durableId="1357656930">
    <w:abstractNumId w:val="11"/>
  </w:num>
  <w:num w:numId="15" w16cid:durableId="116527628">
    <w:abstractNumId w:val="18"/>
  </w:num>
  <w:num w:numId="16" w16cid:durableId="608315694">
    <w:abstractNumId w:val="13"/>
  </w:num>
  <w:num w:numId="17" w16cid:durableId="1802528721">
    <w:abstractNumId w:val="24"/>
  </w:num>
  <w:num w:numId="18" w16cid:durableId="55594120">
    <w:abstractNumId w:val="27"/>
  </w:num>
  <w:num w:numId="19" w16cid:durableId="766073106">
    <w:abstractNumId w:val="23"/>
  </w:num>
  <w:num w:numId="20" w16cid:durableId="1815021586">
    <w:abstractNumId w:val="12"/>
  </w:num>
  <w:num w:numId="21" w16cid:durableId="2012903382">
    <w:abstractNumId w:val="20"/>
  </w:num>
  <w:num w:numId="22" w16cid:durableId="1089235904">
    <w:abstractNumId w:val="28"/>
  </w:num>
  <w:num w:numId="23" w16cid:durableId="116993930">
    <w:abstractNumId w:val="19"/>
  </w:num>
  <w:num w:numId="24" w16cid:durableId="284426730">
    <w:abstractNumId w:val="22"/>
  </w:num>
  <w:num w:numId="25" w16cid:durableId="775902413">
    <w:abstractNumId w:val="26"/>
  </w:num>
  <w:num w:numId="26" w16cid:durableId="1489007523">
    <w:abstractNumId w:val="21"/>
  </w:num>
  <w:num w:numId="27" w16cid:durableId="450363729">
    <w:abstractNumId w:val="17"/>
  </w:num>
  <w:num w:numId="28" w16cid:durableId="948045479">
    <w:abstractNumId w:val="25"/>
  </w:num>
  <w:num w:numId="29" w16cid:durableId="1602179133">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GB" w:vendorID="64" w:dllVersion="5" w:nlCheck="1" w:checkStyle="1"/>
  <w:activeWritingStyle w:appName="MSWord" w:lang="en-GB" w:vendorID="64" w:dllVersion="6" w:nlCheck="1" w:checkStyle="0"/>
  <w:activeWritingStyle w:appName="MSWord" w:lang="en-US" w:vendorID="64" w:dllVersion="6" w:nlCheck="1" w:checkStyle="1"/>
  <w:activeWritingStyle w:appName="MSWord" w:lang="fr-CH" w:vendorID="64" w:dllVersion="6" w:nlCheck="1" w:checkStyle="0"/>
  <w:activeWritingStyle w:appName="MSWord" w:lang="fr-FR"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3C6"/>
    <w:rsid w:val="00002A7D"/>
    <w:rsid w:val="000038A8"/>
    <w:rsid w:val="000041B2"/>
    <w:rsid w:val="00004CB4"/>
    <w:rsid w:val="00006790"/>
    <w:rsid w:val="00007997"/>
    <w:rsid w:val="00011674"/>
    <w:rsid w:val="000154D4"/>
    <w:rsid w:val="000154F1"/>
    <w:rsid w:val="0002055A"/>
    <w:rsid w:val="00021E68"/>
    <w:rsid w:val="00027624"/>
    <w:rsid w:val="00027E77"/>
    <w:rsid w:val="00031F0D"/>
    <w:rsid w:val="000336C4"/>
    <w:rsid w:val="00034F1E"/>
    <w:rsid w:val="000408A1"/>
    <w:rsid w:val="00046B3F"/>
    <w:rsid w:val="00050F6B"/>
    <w:rsid w:val="00056E1C"/>
    <w:rsid w:val="00057D31"/>
    <w:rsid w:val="00060650"/>
    <w:rsid w:val="00060675"/>
    <w:rsid w:val="000616FF"/>
    <w:rsid w:val="00062540"/>
    <w:rsid w:val="0006357E"/>
    <w:rsid w:val="000677D8"/>
    <w:rsid w:val="000678CD"/>
    <w:rsid w:val="0007177C"/>
    <w:rsid w:val="00071813"/>
    <w:rsid w:val="00072C8C"/>
    <w:rsid w:val="00073BC9"/>
    <w:rsid w:val="00074041"/>
    <w:rsid w:val="000743DF"/>
    <w:rsid w:val="00075498"/>
    <w:rsid w:val="00076E06"/>
    <w:rsid w:val="0007719F"/>
    <w:rsid w:val="00081CE0"/>
    <w:rsid w:val="00081E5B"/>
    <w:rsid w:val="000848FF"/>
    <w:rsid w:val="000849FA"/>
    <w:rsid w:val="00084D30"/>
    <w:rsid w:val="00090320"/>
    <w:rsid w:val="00091148"/>
    <w:rsid w:val="000929E0"/>
    <w:rsid w:val="000931C0"/>
    <w:rsid w:val="0009338E"/>
    <w:rsid w:val="0009455D"/>
    <w:rsid w:val="00095148"/>
    <w:rsid w:val="00097793"/>
    <w:rsid w:val="000A09D9"/>
    <w:rsid w:val="000A2E09"/>
    <w:rsid w:val="000B175B"/>
    <w:rsid w:val="000B2C97"/>
    <w:rsid w:val="000B3627"/>
    <w:rsid w:val="000B3A0F"/>
    <w:rsid w:val="000B404B"/>
    <w:rsid w:val="000B41FA"/>
    <w:rsid w:val="000C2A7D"/>
    <w:rsid w:val="000C416B"/>
    <w:rsid w:val="000C60B4"/>
    <w:rsid w:val="000C780C"/>
    <w:rsid w:val="000C7DCF"/>
    <w:rsid w:val="000D15B5"/>
    <w:rsid w:val="000E0146"/>
    <w:rsid w:val="000E0415"/>
    <w:rsid w:val="000E0A45"/>
    <w:rsid w:val="000E233A"/>
    <w:rsid w:val="000E58CD"/>
    <w:rsid w:val="000E7EB0"/>
    <w:rsid w:val="000F3AFC"/>
    <w:rsid w:val="000F7715"/>
    <w:rsid w:val="00102C30"/>
    <w:rsid w:val="00103E99"/>
    <w:rsid w:val="00105662"/>
    <w:rsid w:val="00112A8E"/>
    <w:rsid w:val="00113AC5"/>
    <w:rsid w:val="00117315"/>
    <w:rsid w:val="001305E3"/>
    <w:rsid w:val="00132922"/>
    <w:rsid w:val="00137561"/>
    <w:rsid w:val="00140A11"/>
    <w:rsid w:val="0014401A"/>
    <w:rsid w:val="00147A0B"/>
    <w:rsid w:val="00147FE3"/>
    <w:rsid w:val="00156B99"/>
    <w:rsid w:val="0015713B"/>
    <w:rsid w:val="00166124"/>
    <w:rsid w:val="00167F20"/>
    <w:rsid w:val="0017009E"/>
    <w:rsid w:val="00172600"/>
    <w:rsid w:val="00174EC8"/>
    <w:rsid w:val="0017602B"/>
    <w:rsid w:val="001764AA"/>
    <w:rsid w:val="001765D7"/>
    <w:rsid w:val="00176739"/>
    <w:rsid w:val="00184DDA"/>
    <w:rsid w:val="001900CD"/>
    <w:rsid w:val="00193539"/>
    <w:rsid w:val="00193D85"/>
    <w:rsid w:val="0019444B"/>
    <w:rsid w:val="001A0452"/>
    <w:rsid w:val="001A3481"/>
    <w:rsid w:val="001A5F15"/>
    <w:rsid w:val="001A7832"/>
    <w:rsid w:val="001B4B04"/>
    <w:rsid w:val="001B51F8"/>
    <w:rsid w:val="001B5875"/>
    <w:rsid w:val="001B6D96"/>
    <w:rsid w:val="001C3A25"/>
    <w:rsid w:val="001C4B28"/>
    <w:rsid w:val="001C4B9C"/>
    <w:rsid w:val="001C6663"/>
    <w:rsid w:val="001C7895"/>
    <w:rsid w:val="001D15C4"/>
    <w:rsid w:val="001D26DF"/>
    <w:rsid w:val="001D312D"/>
    <w:rsid w:val="001D5626"/>
    <w:rsid w:val="001D5FA8"/>
    <w:rsid w:val="001E0DF6"/>
    <w:rsid w:val="001E4649"/>
    <w:rsid w:val="001F12DF"/>
    <w:rsid w:val="001F1422"/>
    <w:rsid w:val="001F1599"/>
    <w:rsid w:val="001F1961"/>
    <w:rsid w:val="001F19C4"/>
    <w:rsid w:val="001F4788"/>
    <w:rsid w:val="001F5C99"/>
    <w:rsid w:val="001F6B91"/>
    <w:rsid w:val="00200570"/>
    <w:rsid w:val="00202DD6"/>
    <w:rsid w:val="002043F0"/>
    <w:rsid w:val="002060B9"/>
    <w:rsid w:val="00210140"/>
    <w:rsid w:val="00211E0B"/>
    <w:rsid w:val="00215A1B"/>
    <w:rsid w:val="00216BB2"/>
    <w:rsid w:val="00217EA8"/>
    <w:rsid w:val="00232575"/>
    <w:rsid w:val="00233572"/>
    <w:rsid w:val="0023589F"/>
    <w:rsid w:val="00235FA8"/>
    <w:rsid w:val="00242AFE"/>
    <w:rsid w:val="00243F8C"/>
    <w:rsid w:val="00247258"/>
    <w:rsid w:val="00250356"/>
    <w:rsid w:val="00254D55"/>
    <w:rsid w:val="002565C8"/>
    <w:rsid w:val="002574B9"/>
    <w:rsid w:val="00257CAC"/>
    <w:rsid w:val="00262D91"/>
    <w:rsid w:val="002815FC"/>
    <w:rsid w:val="002821FB"/>
    <w:rsid w:val="00284862"/>
    <w:rsid w:val="002902E0"/>
    <w:rsid w:val="002909F9"/>
    <w:rsid w:val="002924BB"/>
    <w:rsid w:val="002933A6"/>
    <w:rsid w:val="002938DB"/>
    <w:rsid w:val="00294042"/>
    <w:rsid w:val="00295F1A"/>
    <w:rsid w:val="00296D22"/>
    <w:rsid w:val="002974E9"/>
    <w:rsid w:val="002A214F"/>
    <w:rsid w:val="002A4D94"/>
    <w:rsid w:val="002A6D75"/>
    <w:rsid w:val="002A7406"/>
    <w:rsid w:val="002A7F94"/>
    <w:rsid w:val="002B109A"/>
    <w:rsid w:val="002B1AE2"/>
    <w:rsid w:val="002B5129"/>
    <w:rsid w:val="002B79C1"/>
    <w:rsid w:val="002C1973"/>
    <w:rsid w:val="002C4661"/>
    <w:rsid w:val="002C57D6"/>
    <w:rsid w:val="002C6D45"/>
    <w:rsid w:val="002C7FD9"/>
    <w:rsid w:val="002D16BD"/>
    <w:rsid w:val="002D1828"/>
    <w:rsid w:val="002D3215"/>
    <w:rsid w:val="002D4CF0"/>
    <w:rsid w:val="002D5A7C"/>
    <w:rsid w:val="002D6E53"/>
    <w:rsid w:val="002D743E"/>
    <w:rsid w:val="002E2296"/>
    <w:rsid w:val="002E2AF2"/>
    <w:rsid w:val="002E49EA"/>
    <w:rsid w:val="002F046D"/>
    <w:rsid w:val="002F093B"/>
    <w:rsid w:val="003007E7"/>
    <w:rsid w:val="00301764"/>
    <w:rsid w:val="00302B3E"/>
    <w:rsid w:val="003143F2"/>
    <w:rsid w:val="003229D8"/>
    <w:rsid w:val="00323AD2"/>
    <w:rsid w:val="0032484E"/>
    <w:rsid w:val="00333784"/>
    <w:rsid w:val="00336080"/>
    <w:rsid w:val="00336C97"/>
    <w:rsid w:val="003372D0"/>
    <w:rsid w:val="00337D65"/>
    <w:rsid w:val="00337F88"/>
    <w:rsid w:val="00340D8D"/>
    <w:rsid w:val="00342432"/>
    <w:rsid w:val="003445E5"/>
    <w:rsid w:val="00350B59"/>
    <w:rsid w:val="00352D4B"/>
    <w:rsid w:val="00354724"/>
    <w:rsid w:val="00354AAE"/>
    <w:rsid w:val="00354CED"/>
    <w:rsid w:val="0035638C"/>
    <w:rsid w:val="003564DC"/>
    <w:rsid w:val="00361991"/>
    <w:rsid w:val="00362587"/>
    <w:rsid w:val="00367BBF"/>
    <w:rsid w:val="00367F33"/>
    <w:rsid w:val="00370928"/>
    <w:rsid w:val="00371FDD"/>
    <w:rsid w:val="00372A69"/>
    <w:rsid w:val="00373041"/>
    <w:rsid w:val="00374AD3"/>
    <w:rsid w:val="00375A23"/>
    <w:rsid w:val="0038056A"/>
    <w:rsid w:val="003806F0"/>
    <w:rsid w:val="003813BD"/>
    <w:rsid w:val="0038499B"/>
    <w:rsid w:val="003850BD"/>
    <w:rsid w:val="003865A8"/>
    <w:rsid w:val="00391A73"/>
    <w:rsid w:val="003921E5"/>
    <w:rsid w:val="0039424F"/>
    <w:rsid w:val="0039609E"/>
    <w:rsid w:val="00397A64"/>
    <w:rsid w:val="003A1C51"/>
    <w:rsid w:val="003A46BB"/>
    <w:rsid w:val="003A4EC7"/>
    <w:rsid w:val="003A7295"/>
    <w:rsid w:val="003A78D4"/>
    <w:rsid w:val="003B115E"/>
    <w:rsid w:val="003B1F60"/>
    <w:rsid w:val="003B3A7E"/>
    <w:rsid w:val="003B4643"/>
    <w:rsid w:val="003C1732"/>
    <w:rsid w:val="003C2732"/>
    <w:rsid w:val="003C2CC4"/>
    <w:rsid w:val="003C3176"/>
    <w:rsid w:val="003C5D25"/>
    <w:rsid w:val="003C7026"/>
    <w:rsid w:val="003D4B23"/>
    <w:rsid w:val="003D58A1"/>
    <w:rsid w:val="003D5FCE"/>
    <w:rsid w:val="003D6C76"/>
    <w:rsid w:val="003E278A"/>
    <w:rsid w:val="003E3D94"/>
    <w:rsid w:val="003E564E"/>
    <w:rsid w:val="003E56B3"/>
    <w:rsid w:val="003F068C"/>
    <w:rsid w:val="004019C8"/>
    <w:rsid w:val="004032CF"/>
    <w:rsid w:val="0040454A"/>
    <w:rsid w:val="004116EE"/>
    <w:rsid w:val="00413520"/>
    <w:rsid w:val="00414F7A"/>
    <w:rsid w:val="004151F6"/>
    <w:rsid w:val="00430DD4"/>
    <w:rsid w:val="00431D4D"/>
    <w:rsid w:val="004325CB"/>
    <w:rsid w:val="00433A82"/>
    <w:rsid w:val="00433B98"/>
    <w:rsid w:val="00435D4B"/>
    <w:rsid w:val="00437737"/>
    <w:rsid w:val="00440A07"/>
    <w:rsid w:val="004411B0"/>
    <w:rsid w:val="00444E7B"/>
    <w:rsid w:val="00446C61"/>
    <w:rsid w:val="004472CB"/>
    <w:rsid w:val="00447EAE"/>
    <w:rsid w:val="004520E1"/>
    <w:rsid w:val="00453060"/>
    <w:rsid w:val="00461BD7"/>
    <w:rsid w:val="00462880"/>
    <w:rsid w:val="0047298C"/>
    <w:rsid w:val="004736B2"/>
    <w:rsid w:val="0047429E"/>
    <w:rsid w:val="00476F24"/>
    <w:rsid w:val="00477528"/>
    <w:rsid w:val="00480B89"/>
    <w:rsid w:val="00483756"/>
    <w:rsid w:val="0048402E"/>
    <w:rsid w:val="004909E7"/>
    <w:rsid w:val="004A1BDB"/>
    <w:rsid w:val="004A35FB"/>
    <w:rsid w:val="004A3C94"/>
    <w:rsid w:val="004B0DA2"/>
    <w:rsid w:val="004B45B0"/>
    <w:rsid w:val="004B5B23"/>
    <w:rsid w:val="004B6EA7"/>
    <w:rsid w:val="004B74ED"/>
    <w:rsid w:val="004B7EA2"/>
    <w:rsid w:val="004C17F5"/>
    <w:rsid w:val="004C4C1F"/>
    <w:rsid w:val="004C54B9"/>
    <w:rsid w:val="004C55B0"/>
    <w:rsid w:val="004D51F6"/>
    <w:rsid w:val="004D6BE9"/>
    <w:rsid w:val="004E0327"/>
    <w:rsid w:val="004E106B"/>
    <w:rsid w:val="004E168D"/>
    <w:rsid w:val="004E4179"/>
    <w:rsid w:val="004F24D7"/>
    <w:rsid w:val="004F3F8F"/>
    <w:rsid w:val="004F46FE"/>
    <w:rsid w:val="004F6BA0"/>
    <w:rsid w:val="00501978"/>
    <w:rsid w:val="00501F8B"/>
    <w:rsid w:val="005034CE"/>
    <w:rsid w:val="00503BEA"/>
    <w:rsid w:val="0050410A"/>
    <w:rsid w:val="00507A3E"/>
    <w:rsid w:val="005106A5"/>
    <w:rsid w:val="0051387F"/>
    <w:rsid w:val="0052089D"/>
    <w:rsid w:val="0052097E"/>
    <w:rsid w:val="00521317"/>
    <w:rsid w:val="00521BD8"/>
    <w:rsid w:val="00522FCB"/>
    <w:rsid w:val="00531CA5"/>
    <w:rsid w:val="00533616"/>
    <w:rsid w:val="00535170"/>
    <w:rsid w:val="00535ABA"/>
    <w:rsid w:val="005371A0"/>
    <w:rsid w:val="0053768B"/>
    <w:rsid w:val="00541630"/>
    <w:rsid w:val="005420F2"/>
    <w:rsid w:val="0054285C"/>
    <w:rsid w:val="00547A88"/>
    <w:rsid w:val="00551AE1"/>
    <w:rsid w:val="0055514F"/>
    <w:rsid w:val="005566B9"/>
    <w:rsid w:val="00557DCF"/>
    <w:rsid w:val="00560572"/>
    <w:rsid w:val="005634E3"/>
    <w:rsid w:val="00564BF4"/>
    <w:rsid w:val="00566B08"/>
    <w:rsid w:val="005712E7"/>
    <w:rsid w:val="00573297"/>
    <w:rsid w:val="0057505B"/>
    <w:rsid w:val="00582239"/>
    <w:rsid w:val="00584173"/>
    <w:rsid w:val="005850DE"/>
    <w:rsid w:val="00587BBB"/>
    <w:rsid w:val="00595520"/>
    <w:rsid w:val="0059559A"/>
    <w:rsid w:val="005A0287"/>
    <w:rsid w:val="005A2539"/>
    <w:rsid w:val="005A28C9"/>
    <w:rsid w:val="005A2FA9"/>
    <w:rsid w:val="005A44B9"/>
    <w:rsid w:val="005A4F77"/>
    <w:rsid w:val="005A548A"/>
    <w:rsid w:val="005A683E"/>
    <w:rsid w:val="005B1BA0"/>
    <w:rsid w:val="005B3DB3"/>
    <w:rsid w:val="005B538B"/>
    <w:rsid w:val="005B56E9"/>
    <w:rsid w:val="005B6365"/>
    <w:rsid w:val="005D15CA"/>
    <w:rsid w:val="005D390C"/>
    <w:rsid w:val="005D4066"/>
    <w:rsid w:val="005E7B00"/>
    <w:rsid w:val="005F3066"/>
    <w:rsid w:val="005F344C"/>
    <w:rsid w:val="005F3E61"/>
    <w:rsid w:val="005F51F6"/>
    <w:rsid w:val="005F69C7"/>
    <w:rsid w:val="00604DDD"/>
    <w:rsid w:val="00606222"/>
    <w:rsid w:val="00610DFE"/>
    <w:rsid w:val="0061121F"/>
    <w:rsid w:val="006115CC"/>
    <w:rsid w:val="00611FC4"/>
    <w:rsid w:val="00612929"/>
    <w:rsid w:val="00613302"/>
    <w:rsid w:val="00614EC5"/>
    <w:rsid w:val="006176FB"/>
    <w:rsid w:val="00617D7E"/>
    <w:rsid w:val="0062380F"/>
    <w:rsid w:val="0062564C"/>
    <w:rsid w:val="006258D0"/>
    <w:rsid w:val="00630FCB"/>
    <w:rsid w:val="0063186E"/>
    <w:rsid w:val="00632F10"/>
    <w:rsid w:val="0063330B"/>
    <w:rsid w:val="0064017F"/>
    <w:rsid w:val="00640B26"/>
    <w:rsid w:val="0064199F"/>
    <w:rsid w:val="00642502"/>
    <w:rsid w:val="00643BD3"/>
    <w:rsid w:val="00644A26"/>
    <w:rsid w:val="00646BA3"/>
    <w:rsid w:val="006516F3"/>
    <w:rsid w:val="00651A29"/>
    <w:rsid w:val="0066061F"/>
    <w:rsid w:val="00660E5D"/>
    <w:rsid w:val="006643C6"/>
    <w:rsid w:val="00664B5E"/>
    <w:rsid w:val="00667346"/>
    <w:rsid w:val="006675BA"/>
    <w:rsid w:val="00667D6B"/>
    <w:rsid w:val="006770B2"/>
    <w:rsid w:val="00677C63"/>
    <w:rsid w:val="00684CDE"/>
    <w:rsid w:val="006940E1"/>
    <w:rsid w:val="006A1D39"/>
    <w:rsid w:val="006A3C72"/>
    <w:rsid w:val="006A7392"/>
    <w:rsid w:val="006B03A1"/>
    <w:rsid w:val="006B2961"/>
    <w:rsid w:val="006B59A4"/>
    <w:rsid w:val="006B5F72"/>
    <w:rsid w:val="006B67D9"/>
    <w:rsid w:val="006C1772"/>
    <w:rsid w:val="006C5535"/>
    <w:rsid w:val="006D0589"/>
    <w:rsid w:val="006D5290"/>
    <w:rsid w:val="006D54F8"/>
    <w:rsid w:val="006E26CE"/>
    <w:rsid w:val="006E361F"/>
    <w:rsid w:val="006E564B"/>
    <w:rsid w:val="006E6FC4"/>
    <w:rsid w:val="006E7154"/>
    <w:rsid w:val="006E786B"/>
    <w:rsid w:val="006F07DD"/>
    <w:rsid w:val="006F0884"/>
    <w:rsid w:val="006F1836"/>
    <w:rsid w:val="006F5AFF"/>
    <w:rsid w:val="007003CD"/>
    <w:rsid w:val="00703A6D"/>
    <w:rsid w:val="00706D13"/>
    <w:rsid w:val="0070701E"/>
    <w:rsid w:val="0070702F"/>
    <w:rsid w:val="00714B5C"/>
    <w:rsid w:val="00715BE5"/>
    <w:rsid w:val="00722510"/>
    <w:rsid w:val="00725AB6"/>
    <w:rsid w:val="0072632A"/>
    <w:rsid w:val="007271BE"/>
    <w:rsid w:val="0073482D"/>
    <w:rsid w:val="00734EA7"/>
    <w:rsid w:val="007358E8"/>
    <w:rsid w:val="00735DC7"/>
    <w:rsid w:val="00736ECE"/>
    <w:rsid w:val="00736FB7"/>
    <w:rsid w:val="00737D52"/>
    <w:rsid w:val="0074533B"/>
    <w:rsid w:val="00746694"/>
    <w:rsid w:val="00746A9C"/>
    <w:rsid w:val="00752E41"/>
    <w:rsid w:val="007535E5"/>
    <w:rsid w:val="00762EA6"/>
    <w:rsid w:val="007630A0"/>
    <w:rsid w:val="00763642"/>
    <w:rsid w:val="0076432E"/>
    <w:rsid w:val="007643BC"/>
    <w:rsid w:val="0076523B"/>
    <w:rsid w:val="00770846"/>
    <w:rsid w:val="007810E1"/>
    <w:rsid w:val="007827AC"/>
    <w:rsid w:val="007959FE"/>
    <w:rsid w:val="00795E37"/>
    <w:rsid w:val="007A0CF1"/>
    <w:rsid w:val="007A19BD"/>
    <w:rsid w:val="007A3557"/>
    <w:rsid w:val="007A571F"/>
    <w:rsid w:val="007A7652"/>
    <w:rsid w:val="007A7BE3"/>
    <w:rsid w:val="007A7CC0"/>
    <w:rsid w:val="007B1A05"/>
    <w:rsid w:val="007B47F4"/>
    <w:rsid w:val="007B6A61"/>
    <w:rsid w:val="007B6BA5"/>
    <w:rsid w:val="007B71AD"/>
    <w:rsid w:val="007B73FE"/>
    <w:rsid w:val="007C01A9"/>
    <w:rsid w:val="007C3390"/>
    <w:rsid w:val="007C42D8"/>
    <w:rsid w:val="007C4F4B"/>
    <w:rsid w:val="007C68C8"/>
    <w:rsid w:val="007D12EF"/>
    <w:rsid w:val="007D35D4"/>
    <w:rsid w:val="007D5759"/>
    <w:rsid w:val="007D7362"/>
    <w:rsid w:val="007E0FB2"/>
    <w:rsid w:val="007E2259"/>
    <w:rsid w:val="007E2DC9"/>
    <w:rsid w:val="007E4914"/>
    <w:rsid w:val="007F1D4D"/>
    <w:rsid w:val="007F2E11"/>
    <w:rsid w:val="007F368E"/>
    <w:rsid w:val="007F546E"/>
    <w:rsid w:val="007F5CE2"/>
    <w:rsid w:val="007F5F51"/>
    <w:rsid w:val="007F6611"/>
    <w:rsid w:val="00803B7F"/>
    <w:rsid w:val="00810BAC"/>
    <w:rsid w:val="00811920"/>
    <w:rsid w:val="00812B1B"/>
    <w:rsid w:val="008175E9"/>
    <w:rsid w:val="008203B2"/>
    <w:rsid w:val="008242D7"/>
    <w:rsid w:val="00825578"/>
    <w:rsid w:val="0082577B"/>
    <w:rsid w:val="00830D15"/>
    <w:rsid w:val="00831FD0"/>
    <w:rsid w:val="008354DC"/>
    <w:rsid w:val="00836D84"/>
    <w:rsid w:val="00836FDC"/>
    <w:rsid w:val="00840737"/>
    <w:rsid w:val="00841813"/>
    <w:rsid w:val="00843B5C"/>
    <w:rsid w:val="00845A55"/>
    <w:rsid w:val="008501FB"/>
    <w:rsid w:val="008558E7"/>
    <w:rsid w:val="0086054B"/>
    <w:rsid w:val="00866893"/>
    <w:rsid w:val="00866F02"/>
    <w:rsid w:val="00867D18"/>
    <w:rsid w:val="008705FD"/>
    <w:rsid w:val="008707F8"/>
    <w:rsid w:val="00871F9A"/>
    <w:rsid w:val="00871FD5"/>
    <w:rsid w:val="008756BD"/>
    <w:rsid w:val="00876B8E"/>
    <w:rsid w:val="0088172E"/>
    <w:rsid w:val="00881EFA"/>
    <w:rsid w:val="00883E28"/>
    <w:rsid w:val="008850DC"/>
    <w:rsid w:val="00890F51"/>
    <w:rsid w:val="0089256A"/>
    <w:rsid w:val="00894BD2"/>
    <w:rsid w:val="008979B1"/>
    <w:rsid w:val="008A346D"/>
    <w:rsid w:val="008A6792"/>
    <w:rsid w:val="008A6B25"/>
    <w:rsid w:val="008A6C4F"/>
    <w:rsid w:val="008A7787"/>
    <w:rsid w:val="008B0699"/>
    <w:rsid w:val="008B389E"/>
    <w:rsid w:val="008B59E3"/>
    <w:rsid w:val="008C5B2D"/>
    <w:rsid w:val="008C5BCB"/>
    <w:rsid w:val="008D045E"/>
    <w:rsid w:val="008D0C2C"/>
    <w:rsid w:val="008D1C6F"/>
    <w:rsid w:val="008D3F25"/>
    <w:rsid w:val="008D4915"/>
    <w:rsid w:val="008D4A70"/>
    <w:rsid w:val="008D4D82"/>
    <w:rsid w:val="008E0E09"/>
    <w:rsid w:val="008E0E46"/>
    <w:rsid w:val="008E24AB"/>
    <w:rsid w:val="008E45C6"/>
    <w:rsid w:val="008E5A5D"/>
    <w:rsid w:val="008E7116"/>
    <w:rsid w:val="008F143B"/>
    <w:rsid w:val="008F33C4"/>
    <w:rsid w:val="008F3882"/>
    <w:rsid w:val="008F3C40"/>
    <w:rsid w:val="008F4B7C"/>
    <w:rsid w:val="00901464"/>
    <w:rsid w:val="009022B5"/>
    <w:rsid w:val="0090421B"/>
    <w:rsid w:val="00904D63"/>
    <w:rsid w:val="00913B8E"/>
    <w:rsid w:val="00914DC3"/>
    <w:rsid w:val="009154D0"/>
    <w:rsid w:val="00915C95"/>
    <w:rsid w:val="00916B9C"/>
    <w:rsid w:val="00926B1B"/>
    <w:rsid w:val="00926D83"/>
    <w:rsid w:val="00926E47"/>
    <w:rsid w:val="009324AE"/>
    <w:rsid w:val="009330A2"/>
    <w:rsid w:val="00937075"/>
    <w:rsid w:val="0093732C"/>
    <w:rsid w:val="00943AC4"/>
    <w:rsid w:val="00945AAF"/>
    <w:rsid w:val="00945B24"/>
    <w:rsid w:val="00946D3D"/>
    <w:rsid w:val="00947162"/>
    <w:rsid w:val="00953163"/>
    <w:rsid w:val="00954935"/>
    <w:rsid w:val="00954EB3"/>
    <w:rsid w:val="00955BA7"/>
    <w:rsid w:val="00955D53"/>
    <w:rsid w:val="009561C7"/>
    <w:rsid w:val="00957B28"/>
    <w:rsid w:val="009601FF"/>
    <w:rsid w:val="009602BC"/>
    <w:rsid w:val="0096068B"/>
    <w:rsid w:val="00960692"/>
    <w:rsid w:val="00960D5D"/>
    <w:rsid w:val="009610D0"/>
    <w:rsid w:val="00961977"/>
    <w:rsid w:val="0096314B"/>
    <w:rsid w:val="0096375C"/>
    <w:rsid w:val="00963CBD"/>
    <w:rsid w:val="00965B3D"/>
    <w:rsid w:val="009662E6"/>
    <w:rsid w:val="0097095E"/>
    <w:rsid w:val="00974F7C"/>
    <w:rsid w:val="00976603"/>
    <w:rsid w:val="00980F57"/>
    <w:rsid w:val="00981212"/>
    <w:rsid w:val="00982DDC"/>
    <w:rsid w:val="00983548"/>
    <w:rsid w:val="0098592B"/>
    <w:rsid w:val="00985FC4"/>
    <w:rsid w:val="00990350"/>
    <w:rsid w:val="00990766"/>
    <w:rsid w:val="00991261"/>
    <w:rsid w:val="0099198F"/>
    <w:rsid w:val="00992C68"/>
    <w:rsid w:val="0099552C"/>
    <w:rsid w:val="00995DC4"/>
    <w:rsid w:val="00995FA1"/>
    <w:rsid w:val="009964C4"/>
    <w:rsid w:val="009A7B81"/>
    <w:rsid w:val="009B0902"/>
    <w:rsid w:val="009B5678"/>
    <w:rsid w:val="009C293A"/>
    <w:rsid w:val="009C4DE1"/>
    <w:rsid w:val="009C55A3"/>
    <w:rsid w:val="009C59B9"/>
    <w:rsid w:val="009C6124"/>
    <w:rsid w:val="009D01C0"/>
    <w:rsid w:val="009D2E01"/>
    <w:rsid w:val="009D6A08"/>
    <w:rsid w:val="009E0A16"/>
    <w:rsid w:val="009E224A"/>
    <w:rsid w:val="009E65E8"/>
    <w:rsid w:val="009E7970"/>
    <w:rsid w:val="009F2EAC"/>
    <w:rsid w:val="009F56F8"/>
    <w:rsid w:val="009F57E3"/>
    <w:rsid w:val="009F6034"/>
    <w:rsid w:val="00A005C2"/>
    <w:rsid w:val="00A00D3D"/>
    <w:rsid w:val="00A024E0"/>
    <w:rsid w:val="00A03AF1"/>
    <w:rsid w:val="00A07EBB"/>
    <w:rsid w:val="00A10F4F"/>
    <w:rsid w:val="00A11067"/>
    <w:rsid w:val="00A1704A"/>
    <w:rsid w:val="00A21C25"/>
    <w:rsid w:val="00A23E9E"/>
    <w:rsid w:val="00A258D5"/>
    <w:rsid w:val="00A27113"/>
    <w:rsid w:val="00A3758F"/>
    <w:rsid w:val="00A37D17"/>
    <w:rsid w:val="00A41BB8"/>
    <w:rsid w:val="00A425EB"/>
    <w:rsid w:val="00A45726"/>
    <w:rsid w:val="00A45CB7"/>
    <w:rsid w:val="00A47439"/>
    <w:rsid w:val="00A557DB"/>
    <w:rsid w:val="00A6580F"/>
    <w:rsid w:val="00A72F22"/>
    <w:rsid w:val="00A733BC"/>
    <w:rsid w:val="00A7408E"/>
    <w:rsid w:val="00A748A6"/>
    <w:rsid w:val="00A749C1"/>
    <w:rsid w:val="00A76A69"/>
    <w:rsid w:val="00A77D0C"/>
    <w:rsid w:val="00A820B8"/>
    <w:rsid w:val="00A824E7"/>
    <w:rsid w:val="00A8261C"/>
    <w:rsid w:val="00A83FCB"/>
    <w:rsid w:val="00A877C6"/>
    <w:rsid w:val="00A879A4"/>
    <w:rsid w:val="00A87D81"/>
    <w:rsid w:val="00A96696"/>
    <w:rsid w:val="00A9767A"/>
    <w:rsid w:val="00AA0FF8"/>
    <w:rsid w:val="00AA3567"/>
    <w:rsid w:val="00AB0328"/>
    <w:rsid w:val="00AB2CE7"/>
    <w:rsid w:val="00AC0F2C"/>
    <w:rsid w:val="00AC502A"/>
    <w:rsid w:val="00AC7298"/>
    <w:rsid w:val="00AC7686"/>
    <w:rsid w:val="00AD2325"/>
    <w:rsid w:val="00AD3135"/>
    <w:rsid w:val="00AE2615"/>
    <w:rsid w:val="00AF02CF"/>
    <w:rsid w:val="00AF1B03"/>
    <w:rsid w:val="00AF24AC"/>
    <w:rsid w:val="00AF3A98"/>
    <w:rsid w:val="00AF4626"/>
    <w:rsid w:val="00AF49DC"/>
    <w:rsid w:val="00AF58C1"/>
    <w:rsid w:val="00B0029C"/>
    <w:rsid w:val="00B002D6"/>
    <w:rsid w:val="00B02C57"/>
    <w:rsid w:val="00B03E68"/>
    <w:rsid w:val="00B0495E"/>
    <w:rsid w:val="00B06643"/>
    <w:rsid w:val="00B15055"/>
    <w:rsid w:val="00B17FC5"/>
    <w:rsid w:val="00B23CD3"/>
    <w:rsid w:val="00B30179"/>
    <w:rsid w:val="00B306A5"/>
    <w:rsid w:val="00B347D7"/>
    <w:rsid w:val="00B351DA"/>
    <w:rsid w:val="00B37B15"/>
    <w:rsid w:val="00B4482F"/>
    <w:rsid w:val="00B45C02"/>
    <w:rsid w:val="00B4691D"/>
    <w:rsid w:val="00B56D2B"/>
    <w:rsid w:val="00B609E7"/>
    <w:rsid w:val="00B61908"/>
    <w:rsid w:val="00B66C4B"/>
    <w:rsid w:val="00B70053"/>
    <w:rsid w:val="00B70F5A"/>
    <w:rsid w:val="00B72A1E"/>
    <w:rsid w:val="00B74D8C"/>
    <w:rsid w:val="00B74DC8"/>
    <w:rsid w:val="00B81B62"/>
    <w:rsid w:val="00B81E12"/>
    <w:rsid w:val="00B8509D"/>
    <w:rsid w:val="00B978B3"/>
    <w:rsid w:val="00BA339B"/>
    <w:rsid w:val="00BB541F"/>
    <w:rsid w:val="00BB6148"/>
    <w:rsid w:val="00BB6C71"/>
    <w:rsid w:val="00BC1E7E"/>
    <w:rsid w:val="00BC2E45"/>
    <w:rsid w:val="00BC3E26"/>
    <w:rsid w:val="00BC74E9"/>
    <w:rsid w:val="00BC75A8"/>
    <w:rsid w:val="00BD3805"/>
    <w:rsid w:val="00BE36A9"/>
    <w:rsid w:val="00BE618E"/>
    <w:rsid w:val="00BE7BEC"/>
    <w:rsid w:val="00BF0A5A"/>
    <w:rsid w:val="00BF0E63"/>
    <w:rsid w:val="00BF103C"/>
    <w:rsid w:val="00BF12A3"/>
    <w:rsid w:val="00BF16D7"/>
    <w:rsid w:val="00BF218C"/>
    <w:rsid w:val="00BF2373"/>
    <w:rsid w:val="00BF3856"/>
    <w:rsid w:val="00BF4DC1"/>
    <w:rsid w:val="00C044E2"/>
    <w:rsid w:val="00C048CB"/>
    <w:rsid w:val="00C066F3"/>
    <w:rsid w:val="00C06865"/>
    <w:rsid w:val="00C07CA9"/>
    <w:rsid w:val="00C10783"/>
    <w:rsid w:val="00C11B07"/>
    <w:rsid w:val="00C14529"/>
    <w:rsid w:val="00C1558D"/>
    <w:rsid w:val="00C15DC2"/>
    <w:rsid w:val="00C17FC9"/>
    <w:rsid w:val="00C257EE"/>
    <w:rsid w:val="00C3148C"/>
    <w:rsid w:val="00C32425"/>
    <w:rsid w:val="00C36878"/>
    <w:rsid w:val="00C36D25"/>
    <w:rsid w:val="00C40035"/>
    <w:rsid w:val="00C401E7"/>
    <w:rsid w:val="00C44BB0"/>
    <w:rsid w:val="00C45BBB"/>
    <w:rsid w:val="00C463DD"/>
    <w:rsid w:val="00C516B1"/>
    <w:rsid w:val="00C60D93"/>
    <w:rsid w:val="00C61347"/>
    <w:rsid w:val="00C65548"/>
    <w:rsid w:val="00C70809"/>
    <w:rsid w:val="00C745C3"/>
    <w:rsid w:val="00C805A7"/>
    <w:rsid w:val="00C83923"/>
    <w:rsid w:val="00C84927"/>
    <w:rsid w:val="00C92C03"/>
    <w:rsid w:val="00CA2221"/>
    <w:rsid w:val="00CA24A4"/>
    <w:rsid w:val="00CA3137"/>
    <w:rsid w:val="00CA44E1"/>
    <w:rsid w:val="00CA4F53"/>
    <w:rsid w:val="00CA7BB2"/>
    <w:rsid w:val="00CB08F3"/>
    <w:rsid w:val="00CB1D0B"/>
    <w:rsid w:val="00CB263A"/>
    <w:rsid w:val="00CB348D"/>
    <w:rsid w:val="00CB34BE"/>
    <w:rsid w:val="00CB4FCE"/>
    <w:rsid w:val="00CB5812"/>
    <w:rsid w:val="00CB763D"/>
    <w:rsid w:val="00CC0178"/>
    <w:rsid w:val="00CC1B3A"/>
    <w:rsid w:val="00CD1640"/>
    <w:rsid w:val="00CD2214"/>
    <w:rsid w:val="00CD46F5"/>
    <w:rsid w:val="00CD6598"/>
    <w:rsid w:val="00CD6883"/>
    <w:rsid w:val="00CD6C29"/>
    <w:rsid w:val="00CE2428"/>
    <w:rsid w:val="00CE4A8F"/>
    <w:rsid w:val="00CE52ED"/>
    <w:rsid w:val="00CE7EBE"/>
    <w:rsid w:val="00CF071D"/>
    <w:rsid w:val="00CF116C"/>
    <w:rsid w:val="00CF24BD"/>
    <w:rsid w:val="00CF2546"/>
    <w:rsid w:val="00CF4D69"/>
    <w:rsid w:val="00CF7E60"/>
    <w:rsid w:val="00D00745"/>
    <w:rsid w:val="00D03595"/>
    <w:rsid w:val="00D1157C"/>
    <w:rsid w:val="00D15B04"/>
    <w:rsid w:val="00D170B7"/>
    <w:rsid w:val="00D17298"/>
    <w:rsid w:val="00D177AB"/>
    <w:rsid w:val="00D17925"/>
    <w:rsid w:val="00D2031B"/>
    <w:rsid w:val="00D23EAC"/>
    <w:rsid w:val="00D25EC1"/>
    <w:rsid w:val="00D25FE2"/>
    <w:rsid w:val="00D303C8"/>
    <w:rsid w:val="00D37DA9"/>
    <w:rsid w:val="00D406A7"/>
    <w:rsid w:val="00D41039"/>
    <w:rsid w:val="00D417F8"/>
    <w:rsid w:val="00D43252"/>
    <w:rsid w:val="00D44D86"/>
    <w:rsid w:val="00D4540B"/>
    <w:rsid w:val="00D46AEE"/>
    <w:rsid w:val="00D50B7D"/>
    <w:rsid w:val="00D50CAD"/>
    <w:rsid w:val="00D50F11"/>
    <w:rsid w:val="00D52012"/>
    <w:rsid w:val="00D541C9"/>
    <w:rsid w:val="00D704E5"/>
    <w:rsid w:val="00D70C93"/>
    <w:rsid w:val="00D72727"/>
    <w:rsid w:val="00D731DD"/>
    <w:rsid w:val="00D73D7E"/>
    <w:rsid w:val="00D821BD"/>
    <w:rsid w:val="00D857C7"/>
    <w:rsid w:val="00D86426"/>
    <w:rsid w:val="00D871AC"/>
    <w:rsid w:val="00D90395"/>
    <w:rsid w:val="00D90B35"/>
    <w:rsid w:val="00D978C6"/>
    <w:rsid w:val="00DA0956"/>
    <w:rsid w:val="00DA121A"/>
    <w:rsid w:val="00DA2926"/>
    <w:rsid w:val="00DA357F"/>
    <w:rsid w:val="00DA3E12"/>
    <w:rsid w:val="00DA56F3"/>
    <w:rsid w:val="00DB46CF"/>
    <w:rsid w:val="00DB55AA"/>
    <w:rsid w:val="00DB5900"/>
    <w:rsid w:val="00DB66FA"/>
    <w:rsid w:val="00DC0A90"/>
    <w:rsid w:val="00DC18AD"/>
    <w:rsid w:val="00DC36B8"/>
    <w:rsid w:val="00DC584A"/>
    <w:rsid w:val="00DC6702"/>
    <w:rsid w:val="00DD370D"/>
    <w:rsid w:val="00DD3FE8"/>
    <w:rsid w:val="00DE0CB9"/>
    <w:rsid w:val="00DE1E14"/>
    <w:rsid w:val="00DE2A9D"/>
    <w:rsid w:val="00DE5105"/>
    <w:rsid w:val="00DE69D9"/>
    <w:rsid w:val="00DF1147"/>
    <w:rsid w:val="00DF1A1E"/>
    <w:rsid w:val="00DF1DCA"/>
    <w:rsid w:val="00DF2141"/>
    <w:rsid w:val="00DF3EA4"/>
    <w:rsid w:val="00DF4518"/>
    <w:rsid w:val="00DF5386"/>
    <w:rsid w:val="00DF5958"/>
    <w:rsid w:val="00DF6A82"/>
    <w:rsid w:val="00DF7CAE"/>
    <w:rsid w:val="00E00FE4"/>
    <w:rsid w:val="00E01B0E"/>
    <w:rsid w:val="00E02011"/>
    <w:rsid w:val="00E1773B"/>
    <w:rsid w:val="00E17E14"/>
    <w:rsid w:val="00E20B5D"/>
    <w:rsid w:val="00E235D2"/>
    <w:rsid w:val="00E324A0"/>
    <w:rsid w:val="00E32845"/>
    <w:rsid w:val="00E423C0"/>
    <w:rsid w:val="00E4499E"/>
    <w:rsid w:val="00E4747D"/>
    <w:rsid w:val="00E56A85"/>
    <w:rsid w:val="00E57974"/>
    <w:rsid w:val="00E62965"/>
    <w:rsid w:val="00E632D2"/>
    <w:rsid w:val="00E6414C"/>
    <w:rsid w:val="00E672F0"/>
    <w:rsid w:val="00E70191"/>
    <w:rsid w:val="00E7260F"/>
    <w:rsid w:val="00E77FA1"/>
    <w:rsid w:val="00E82C50"/>
    <w:rsid w:val="00E86772"/>
    <w:rsid w:val="00E8702D"/>
    <w:rsid w:val="00E87C7D"/>
    <w:rsid w:val="00E916A9"/>
    <w:rsid w:val="00E916DE"/>
    <w:rsid w:val="00E91D06"/>
    <w:rsid w:val="00E96630"/>
    <w:rsid w:val="00E9789F"/>
    <w:rsid w:val="00EA5049"/>
    <w:rsid w:val="00EA586A"/>
    <w:rsid w:val="00EA7B12"/>
    <w:rsid w:val="00EB68FA"/>
    <w:rsid w:val="00EC10B9"/>
    <w:rsid w:val="00EC2F8E"/>
    <w:rsid w:val="00EC3E0A"/>
    <w:rsid w:val="00ED18DC"/>
    <w:rsid w:val="00ED42F2"/>
    <w:rsid w:val="00ED6201"/>
    <w:rsid w:val="00ED6E09"/>
    <w:rsid w:val="00ED7A2A"/>
    <w:rsid w:val="00EE2D40"/>
    <w:rsid w:val="00EE4832"/>
    <w:rsid w:val="00EE6227"/>
    <w:rsid w:val="00EF1D7F"/>
    <w:rsid w:val="00EF1F00"/>
    <w:rsid w:val="00EF367C"/>
    <w:rsid w:val="00EF4426"/>
    <w:rsid w:val="00EF7C9E"/>
    <w:rsid w:val="00F0002F"/>
    <w:rsid w:val="00F0077F"/>
    <w:rsid w:val="00F0137E"/>
    <w:rsid w:val="00F0148F"/>
    <w:rsid w:val="00F1128E"/>
    <w:rsid w:val="00F11FB8"/>
    <w:rsid w:val="00F1376C"/>
    <w:rsid w:val="00F15AEF"/>
    <w:rsid w:val="00F21786"/>
    <w:rsid w:val="00F237F4"/>
    <w:rsid w:val="00F25EAF"/>
    <w:rsid w:val="00F347BC"/>
    <w:rsid w:val="00F3742B"/>
    <w:rsid w:val="00F40CCF"/>
    <w:rsid w:val="00F4157F"/>
    <w:rsid w:val="00F41FDB"/>
    <w:rsid w:val="00F5337D"/>
    <w:rsid w:val="00F5390C"/>
    <w:rsid w:val="00F55493"/>
    <w:rsid w:val="00F56D63"/>
    <w:rsid w:val="00F609A9"/>
    <w:rsid w:val="00F62770"/>
    <w:rsid w:val="00F632CC"/>
    <w:rsid w:val="00F66438"/>
    <w:rsid w:val="00F70E6F"/>
    <w:rsid w:val="00F71DA2"/>
    <w:rsid w:val="00F72C40"/>
    <w:rsid w:val="00F754D7"/>
    <w:rsid w:val="00F80C99"/>
    <w:rsid w:val="00F867EC"/>
    <w:rsid w:val="00F91B2B"/>
    <w:rsid w:val="00FA06F9"/>
    <w:rsid w:val="00FA3002"/>
    <w:rsid w:val="00FA3135"/>
    <w:rsid w:val="00FA44F4"/>
    <w:rsid w:val="00FB0A54"/>
    <w:rsid w:val="00FB49C2"/>
    <w:rsid w:val="00FB5ABD"/>
    <w:rsid w:val="00FB6CF1"/>
    <w:rsid w:val="00FC03CD"/>
    <w:rsid w:val="00FC0646"/>
    <w:rsid w:val="00FC0826"/>
    <w:rsid w:val="00FC2FC6"/>
    <w:rsid w:val="00FC6741"/>
    <w:rsid w:val="00FC68B7"/>
    <w:rsid w:val="00FD24D1"/>
    <w:rsid w:val="00FD545E"/>
    <w:rsid w:val="00FD7583"/>
    <w:rsid w:val="00FE00F4"/>
    <w:rsid w:val="00FE1314"/>
    <w:rsid w:val="00FE6985"/>
    <w:rsid w:val="00FF11EB"/>
    <w:rsid w:val="00FF7B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A0B2DC"/>
  <w15:chartTrackingRefBased/>
  <w15:docId w15:val="{1B2152F0-D1ED-4E76-87F4-C7673793A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43C6"/>
    <w:pPr>
      <w:spacing w:after="240"/>
    </w:pPr>
    <w:rPr>
      <w:lang w:val="en-GB"/>
    </w:rPr>
  </w:style>
  <w:style w:type="paragraph" w:styleId="Heading1">
    <w:name w:val="heading 1"/>
    <w:aliases w:val="Table_G"/>
    <w:basedOn w:val="SingleTxtG"/>
    <w:next w:val="SingleTxtG"/>
    <w:qFormat/>
    <w:rsid w:val="00ED7A2A"/>
    <w:pPr>
      <w:spacing w:after="0"/>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qFormat/>
    <w:pPr>
      <w:spacing w:after="120"/>
      <w:ind w:left="1134" w:right="1134"/>
      <w:jc w:val="both"/>
    </w:pPr>
  </w:style>
  <w:style w:type="paragraph" w:customStyle="1" w:styleId="HMG">
    <w:name w:val="_ H __M_G"/>
    <w:basedOn w:val="Normal"/>
    <w:next w:val="Normal"/>
    <w:pPr>
      <w:keepNext/>
      <w:keepLines/>
      <w:tabs>
        <w:tab w:val="right" w:pos="851"/>
      </w:tabs>
      <w:spacing w:before="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line="420" w:lineRule="exact"/>
      <w:ind w:left="1134" w:right="1134"/>
    </w:pPr>
    <w:rPr>
      <w:b/>
      <w:sz w:val="40"/>
    </w:rPr>
  </w:style>
  <w:style w:type="paragraph" w:customStyle="1" w:styleId="SLG">
    <w:name w:val="__S_L_G"/>
    <w:basedOn w:val="Normal"/>
    <w:next w:val="Normal"/>
    <w:rsid w:val="008A6B25"/>
    <w:pPr>
      <w:keepNext/>
      <w:keepLines/>
      <w:spacing w:before="240" w:line="580" w:lineRule="exact"/>
      <w:ind w:left="1134" w:right="1134"/>
    </w:pPr>
    <w:rPr>
      <w:b/>
      <w:sz w:val="56"/>
    </w:rPr>
  </w:style>
  <w:style w:type="paragraph" w:customStyle="1" w:styleId="SSG">
    <w:name w:val="__S_S_G"/>
    <w:basedOn w:val="Normal"/>
    <w:next w:val="Normal"/>
    <w:rsid w:val="00C745C3"/>
    <w:pPr>
      <w:keepNext/>
      <w:keepLines/>
      <w:spacing w:before="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4_GR"/>
    <w:qFormat/>
    <w:rsid w:val="007B6BA5"/>
    <w:rPr>
      <w:rFonts w:ascii="Times New Roman" w:hAnsi="Times New Roman"/>
      <w:sz w:val="18"/>
      <w:vertAlign w:val="superscript"/>
    </w:rPr>
  </w:style>
  <w:style w:type="paragraph" w:styleId="FootnoteText">
    <w:name w:val="footnote text"/>
    <w:aliases w:val="5_G,5_GR"/>
    <w:basedOn w:val="Normal"/>
    <w:link w:val="FootnoteTextChar"/>
    <w:qFormat/>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line="420" w:lineRule="exact"/>
      <w:ind w:left="1134" w:right="1134"/>
    </w:pPr>
    <w:rPr>
      <w:b/>
      <w:sz w:val="40"/>
    </w:rPr>
  </w:style>
  <w:style w:type="paragraph" w:customStyle="1" w:styleId="Bullet1G">
    <w:name w:val="_Bullet 1_G"/>
    <w:basedOn w:val="Normal"/>
    <w:rsid w:val="00AF3A98"/>
    <w:pPr>
      <w:numPr>
        <w:numId w:val="17"/>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line="270" w:lineRule="exact"/>
      <w:ind w:left="1134" w:right="1134" w:hanging="1134"/>
    </w:pPr>
    <w:rPr>
      <w:b/>
      <w:sz w:val="24"/>
    </w:rPr>
  </w:style>
  <w:style w:type="paragraph" w:customStyle="1" w:styleId="H23G">
    <w:name w:val="_ H_2/3_G"/>
    <w:basedOn w:val="Normal"/>
    <w:next w:val="Normal"/>
    <w:link w:val="H23GChar"/>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rsid w:val="00A23E9E"/>
    <w:rPr>
      <w:color w:val="auto"/>
      <w:u w:val="none"/>
    </w:rPr>
  </w:style>
  <w:style w:type="paragraph" w:styleId="Footer">
    <w:name w:val="footer"/>
    <w:aliases w:val="3_G"/>
    <w:basedOn w:val="Normal"/>
    <w:rsid w:val="009F2EAC"/>
    <w:rPr>
      <w:sz w:val="16"/>
    </w:rPr>
  </w:style>
  <w:style w:type="paragraph" w:styleId="Header">
    <w:name w:val="header"/>
    <w:aliases w:val="6_G"/>
    <w:basedOn w:val="Normal"/>
    <w:link w:val="HeaderChar"/>
    <w:rsid w:val="00050F6B"/>
    <w:pPr>
      <w:pBdr>
        <w:bottom w:val="single" w:sz="4" w:space="4" w:color="auto"/>
      </w:pBdr>
    </w:pPr>
    <w:rPr>
      <w:b/>
      <w:sz w:val="18"/>
    </w:rPr>
  </w:style>
  <w:style w:type="character" w:customStyle="1" w:styleId="HeaderChar">
    <w:name w:val="Header Char"/>
    <w:aliases w:val="6_G Char"/>
    <w:link w:val="Header"/>
    <w:rsid w:val="006643C6"/>
    <w:rPr>
      <w:b/>
      <w:sz w:val="18"/>
      <w:lang w:val="en-GB" w:eastAsia="en-US" w:bidi="ar-SA"/>
    </w:rPr>
  </w:style>
  <w:style w:type="table" w:styleId="TableGrid">
    <w:name w:val="Table Grid"/>
    <w:basedOn w:val="TableNormal"/>
    <w:rsid w:val="00A45CB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A23E9E"/>
    <w:rPr>
      <w:color w:val="auto"/>
      <w:u w:val="none"/>
    </w:rPr>
  </w:style>
  <w:style w:type="character" w:customStyle="1" w:styleId="HChGChar">
    <w:name w:val="_ H _Ch_G Char"/>
    <w:link w:val="HChG"/>
    <w:qFormat/>
    <w:rsid w:val="006643C6"/>
    <w:rPr>
      <w:b/>
      <w:sz w:val="28"/>
      <w:lang w:val="en-GB" w:eastAsia="en-US" w:bidi="ar-SA"/>
    </w:rPr>
  </w:style>
  <w:style w:type="paragraph" w:customStyle="1" w:styleId="Standardowy">
    <w:name w:val="Standardowy"/>
    <w:rsid w:val="001F12DF"/>
    <w:rPr>
      <w:rFonts w:ascii="Arial" w:hAnsi="Arial"/>
      <w:snapToGrid w:val="0"/>
      <w:sz w:val="24"/>
      <w:lang w:val="en-GB"/>
    </w:rPr>
  </w:style>
  <w:style w:type="table" w:customStyle="1" w:styleId="TableGrid1">
    <w:name w:val="Table Grid1"/>
    <w:basedOn w:val="TableNormal"/>
    <w:next w:val="TableGrid"/>
    <w:rsid w:val="002574B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A7652"/>
    <w:pPr>
      <w:spacing w:after="0"/>
    </w:pPr>
    <w:rPr>
      <w:rFonts w:ascii="Tahoma" w:hAnsi="Tahoma" w:cs="Tahoma"/>
      <w:sz w:val="16"/>
      <w:szCs w:val="16"/>
    </w:rPr>
  </w:style>
  <w:style w:type="character" w:customStyle="1" w:styleId="BalloonTextChar">
    <w:name w:val="Balloon Text Char"/>
    <w:link w:val="BalloonText"/>
    <w:rsid w:val="007A7652"/>
    <w:rPr>
      <w:rFonts w:ascii="Tahoma" w:hAnsi="Tahoma" w:cs="Tahoma"/>
      <w:sz w:val="16"/>
      <w:szCs w:val="16"/>
      <w:lang w:eastAsia="en-US"/>
    </w:rPr>
  </w:style>
  <w:style w:type="character" w:customStyle="1" w:styleId="SingleTxtGCar">
    <w:name w:val="_ Single Txt_G Car"/>
    <w:link w:val="SingleTxtG"/>
    <w:locked/>
    <w:rsid w:val="006E6FC4"/>
    <w:rPr>
      <w:lang w:val="en-GB"/>
    </w:rPr>
  </w:style>
  <w:style w:type="character" w:customStyle="1" w:styleId="SingleTxtGChar">
    <w:name w:val="_ Single Txt_G Char"/>
    <w:qFormat/>
    <w:locked/>
    <w:rsid w:val="00BF4DC1"/>
    <w:rPr>
      <w:lang w:val="en-GB" w:eastAsia="en-US"/>
    </w:rPr>
  </w:style>
  <w:style w:type="character" w:customStyle="1" w:styleId="H1GChar">
    <w:name w:val="_ H_1_G Char"/>
    <w:link w:val="H1G"/>
    <w:qFormat/>
    <w:locked/>
    <w:rsid w:val="00A024E0"/>
    <w:rPr>
      <w:b/>
      <w:sz w:val="24"/>
      <w:lang w:val="en-GB"/>
    </w:rPr>
  </w:style>
  <w:style w:type="character" w:customStyle="1" w:styleId="FootnoteTextChar">
    <w:name w:val="Footnote Text Char"/>
    <w:aliases w:val="5_G Char,5_GR Char"/>
    <w:basedOn w:val="DefaultParagraphFont"/>
    <w:link w:val="FootnoteText"/>
    <w:rsid w:val="000B404B"/>
    <w:rPr>
      <w:sz w:val="18"/>
      <w:lang w:val="en-GB"/>
    </w:rPr>
  </w:style>
  <w:style w:type="paragraph" w:styleId="ListParagraph">
    <w:name w:val="List Paragraph"/>
    <w:basedOn w:val="Normal"/>
    <w:uiPriority w:val="34"/>
    <w:qFormat/>
    <w:rsid w:val="009154D0"/>
    <w:pPr>
      <w:spacing w:after="0"/>
      <w:ind w:left="708"/>
    </w:pPr>
    <w:rPr>
      <w:sz w:val="24"/>
      <w:szCs w:val="24"/>
      <w:lang w:val="pt-PT" w:eastAsia="pt-PT"/>
    </w:rPr>
  </w:style>
  <w:style w:type="paragraph" w:styleId="Revision">
    <w:name w:val="Revision"/>
    <w:hidden/>
    <w:uiPriority w:val="99"/>
    <w:semiHidden/>
    <w:rsid w:val="003372D0"/>
    <w:rPr>
      <w:lang w:val="en-GB"/>
    </w:rPr>
  </w:style>
  <w:style w:type="character" w:styleId="UnresolvedMention">
    <w:name w:val="Unresolved Mention"/>
    <w:basedOn w:val="DefaultParagraphFont"/>
    <w:uiPriority w:val="99"/>
    <w:semiHidden/>
    <w:unhideWhenUsed/>
    <w:rsid w:val="00333784"/>
    <w:rPr>
      <w:color w:val="605E5C"/>
      <w:shd w:val="clear" w:color="auto" w:fill="E1DFDD"/>
    </w:rPr>
  </w:style>
  <w:style w:type="character" w:customStyle="1" w:styleId="H23GChar">
    <w:name w:val="_ H_2/3_G Char"/>
    <w:link w:val="H23G"/>
    <w:locked/>
    <w:rsid w:val="0064199F"/>
    <w:rPr>
      <w:b/>
      <w:lang w:val="en-GB"/>
    </w:rPr>
  </w:style>
  <w:style w:type="character" w:styleId="CommentReference">
    <w:name w:val="annotation reference"/>
    <w:basedOn w:val="DefaultParagraphFont"/>
    <w:rsid w:val="00254D55"/>
    <w:rPr>
      <w:sz w:val="16"/>
      <w:szCs w:val="16"/>
    </w:rPr>
  </w:style>
  <w:style w:type="paragraph" w:styleId="CommentText">
    <w:name w:val="annotation text"/>
    <w:basedOn w:val="Normal"/>
    <w:link w:val="CommentTextChar"/>
    <w:rsid w:val="00254D55"/>
  </w:style>
  <w:style w:type="character" w:customStyle="1" w:styleId="CommentTextChar">
    <w:name w:val="Comment Text Char"/>
    <w:basedOn w:val="DefaultParagraphFont"/>
    <w:link w:val="CommentText"/>
    <w:rsid w:val="00254D55"/>
    <w:rPr>
      <w:lang w:val="en-GB"/>
    </w:rPr>
  </w:style>
  <w:style w:type="paragraph" w:styleId="CommentSubject">
    <w:name w:val="annotation subject"/>
    <w:basedOn w:val="CommentText"/>
    <w:next w:val="CommentText"/>
    <w:link w:val="CommentSubjectChar"/>
    <w:semiHidden/>
    <w:unhideWhenUsed/>
    <w:rsid w:val="00254D55"/>
    <w:rPr>
      <w:b/>
      <w:bCs/>
    </w:rPr>
  </w:style>
  <w:style w:type="character" w:customStyle="1" w:styleId="CommentSubjectChar">
    <w:name w:val="Comment Subject Char"/>
    <w:basedOn w:val="CommentTextChar"/>
    <w:link w:val="CommentSubject"/>
    <w:semiHidden/>
    <w:rsid w:val="00254D55"/>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471534">
      <w:bodyDiv w:val="1"/>
      <w:marLeft w:val="0"/>
      <w:marRight w:val="0"/>
      <w:marTop w:val="0"/>
      <w:marBottom w:val="0"/>
      <w:divBdr>
        <w:top w:val="none" w:sz="0" w:space="0" w:color="auto"/>
        <w:left w:val="none" w:sz="0" w:space="0" w:color="auto"/>
        <w:bottom w:val="none" w:sz="0" w:space="0" w:color="auto"/>
        <w:right w:val="none" w:sz="0" w:space="0" w:color="auto"/>
      </w:divBdr>
    </w:div>
    <w:div w:id="892930326">
      <w:bodyDiv w:val="1"/>
      <w:marLeft w:val="0"/>
      <w:marRight w:val="0"/>
      <w:marTop w:val="0"/>
      <w:marBottom w:val="0"/>
      <w:divBdr>
        <w:top w:val="none" w:sz="0" w:space="0" w:color="auto"/>
        <w:left w:val="none" w:sz="0" w:space="0" w:color="auto"/>
        <w:bottom w:val="none" w:sz="0" w:space="0" w:color="auto"/>
        <w:right w:val="none" w:sz="0" w:space="0" w:color="auto"/>
      </w:divBdr>
    </w:div>
    <w:div w:id="139265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Nadiya Dzyubynska</DisplayName>
        <AccountId>453</AccountId>
        <AccountType/>
      </UserInfo>
      <UserInfo>
        <DisplayName>Romain Hubert</DisplayName>
        <AccountId>40</AccountId>
        <AccountType/>
      </UserInfo>
      <UserInfo>
        <DisplayName>Alicia Dorca Garcia</DisplayName>
        <AccountId>1313</AccountId>
        <AccountType/>
      </UserInfo>
      <UserInfo>
        <DisplayName>Sabrina Mansion</DisplayName>
        <AccountId>71</AccountId>
        <AccountType/>
      </UserInfo>
    </SharedWithUsers>
  </documentManagement>
</p:properties>
</file>

<file path=customXml/itemProps1.xml><?xml version="1.0" encoding="utf-8"?>
<ds:datastoreItem xmlns:ds="http://schemas.openxmlformats.org/officeDocument/2006/customXml" ds:itemID="{B6DC4D0F-89A8-47AB-951D-A41422F33568}">
  <ds:schemaRefs>
    <ds:schemaRef ds:uri="http://schemas.openxmlformats.org/officeDocument/2006/bibliography"/>
  </ds:schemaRefs>
</ds:datastoreItem>
</file>

<file path=customXml/itemProps2.xml><?xml version="1.0" encoding="utf-8"?>
<ds:datastoreItem xmlns:ds="http://schemas.openxmlformats.org/officeDocument/2006/customXml" ds:itemID="{D4C94EC5-087E-4D96-ADD4-B720013AB6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49C0C2-9FAC-4242-B3AC-F0E5EC17B3D2}">
  <ds:schemaRefs>
    <ds:schemaRef ds:uri="http://schemas.microsoft.com/sharepoint/v3/contenttype/forms"/>
  </ds:schemaRefs>
</ds:datastoreItem>
</file>

<file path=customXml/itemProps4.xml><?xml version="1.0" encoding="utf-8"?>
<ds:datastoreItem xmlns:ds="http://schemas.openxmlformats.org/officeDocument/2006/customXml" ds:itemID="{3D8DEE80-222F-4B78-BA84-9DBD12653279}">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4</Pages>
  <Words>1270</Words>
  <Characters>6990</Characters>
  <Application>Microsoft Office Word</Application>
  <DocSecurity>0</DocSecurity>
  <Lines>58</Lines>
  <Paragraphs>16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INF.13</vt:lpstr>
      <vt:lpstr>INF</vt:lpstr>
      <vt:lpstr>INF</vt:lpstr>
    </vt:vector>
  </TitlesOfParts>
  <Company>UNECE</Company>
  <LinksUpToDate>false</LinksUpToDate>
  <CharactersWithSpaces>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INF.14</dc:title>
  <dc:subject/>
  <dc:creator>Berthet</dc:creator>
  <cp:keywords/>
  <cp:lastModifiedBy>Alicia Dorca Garcia</cp:lastModifiedBy>
  <cp:revision>74</cp:revision>
  <cp:lastPrinted>2023-12-28T00:15:00Z</cp:lastPrinted>
  <dcterms:created xsi:type="dcterms:W3CDTF">2024-02-16T14:43:00Z</dcterms:created>
  <dcterms:modified xsi:type="dcterms:W3CDTF">2024-02-19T10:30:00Z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11771200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