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7266" w:rsidRPr="00A47266" w14:paraId="00C2199E" w14:textId="77777777" w:rsidTr="00C97039">
        <w:trPr>
          <w:trHeight w:hRule="exact" w:val="851"/>
        </w:trPr>
        <w:tc>
          <w:tcPr>
            <w:tcW w:w="1276" w:type="dxa"/>
            <w:tcBorders>
              <w:bottom w:val="single" w:sz="4" w:space="0" w:color="auto"/>
            </w:tcBorders>
          </w:tcPr>
          <w:p w14:paraId="7A4F742D" w14:textId="77777777" w:rsidR="00F35BAF" w:rsidRPr="00A47266" w:rsidRDefault="00F35BAF" w:rsidP="00D8541A">
            <w:pPr>
              <w:rPr>
                <w:lang w:val="fr-FR"/>
              </w:rPr>
            </w:pPr>
          </w:p>
        </w:tc>
        <w:tc>
          <w:tcPr>
            <w:tcW w:w="2268" w:type="dxa"/>
            <w:tcBorders>
              <w:bottom w:val="single" w:sz="4" w:space="0" w:color="auto"/>
            </w:tcBorders>
            <w:vAlign w:val="bottom"/>
          </w:tcPr>
          <w:p w14:paraId="5528EE17" w14:textId="77777777" w:rsidR="00F35BAF" w:rsidRPr="00A47266" w:rsidRDefault="00F35BAF" w:rsidP="00C97039">
            <w:pPr>
              <w:spacing w:after="80" w:line="300" w:lineRule="exact"/>
              <w:rPr>
                <w:sz w:val="28"/>
                <w:lang w:val="fr-FR"/>
              </w:rPr>
            </w:pPr>
            <w:r w:rsidRPr="00A47266">
              <w:rPr>
                <w:sz w:val="28"/>
                <w:lang w:val="fr-FR"/>
              </w:rPr>
              <w:t>Nations Unies</w:t>
            </w:r>
          </w:p>
        </w:tc>
        <w:tc>
          <w:tcPr>
            <w:tcW w:w="6095" w:type="dxa"/>
            <w:gridSpan w:val="2"/>
            <w:tcBorders>
              <w:bottom w:val="single" w:sz="4" w:space="0" w:color="auto"/>
            </w:tcBorders>
            <w:vAlign w:val="bottom"/>
          </w:tcPr>
          <w:p w14:paraId="1E42B90E" w14:textId="75E13B91" w:rsidR="00F35BAF" w:rsidRPr="00A47266" w:rsidRDefault="00D8541A" w:rsidP="00D8541A">
            <w:pPr>
              <w:jc w:val="right"/>
              <w:rPr>
                <w:lang w:val="fr-FR"/>
              </w:rPr>
            </w:pPr>
            <w:r w:rsidRPr="00A47266">
              <w:rPr>
                <w:sz w:val="40"/>
                <w:lang w:val="fr-FR"/>
              </w:rPr>
              <w:t>ECE</w:t>
            </w:r>
            <w:r w:rsidRPr="00A47266">
              <w:rPr>
                <w:lang w:val="fr-FR"/>
              </w:rPr>
              <w:t>/TRANS/WP.11/251</w:t>
            </w:r>
          </w:p>
        </w:tc>
      </w:tr>
      <w:tr w:rsidR="00A47266" w:rsidRPr="00A47266" w14:paraId="18BFCEE6" w14:textId="77777777" w:rsidTr="00C97039">
        <w:trPr>
          <w:trHeight w:hRule="exact" w:val="2835"/>
        </w:trPr>
        <w:tc>
          <w:tcPr>
            <w:tcW w:w="1276" w:type="dxa"/>
            <w:tcBorders>
              <w:top w:val="single" w:sz="4" w:space="0" w:color="auto"/>
              <w:bottom w:val="single" w:sz="12" w:space="0" w:color="auto"/>
            </w:tcBorders>
          </w:tcPr>
          <w:p w14:paraId="315D7979" w14:textId="77777777" w:rsidR="00F35BAF" w:rsidRPr="00A47266" w:rsidRDefault="00F35BAF" w:rsidP="00C97039">
            <w:pPr>
              <w:spacing w:before="120"/>
              <w:jc w:val="center"/>
              <w:rPr>
                <w:lang w:val="fr-FR"/>
              </w:rPr>
            </w:pPr>
            <w:r w:rsidRPr="00A47266">
              <w:rPr>
                <w:noProof/>
                <w:lang w:val="fr-FR" w:eastAsia="fr-CH"/>
              </w:rPr>
              <w:drawing>
                <wp:inline distT="0" distB="0" distL="0" distR="0" wp14:anchorId="0D8CEEEB" wp14:editId="72B655C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09DDD7" w14:textId="77777777" w:rsidR="00F35BAF" w:rsidRPr="00A47266" w:rsidRDefault="00F35BAF" w:rsidP="00C97039">
            <w:pPr>
              <w:spacing w:before="120" w:line="420" w:lineRule="exact"/>
              <w:rPr>
                <w:b/>
                <w:sz w:val="40"/>
                <w:szCs w:val="40"/>
                <w:lang w:val="fr-FR"/>
              </w:rPr>
            </w:pPr>
            <w:r w:rsidRPr="00A47266">
              <w:rPr>
                <w:b/>
                <w:sz w:val="40"/>
                <w:szCs w:val="40"/>
                <w:lang w:val="fr-FR"/>
              </w:rPr>
              <w:t>Conseil économique et social</w:t>
            </w:r>
          </w:p>
        </w:tc>
        <w:tc>
          <w:tcPr>
            <w:tcW w:w="2835" w:type="dxa"/>
            <w:tcBorders>
              <w:top w:val="single" w:sz="4" w:space="0" w:color="auto"/>
              <w:bottom w:val="single" w:sz="12" w:space="0" w:color="auto"/>
            </w:tcBorders>
          </w:tcPr>
          <w:p w14:paraId="1875CD90" w14:textId="77777777" w:rsidR="00F35BAF" w:rsidRPr="00A47266" w:rsidRDefault="00D8541A" w:rsidP="00C97039">
            <w:pPr>
              <w:spacing w:before="240"/>
              <w:rPr>
                <w:lang w:val="fr-FR"/>
              </w:rPr>
            </w:pPr>
            <w:r w:rsidRPr="00A47266">
              <w:rPr>
                <w:lang w:val="fr-FR"/>
              </w:rPr>
              <w:t>Distr. générale</w:t>
            </w:r>
          </w:p>
          <w:p w14:paraId="18D9ACEC" w14:textId="77777777" w:rsidR="00D8541A" w:rsidRPr="00A47266" w:rsidRDefault="00D8541A" w:rsidP="00D8541A">
            <w:pPr>
              <w:spacing w:line="240" w:lineRule="exact"/>
              <w:rPr>
                <w:lang w:val="fr-FR"/>
              </w:rPr>
            </w:pPr>
            <w:r w:rsidRPr="00A47266">
              <w:rPr>
                <w:lang w:val="fr-FR"/>
              </w:rPr>
              <w:t>6 décembre 2023</w:t>
            </w:r>
          </w:p>
          <w:p w14:paraId="672A31EC" w14:textId="77777777" w:rsidR="00D8541A" w:rsidRPr="00A47266" w:rsidRDefault="00D8541A" w:rsidP="00D8541A">
            <w:pPr>
              <w:spacing w:line="240" w:lineRule="exact"/>
              <w:rPr>
                <w:lang w:val="fr-FR"/>
              </w:rPr>
            </w:pPr>
            <w:r w:rsidRPr="00A47266">
              <w:rPr>
                <w:lang w:val="fr-FR"/>
              </w:rPr>
              <w:t>Français</w:t>
            </w:r>
          </w:p>
          <w:p w14:paraId="17906001" w14:textId="3CF97BA9" w:rsidR="00D8541A" w:rsidRPr="00A47266" w:rsidRDefault="00D8541A" w:rsidP="00D8541A">
            <w:pPr>
              <w:spacing w:line="240" w:lineRule="exact"/>
              <w:rPr>
                <w:lang w:val="fr-FR"/>
              </w:rPr>
            </w:pPr>
            <w:r w:rsidRPr="00A47266">
              <w:rPr>
                <w:lang w:val="fr-FR"/>
              </w:rPr>
              <w:t>Original</w:t>
            </w:r>
            <w:r w:rsidR="00BC189E" w:rsidRPr="00A47266">
              <w:rPr>
                <w:lang w:val="fr-FR"/>
              </w:rPr>
              <w:t> :</w:t>
            </w:r>
            <w:r w:rsidRPr="00A47266">
              <w:rPr>
                <w:lang w:val="fr-FR"/>
              </w:rPr>
              <w:t xml:space="preserve"> anglais</w:t>
            </w:r>
          </w:p>
        </w:tc>
      </w:tr>
    </w:tbl>
    <w:p w14:paraId="1170FA71" w14:textId="77777777" w:rsidR="007F20FA" w:rsidRPr="00A47266" w:rsidRDefault="007F20FA" w:rsidP="007F20FA">
      <w:pPr>
        <w:spacing w:before="120"/>
        <w:rPr>
          <w:b/>
          <w:sz w:val="28"/>
          <w:szCs w:val="28"/>
          <w:lang w:val="fr-FR"/>
        </w:rPr>
      </w:pPr>
      <w:r w:rsidRPr="00A47266">
        <w:rPr>
          <w:b/>
          <w:sz w:val="28"/>
          <w:szCs w:val="28"/>
          <w:lang w:val="fr-FR"/>
        </w:rPr>
        <w:t>Commission économique pour l’Europe</w:t>
      </w:r>
    </w:p>
    <w:p w14:paraId="36446CF6" w14:textId="77777777" w:rsidR="007F20FA" w:rsidRPr="00A47266" w:rsidRDefault="007F20FA" w:rsidP="007F20FA">
      <w:pPr>
        <w:spacing w:before="120"/>
        <w:rPr>
          <w:sz w:val="28"/>
          <w:szCs w:val="28"/>
          <w:lang w:val="fr-FR"/>
        </w:rPr>
      </w:pPr>
      <w:r w:rsidRPr="00A47266">
        <w:rPr>
          <w:sz w:val="28"/>
          <w:szCs w:val="28"/>
          <w:lang w:val="fr-FR"/>
        </w:rPr>
        <w:t>Comité des transports intérieurs</w:t>
      </w:r>
    </w:p>
    <w:p w14:paraId="1D74E41F" w14:textId="77777777" w:rsidR="00BC189E" w:rsidRPr="00A47266" w:rsidRDefault="00BC189E" w:rsidP="00BC189E">
      <w:pPr>
        <w:spacing w:before="120" w:after="120"/>
        <w:rPr>
          <w:b/>
          <w:bCs/>
          <w:sz w:val="24"/>
          <w:szCs w:val="24"/>
          <w:lang w:val="fr-FR"/>
        </w:rPr>
      </w:pPr>
      <w:r w:rsidRPr="00A47266">
        <w:rPr>
          <w:b/>
          <w:bCs/>
          <w:sz w:val="24"/>
          <w:szCs w:val="24"/>
          <w:lang w:val="fr-FR"/>
        </w:rPr>
        <w:t>Groupe de travail du transport des denrées périssables</w:t>
      </w:r>
    </w:p>
    <w:p w14:paraId="28602F23" w14:textId="77777777" w:rsidR="00BC189E" w:rsidRPr="00A47266" w:rsidRDefault="00BC189E" w:rsidP="00BC189E">
      <w:pPr>
        <w:rPr>
          <w:b/>
          <w:lang w:val="fr-FR"/>
        </w:rPr>
      </w:pPr>
      <w:bookmarkStart w:id="0" w:name="_Hlk21338187"/>
      <w:r w:rsidRPr="00A47266">
        <w:rPr>
          <w:b/>
          <w:bCs/>
          <w:lang w:val="fr-FR"/>
        </w:rPr>
        <w:t>Quatre-vingtième session</w:t>
      </w:r>
    </w:p>
    <w:bookmarkEnd w:id="0"/>
    <w:p w14:paraId="0CFD1C32" w14:textId="762C65A0" w:rsidR="00BC189E" w:rsidRPr="00A47266" w:rsidRDefault="00BC189E" w:rsidP="00BC189E">
      <w:pPr>
        <w:pStyle w:val="HChG"/>
        <w:rPr>
          <w:lang w:val="fr-FR"/>
        </w:rPr>
      </w:pPr>
      <w:r w:rsidRPr="00A47266">
        <w:rPr>
          <w:lang w:val="fr-FR"/>
        </w:rPr>
        <w:tab/>
      </w:r>
      <w:r w:rsidRPr="00A47266">
        <w:rPr>
          <w:lang w:val="fr-FR"/>
        </w:rPr>
        <w:tab/>
        <w:t>Rapport du Groupe de travail du transport des</w:t>
      </w:r>
      <w:r w:rsidR="00074962">
        <w:rPr>
          <w:lang w:val="fr-FR"/>
        </w:rPr>
        <w:t xml:space="preserve"> </w:t>
      </w:r>
      <w:r w:rsidRPr="00A47266">
        <w:rPr>
          <w:lang w:val="fr-FR"/>
        </w:rPr>
        <w:t>denrées périssables sur sa quatre-vingtième session</w:t>
      </w:r>
    </w:p>
    <w:p w14:paraId="652F72C5" w14:textId="77777777" w:rsidR="00BC189E" w:rsidRPr="00A47266" w:rsidRDefault="00BC189E" w:rsidP="00074962">
      <w:pPr>
        <w:pStyle w:val="SingleTxtG"/>
        <w:rPr>
          <w:lang w:val="fr-FR"/>
        </w:rPr>
      </w:pPr>
      <w:r w:rsidRPr="00A47266">
        <w:rPr>
          <w:lang w:val="fr-FR"/>
        </w:rPr>
        <w:t>tenue à Genève du 24 au 27 octobre 2023</w:t>
      </w:r>
    </w:p>
    <w:p w14:paraId="0630472B" w14:textId="77777777" w:rsidR="00FB1683" w:rsidRPr="00A47266" w:rsidRDefault="00FB1683" w:rsidP="00A170B7">
      <w:pPr>
        <w:pStyle w:val="SingleTxtG"/>
        <w:rPr>
          <w:lang w:val="fr-FR"/>
        </w:rPr>
      </w:pPr>
      <w:r w:rsidRPr="00A47266">
        <w:rPr>
          <w:lang w:val="fr-FR"/>
        </w:rPr>
        <w:br w:type="page"/>
      </w:r>
    </w:p>
    <w:p w14:paraId="7FFE31A5" w14:textId="77777777" w:rsidR="00FB1683" w:rsidRPr="00A47266" w:rsidRDefault="00FB1683" w:rsidP="00FB1683">
      <w:pPr>
        <w:spacing w:after="120"/>
        <w:rPr>
          <w:sz w:val="28"/>
          <w:lang w:val="fr-FR"/>
        </w:rPr>
      </w:pPr>
      <w:r w:rsidRPr="00A47266">
        <w:rPr>
          <w:sz w:val="28"/>
          <w:lang w:val="fr-FR"/>
        </w:rPr>
        <w:lastRenderedPageBreak/>
        <w:t>Table des matières</w:t>
      </w:r>
    </w:p>
    <w:p w14:paraId="386F403B" w14:textId="7CF62D4B" w:rsidR="00FB1683" w:rsidRPr="00A47266" w:rsidRDefault="00FB1683" w:rsidP="00FB1683">
      <w:pPr>
        <w:tabs>
          <w:tab w:val="right" w:pos="8929"/>
          <w:tab w:val="right" w:pos="9638"/>
        </w:tabs>
        <w:spacing w:after="120"/>
        <w:ind w:left="283"/>
        <w:rPr>
          <w:i/>
          <w:sz w:val="18"/>
          <w:lang w:val="fr-FR"/>
        </w:rPr>
      </w:pPr>
      <w:r w:rsidRPr="00A47266">
        <w:rPr>
          <w:i/>
          <w:sz w:val="18"/>
          <w:lang w:val="fr-FR"/>
        </w:rPr>
        <w:tab/>
        <w:t>Paragraphes</w:t>
      </w:r>
      <w:r w:rsidRPr="00A47266">
        <w:rPr>
          <w:i/>
          <w:sz w:val="18"/>
          <w:lang w:val="fr-FR"/>
        </w:rPr>
        <w:tab/>
        <w:t>Page</w:t>
      </w:r>
    </w:p>
    <w:p w14:paraId="26DC2CEB" w14:textId="1662FB7B" w:rsidR="00FB1683" w:rsidRPr="00A47266" w:rsidRDefault="00FB1683" w:rsidP="00FB1683">
      <w:pPr>
        <w:tabs>
          <w:tab w:val="right" w:pos="850"/>
          <w:tab w:val="right" w:leader="dot" w:pos="7654"/>
          <w:tab w:val="right" w:pos="8929"/>
          <w:tab w:val="right" w:pos="9638"/>
        </w:tabs>
        <w:spacing w:after="120"/>
        <w:ind w:left="1134" w:hanging="1134"/>
        <w:rPr>
          <w:noProof/>
        </w:rPr>
      </w:pPr>
      <w:r w:rsidRPr="00A47266">
        <w:rPr>
          <w:rStyle w:val="Lienhypertexte"/>
          <w:noProof/>
          <w:color w:val="auto"/>
        </w:rPr>
        <w:tab/>
        <w:t>I.</w:t>
      </w:r>
      <w:r w:rsidRPr="00A47266">
        <w:rPr>
          <w:rStyle w:val="Lienhypertexte"/>
          <w:noProof/>
          <w:color w:val="auto"/>
        </w:rPr>
        <w:tab/>
      </w:r>
      <w:r w:rsidR="00A170B7" w:rsidRPr="00A47266">
        <w:rPr>
          <w:lang w:val="fr-FR"/>
        </w:rPr>
        <w:t>Participation</w:t>
      </w:r>
      <w:r w:rsidRPr="00A47266">
        <w:rPr>
          <w:rStyle w:val="Lienhypertexte"/>
          <w:noProof/>
          <w:color w:val="auto"/>
        </w:rPr>
        <w:tab/>
      </w:r>
      <w:r w:rsidRPr="00A47266">
        <w:rPr>
          <w:rStyle w:val="Lienhypertexte"/>
          <w:noProof/>
          <w:color w:val="auto"/>
        </w:rPr>
        <w:tab/>
      </w:r>
      <w:r w:rsidRPr="00A47266">
        <w:rPr>
          <w:noProof/>
          <w:webHidden/>
        </w:rPr>
        <w:t>1</w:t>
      </w:r>
      <w:r w:rsidR="00954340">
        <w:rPr>
          <w:noProof/>
          <w:webHidden/>
        </w:rPr>
        <w:t>−</w:t>
      </w:r>
      <w:r w:rsidRPr="00A47266">
        <w:rPr>
          <w:noProof/>
          <w:webHidden/>
        </w:rPr>
        <w:t>3</w:t>
      </w:r>
      <w:r w:rsidRPr="00A47266">
        <w:rPr>
          <w:noProof/>
          <w:webHidden/>
        </w:rPr>
        <w:tab/>
      </w:r>
      <w:r w:rsidR="00001265">
        <w:rPr>
          <w:noProof/>
          <w:webHidden/>
        </w:rPr>
        <w:t>4</w:t>
      </w:r>
    </w:p>
    <w:p w14:paraId="67B3F18F" w14:textId="736848F5" w:rsidR="00FB1683" w:rsidRPr="00A47266" w:rsidRDefault="00FB1683" w:rsidP="00FB1683">
      <w:pPr>
        <w:tabs>
          <w:tab w:val="right" w:pos="850"/>
          <w:tab w:val="right" w:leader="dot" w:pos="7654"/>
          <w:tab w:val="right" w:pos="8929"/>
          <w:tab w:val="right" w:pos="9638"/>
        </w:tabs>
        <w:spacing w:after="120"/>
        <w:ind w:left="1134" w:hanging="1134"/>
        <w:rPr>
          <w:noProof/>
        </w:rPr>
      </w:pPr>
      <w:r w:rsidRPr="00A47266">
        <w:rPr>
          <w:rStyle w:val="Lienhypertexte"/>
          <w:noProof/>
          <w:color w:val="auto"/>
        </w:rPr>
        <w:tab/>
        <w:t>II.</w:t>
      </w:r>
      <w:r w:rsidRPr="00A47266">
        <w:rPr>
          <w:noProof/>
        </w:rPr>
        <w:tab/>
      </w:r>
      <w:r w:rsidR="00A170B7" w:rsidRPr="00A47266">
        <w:rPr>
          <w:lang w:val="fr-FR"/>
        </w:rPr>
        <w:t>Adoption</w:t>
      </w:r>
      <w:r w:rsidR="00834135">
        <w:rPr>
          <w:lang w:val="fr-FR"/>
        </w:rPr>
        <w:t xml:space="preserve"> </w:t>
      </w:r>
      <w:r w:rsidR="00A170B7" w:rsidRPr="00A47266">
        <w:rPr>
          <w:lang w:val="fr-FR"/>
        </w:rPr>
        <w:t>de</w:t>
      </w:r>
      <w:r w:rsidR="00834135">
        <w:rPr>
          <w:lang w:val="fr-FR"/>
        </w:rPr>
        <w:t xml:space="preserve"> </w:t>
      </w:r>
      <w:r w:rsidR="00A170B7" w:rsidRPr="00A47266">
        <w:rPr>
          <w:lang w:val="fr-FR"/>
        </w:rPr>
        <w:t>l’ordre</w:t>
      </w:r>
      <w:r w:rsidR="00834135">
        <w:rPr>
          <w:lang w:val="fr-FR"/>
        </w:rPr>
        <w:t xml:space="preserve"> </w:t>
      </w:r>
      <w:r w:rsidR="00A170B7" w:rsidRPr="00A47266">
        <w:rPr>
          <w:lang w:val="fr-FR"/>
        </w:rPr>
        <w:t>du</w:t>
      </w:r>
      <w:r w:rsidR="00834135">
        <w:rPr>
          <w:lang w:val="fr-FR"/>
        </w:rPr>
        <w:t xml:space="preserve"> </w:t>
      </w:r>
      <w:r w:rsidR="00A170B7" w:rsidRPr="00A47266">
        <w:rPr>
          <w:lang w:val="fr-FR"/>
        </w:rPr>
        <w:t>jour</w:t>
      </w:r>
      <w:r w:rsidR="00834135">
        <w:rPr>
          <w:lang w:val="fr-FR"/>
        </w:rPr>
        <w:t xml:space="preserve"> </w:t>
      </w:r>
      <w:r w:rsidR="00A170B7" w:rsidRPr="00A47266">
        <w:rPr>
          <w:lang w:val="fr-FR"/>
        </w:rPr>
        <w:t>(point</w:t>
      </w:r>
      <w:r w:rsidR="00834135">
        <w:rPr>
          <w:lang w:val="fr-FR"/>
        </w:rPr>
        <w:t xml:space="preserve"> </w:t>
      </w:r>
      <w:r w:rsidR="00A170B7" w:rsidRPr="00A47266">
        <w:rPr>
          <w:lang w:val="fr-FR"/>
        </w:rPr>
        <w:t>1</w:t>
      </w:r>
      <w:r w:rsidR="00834135">
        <w:rPr>
          <w:lang w:val="fr-FR"/>
        </w:rPr>
        <w:t xml:space="preserve"> </w:t>
      </w:r>
      <w:r w:rsidR="00A170B7" w:rsidRPr="00A47266">
        <w:rPr>
          <w:lang w:val="fr-FR"/>
        </w:rPr>
        <w:t>de</w:t>
      </w:r>
      <w:r w:rsidR="00834135">
        <w:rPr>
          <w:lang w:val="fr-FR"/>
        </w:rPr>
        <w:t xml:space="preserve"> </w:t>
      </w:r>
      <w:r w:rsidR="00A170B7" w:rsidRPr="00A47266">
        <w:rPr>
          <w:lang w:val="fr-FR"/>
        </w:rPr>
        <w:t>l’ordre</w:t>
      </w:r>
      <w:r w:rsidR="00834135">
        <w:rPr>
          <w:lang w:val="fr-FR"/>
        </w:rPr>
        <w:t xml:space="preserve"> </w:t>
      </w:r>
      <w:r w:rsidR="00A170B7" w:rsidRPr="00A47266">
        <w:rPr>
          <w:lang w:val="fr-FR"/>
        </w:rPr>
        <w:t>du</w:t>
      </w:r>
      <w:r w:rsidR="00834135">
        <w:rPr>
          <w:lang w:val="fr-FR"/>
        </w:rPr>
        <w:t xml:space="preserve"> </w:t>
      </w:r>
      <w:r w:rsidR="00A170B7" w:rsidRPr="00A47266">
        <w:rPr>
          <w:lang w:val="fr-FR"/>
        </w:rPr>
        <w:t>jour)</w:t>
      </w:r>
      <w:r w:rsidRPr="00A47266">
        <w:rPr>
          <w:noProof/>
          <w:webHidden/>
        </w:rPr>
        <w:tab/>
      </w:r>
      <w:r w:rsidRPr="00A47266">
        <w:rPr>
          <w:noProof/>
          <w:webHidden/>
        </w:rPr>
        <w:tab/>
        <w:t>4</w:t>
      </w:r>
      <w:r w:rsidRPr="00A47266">
        <w:rPr>
          <w:noProof/>
          <w:webHidden/>
        </w:rPr>
        <w:tab/>
      </w:r>
      <w:r w:rsidR="00001265">
        <w:rPr>
          <w:noProof/>
          <w:webHidden/>
        </w:rPr>
        <w:t>4</w:t>
      </w:r>
    </w:p>
    <w:p w14:paraId="7D46F202" w14:textId="02C3DEC3" w:rsidR="00FB1683" w:rsidRPr="00A47266" w:rsidRDefault="00FB1683" w:rsidP="00FB1683">
      <w:pPr>
        <w:tabs>
          <w:tab w:val="right" w:pos="850"/>
          <w:tab w:val="right" w:leader="dot" w:pos="7654"/>
          <w:tab w:val="right" w:pos="8929"/>
          <w:tab w:val="right" w:pos="9638"/>
        </w:tabs>
        <w:spacing w:after="120"/>
        <w:ind w:left="1134" w:hanging="1134"/>
        <w:rPr>
          <w:noProof/>
        </w:rPr>
      </w:pPr>
      <w:r w:rsidRPr="00A47266">
        <w:rPr>
          <w:rStyle w:val="Lienhypertexte"/>
          <w:noProof/>
          <w:color w:val="auto"/>
        </w:rPr>
        <w:tab/>
        <w:t>III.</w:t>
      </w:r>
      <w:r w:rsidRPr="00A47266">
        <w:rPr>
          <w:noProof/>
        </w:rPr>
        <w:tab/>
      </w:r>
      <w:r w:rsidR="00A170B7" w:rsidRPr="00A47266">
        <w:rPr>
          <w:lang w:val="fr-FR"/>
        </w:rPr>
        <w:t>Activités</w:t>
      </w:r>
      <w:r w:rsidR="00834135">
        <w:rPr>
          <w:lang w:val="fr-FR"/>
        </w:rPr>
        <w:t xml:space="preserve"> </w:t>
      </w:r>
      <w:r w:rsidR="00A170B7" w:rsidRPr="00A47266">
        <w:rPr>
          <w:lang w:val="fr-FR"/>
        </w:rPr>
        <w:t>des</w:t>
      </w:r>
      <w:r w:rsidR="00834135">
        <w:rPr>
          <w:lang w:val="fr-FR"/>
        </w:rPr>
        <w:t xml:space="preserve"> </w:t>
      </w:r>
      <w:r w:rsidR="00A170B7" w:rsidRPr="00A47266">
        <w:rPr>
          <w:lang w:val="fr-FR"/>
        </w:rPr>
        <w:t>organes</w:t>
      </w:r>
      <w:r w:rsidR="00834135">
        <w:rPr>
          <w:lang w:val="fr-FR"/>
        </w:rPr>
        <w:t xml:space="preserve"> </w:t>
      </w:r>
      <w:r w:rsidR="00A170B7" w:rsidRPr="00A47266">
        <w:rPr>
          <w:lang w:val="fr-FR"/>
        </w:rPr>
        <w:t>de</w:t>
      </w:r>
      <w:r w:rsidR="00834135">
        <w:rPr>
          <w:lang w:val="fr-FR"/>
        </w:rPr>
        <w:t xml:space="preserve"> </w:t>
      </w:r>
      <w:r w:rsidR="00A170B7" w:rsidRPr="00A47266">
        <w:rPr>
          <w:lang w:val="fr-FR"/>
        </w:rPr>
        <w:t>la</w:t>
      </w:r>
      <w:r w:rsidR="00834135">
        <w:rPr>
          <w:lang w:val="fr-FR"/>
        </w:rPr>
        <w:t xml:space="preserve"> </w:t>
      </w:r>
      <w:r w:rsidR="00A170B7" w:rsidRPr="00A47266">
        <w:rPr>
          <w:lang w:val="fr-FR"/>
        </w:rPr>
        <w:t>CEE</w:t>
      </w:r>
      <w:r w:rsidR="00834135">
        <w:rPr>
          <w:lang w:val="fr-FR"/>
        </w:rPr>
        <w:t xml:space="preserve"> </w:t>
      </w:r>
      <w:r w:rsidR="00A170B7" w:rsidRPr="00A47266">
        <w:rPr>
          <w:lang w:val="fr-FR"/>
        </w:rPr>
        <w:t>présentant</w:t>
      </w:r>
      <w:r w:rsidR="00834135">
        <w:rPr>
          <w:lang w:val="fr-FR"/>
        </w:rPr>
        <w:t xml:space="preserve"> </w:t>
      </w:r>
      <w:r w:rsidR="00A170B7" w:rsidRPr="00A47266">
        <w:rPr>
          <w:lang w:val="fr-FR"/>
        </w:rPr>
        <w:t>un</w:t>
      </w:r>
      <w:r w:rsidR="00834135">
        <w:rPr>
          <w:lang w:val="fr-FR"/>
        </w:rPr>
        <w:t xml:space="preserve"> </w:t>
      </w:r>
      <w:r w:rsidR="00A170B7" w:rsidRPr="00A47266">
        <w:rPr>
          <w:lang w:val="fr-FR"/>
        </w:rPr>
        <w:t>intérêt</w:t>
      </w:r>
      <w:r w:rsidR="00834135">
        <w:rPr>
          <w:lang w:val="fr-FR"/>
        </w:rPr>
        <w:t xml:space="preserve"> </w:t>
      </w:r>
      <w:r w:rsidR="00A170B7" w:rsidRPr="00A47266">
        <w:rPr>
          <w:lang w:val="fr-FR"/>
        </w:rPr>
        <w:t>pour</w:t>
      </w:r>
      <w:r w:rsidR="00834135">
        <w:rPr>
          <w:lang w:val="fr-FR"/>
        </w:rPr>
        <w:t xml:space="preserve"> </w:t>
      </w:r>
      <w:r w:rsidR="00A170B7" w:rsidRPr="00A47266">
        <w:rPr>
          <w:lang w:val="fr-FR"/>
        </w:rPr>
        <w:t>le</w:t>
      </w:r>
      <w:r w:rsidR="00834135">
        <w:rPr>
          <w:lang w:val="fr-FR"/>
        </w:rPr>
        <w:t xml:space="preserve"> </w:t>
      </w:r>
      <w:r w:rsidR="00A170B7" w:rsidRPr="00A47266">
        <w:rPr>
          <w:lang w:val="fr-FR"/>
        </w:rPr>
        <w:t>Groupe</w:t>
      </w:r>
      <w:r w:rsidR="00834135">
        <w:rPr>
          <w:lang w:val="fr-FR"/>
        </w:rPr>
        <w:t xml:space="preserve"> </w:t>
      </w:r>
      <w:r w:rsidR="00A170B7" w:rsidRPr="00A47266">
        <w:rPr>
          <w:lang w:val="fr-FR"/>
        </w:rPr>
        <w:t>de</w:t>
      </w:r>
      <w:r w:rsidR="00834135">
        <w:rPr>
          <w:lang w:val="fr-FR"/>
        </w:rPr>
        <w:t xml:space="preserve"> </w:t>
      </w:r>
      <w:r w:rsidR="00A170B7" w:rsidRPr="00A47266">
        <w:rPr>
          <w:lang w:val="fr-FR"/>
        </w:rPr>
        <w:t>travail</w:t>
      </w:r>
      <w:r w:rsidR="00834135">
        <w:rPr>
          <w:lang w:val="fr-FR"/>
        </w:rPr>
        <w:t xml:space="preserve"> </w:t>
      </w:r>
      <w:r w:rsidR="00834135">
        <w:rPr>
          <w:lang w:val="fr-FR"/>
        </w:rPr>
        <w:br/>
      </w:r>
      <w:r w:rsidR="00A170B7" w:rsidRPr="00A47266">
        <w:rPr>
          <w:lang w:val="fr-FR"/>
        </w:rPr>
        <w:t>(point</w:t>
      </w:r>
      <w:r w:rsidR="00834135">
        <w:rPr>
          <w:lang w:val="fr-FR"/>
        </w:rPr>
        <w:t xml:space="preserve"> </w:t>
      </w:r>
      <w:r w:rsidR="00A170B7" w:rsidRPr="00A47266">
        <w:rPr>
          <w:lang w:val="fr-FR"/>
        </w:rPr>
        <w:t>2</w:t>
      </w:r>
      <w:r w:rsidR="00834135">
        <w:rPr>
          <w:lang w:val="fr-FR"/>
        </w:rPr>
        <w:t xml:space="preserve"> </w:t>
      </w:r>
      <w:r w:rsidR="00A170B7" w:rsidRPr="00A47266">
        <w:rPr>
          <w:lang w:val="fr-FR"/>
        </w:rPr>
        <w:t>de</w:t>
      </w:r>
      <w:r w:rsidR="00834135">
        <w:rPr>
          <w:lang w:val="fr-FR"/>
        </w:rPr>
        <w:t xml:space="preserve"> </w:t>
      </w:r>
      <w:r w:rsidR="00A170B7" w:rsidRPr="00A47266">
        <w:rPr>
          <w:lang w:val="fr-FR"/>
        </w:rPr>
        <w:t>l’ordre</w:t>
      </w:r>
      <w:r w:rsidR="00834135">
        <w:rPr>
          <w:lang w:val="fr-FR"/>
        </w:rPr>
        <w:t xml:space="preserve"> </w:t>
      </w:r>
      <w:r w:rsidR="00A170B7" w:rsidRPr="00A47266">
        <w:rPr>
          <w:lang w:val="fr-FR"/>
        </w:rPr>
        <w:t>du</w:t>
      </w:r>
      <w:r w:rsidR="00834135">
        <w:rPr>
          <w:lang w:val="fr-FR"/>
        </w:rPr>
        <w:t xml:space="preserve"> </w:t>
      </w:r>
      <w:r w:rsidR="00A170B7" w:rsidRPr="00A47266">
        <w:rPr>
          <w:lang w:val="fr-FR"/>
        </w:rPr>
        <w:t>jour)</w:t>
      </w:r>
      <w:r w:rsidRPr="00A47266">
        <w:rPr>
          <w:noProof/>
          <w:webHidden/>
        </w:rPr>
        <w:tab/>
      </w:r>
      <w:r w:rsidRPr="00A47266">
        <w:rPr>
          <w:noProof/>
          <w:webHidden/>
        </w:rPr>
        <w:tab/>
        <w:t>5–22</w:t>
      </w:r>
      <w:r w:rsidRPr="00A47266">
        <w:rPr>
          <w:noProof/>
          <w:webHidden/>
        </w:rPr>
        <w:tab/>
      </w:r>
      <w:r w:rsidR="00001265">
        <w:rPr>
          <w:noProof/>
          <w:webHidden/>
        </w:rPr>
        <w:t>4</w:t>
      </w:r>
    </w:p>
    <w:p w14:paraId="25BF289F" w14:textId="2F4586C7" w:rsidR="00FB1683" w:rsidRPr="00A47266" w:rsidRDefault="00FB1683" w:rsidP="00FB1683">
      <w:pPr>
        <w:tabs>
          <w:tab w:val="right" w:leader="dot" w:pos="7654"/>
          <w:tab w:val="right" w:pos="8929"/>
          <w:tab w:val="right" w:pos="9638"/>
        </w:tabs>
        <w:spacing w:after="120"/>
        <w:ind w:left="1559" w:hanging="425"/>
        <w:rPr>
          <w:noProof/>
          <w:webHidden/>
        </w:rPr>
      </w:pPr>
      <w:r w:rsidRPr="00A47266">
        <w:rPr>
          <w:rStyle w:val="Lienhypertexte"/>
          <w:noProof/>
          <w:color w:val="auto"/>
        </w:rPr>
        <w:t>A.</w:t>
      </w:r>
      <w:r w:rsidRPr="00A47266">
        <w:rPr>
          <w:noProof/>
        </w:rPr>
        <w:tab/>
      </w:r>
      <w:r w:rsidR="00A170B7" w:rsidRPr="00A47266">
        <w:rPr>
          <w:bCs/>
          <w:lang w:val="fr-FR"/>
        </w:rPr>
        <w:t>Comité</w:t>
      </w:r>
      <w:r w:rsidR="00834135">
        <w:rPr>
          <w:bCs/>
          <w:lang w:val="fr-FR"/>
        </w:rPr>
        <w:t xml:space="preserve"> </w:t>
      </w:r>
      <w:r w:rsidR="00A170B7" w:rsidRPr="00A47266">
        <w:rPr>
          <w:bCs/>
          <w:lang w:val="fr-FR"/>
        </w:rPr>
        <w:t>des</w:t>
      </w:r>
      <w:r w:rsidR="00834135">
        <w:rPr>
          <w:bCs/>
          <w:lang w:val="fr-FR"/>
        </w:rPr>
        <w:t xml:space="preserve"> </w:t>
      </w:r>
      <w:r w:rsidR="00A170B7" w:rsidRPr="00A47266">
        <w:rPr>
          <w:bCs/>
          <w:lang w:val="fr-FR"/>
        </w:rPr>
        <w:t>transports</w:t>
      </w:r>
      <w:r w:rsidR="00834135">
        <w:rPr>
          <w:bCs/>
          <w:lang w:val="fr-FR"/>
        </w:rPr>
        <w:t xml:space="preserve"> </w:t>
      </w:r>
      <w:r w:rsidR="00A170B7" w:rsidRPr="00A47266">
        <w:rPr>
          <w:bCs/>
          <w:lang w:val="fr-FR"/>
        </w:rPr>
        <w:t>intérieurs</w:t>
      </w:r>
      <w:r w:rsidRPr="00A47266">
        <w:rPr>
          <w:noProof/>
          <w:webHidden/>
        </w:rPr>
        <w:tab/>
      </w:r>
      <w:r w:rsidRPr="00A47266">
        <w:rPr>
          <w:noProof/>
          <w:webHidden/>
        </w:rPr>
        <w:tab/>
        <w:t>5–11</w:t>
      </w:r>
      <w:r w:rsidRPr="00A47266">
        <w:rPr>
          <w:noProof/>
          <w:webHidden/>
        </w:rPr>
        <w:tab/>
      </w:r>
      <w:r w:rsidR="00001265">
        <w:rPr>
          <w:noProof/>
          <w:webHidden/>
        </w:rPr>
        <w:t>4</w:t>
      </w:r>
    </w:p>
    <w:p w14:paraId="318612D6" w14:textId="19505305" w:rsidR="00FB1683" w:rsidRPr="00A47266" w:rsidRDefault="00FB1683" w:rsidP="00FB1683">
      <w:pPr>
        <w:tabs>
          <w:tab w:val="right" w:leader="dot" w:pos="7654"/>
          <w:tab w:val="right" w:pos="8929"/>
          <w:tab w:val="right" w:pos="9638"/>
        </w:tabs>
        <w:spacing w:after="120"/>
        <w:ind w:left="1984" w:hanging="425"/>
      </w:pPr>
      <w:r w:rsidRPr="00A47266">
        <w:rPr>
          <w:noProof/>
          <w:webHidden/>
        </w:rPr>
        <w:t>1.</w:t>
      </w:r>
      <w:r w:rsidRPr="00A47266">
        <w:rPr>
          <w:noProof/>
          <w:webHidden/>
        </w:rPr>
        <w:tab/>
      </w:r>
      <w:r w:rsidR="00A170B7" w:rsidRPr="00A47266">
        <w:rPr>
          <w:lang w:val="fr-FR"/>
        </w:rPr>
        <w:t>Élaboration</w:t>
      </w:r>
      <w:r w:rsidR="00834135">
        <w:rPr>
          <w:lang w:val="fr-FR"/>
        </w:rPr>
        <w:t xml:space="preserve"> </w:t>
      </w:r>
      <w:r w:rsidR="00A170B7" w:rsidRPr="00A47266">
        <w:rPr>
          <w:lang w:val="fr-FR"/>
        </w:rPr>
        <w:t>de</w:t>
      </w:r>
      <w:r w:rsidR="00834135">
        <w:rPr>
          <w:lang w:val="fr-FR"/>
        </w:rPr>
        <w:t xml:space="preserve"> </w:t>
      </w:r>
      <w:r w:rsidR="00A170B7" w:rsidRPr="00A47266">
        <w:rPr>
          <w:lang w:val="fr-FR"/>
        </w:rPr>
        <w:t>la</w:t>
      </w:r>
      <w:r w:rsidR="00834135">
        <w:rPr>
          <w:lang w:val="fr-FR"/>
        </w:rPr>
        <w:t xml:space="preserve"> </w:t>
      </w:r>
      <w:r w:rsidR="00A170B7" w:rsidRPr="00A47266">
        <w:rPr>
          <w:lang w:val="fr-FR"/>
        </w:rPr>
        <w:t>stratégie</w:t>
      </w:r>
      <w:r w:rsidR="00834135">
        <w:rPr>
          <w:lang w:val="fr-FR"/>
        </w:rPr>
        <w:t xml:space="preserve"> </w:t>
      </w:r>
      <w:r w:rsidR="00A170B7" w:rsidRPr="00A47266">
        <w:rPr>
          <w:lang w:val="fr-FR"/>
        </w:rPr>
        <w:t>du</w:t>
      </w:r>
      <w:r w:rsidR="00834135">
        <w:rPr>
          <w:lang w:val="fr-FR"/>
        </w:rPr>
        <w:t xml:space="preserve"> </w:t>
      </w:r>
      <w:r w:rsidR="00A170B7" w:rsidRPr="00A47266">
        <w:rPr>
          <w:lang w:val="fr-FR"/>
        </w:rPr>
        <w:t>CTI</w:t>
      </w:r>
      <w:r w:rsidR="00834135">
        <w:rPr>
          <w:lang w:val="fr-FR"/>
        </w:rPr>
        <w:t xml:space="preserve"> </w:t>
      </w:r>
      <w:r w:rsidR="00A170B7" w:rsidRPr="00A47266">
        <w:rPr>
          <w:lang w:val="fr-FR"/>
        </w:rPr>
        <w:t>pour</w:t>
      </w:r>
      <w:r w:rsidR="00834135">
        <w:rPr>
          <w:lang w:val="fr-FR"/>
        </w:rPr>
        <w:t xml:space="preserve"> </w:t>
      </w:r>
      <w:r w:rsidR="00A170B7" w:rsidRPr="00A47266">
        <w:rPr>
          <w:lang w:val="fr-FR"/>
        </w:rPr>
        <w:t>la</w:t>
      </w:r>
      <w:r w:rsidR="00834135">
        <w:rPr>
          <w:lang w:val="fr-FR"/>
        </w:rPr>
        <w:t xml:space="preserve"> </w:t>
      </w:r>
      <w:r w:rsidR="00A170B7" w:rsidRPr="00A47266">
        <w:rPr>
          <w:lang w:val="fr-FR"/>
        </w:rPr>
        <w:t>réduction</w:t>
      </w:r>
      <w:r w:rsidR="00834135">
        <w:rPr>
          <w:lang w:val="fr-FR"/>
        </w:rPr>
        <w:t xml:space="preserve"> </w:t>
      </w:r>
      <w:r w:rsidR="00A170B7" w:rsidRPr="00A47266">
        <w:rPr>
          <w:lang w:val="fr-FR"/>
        </w:rPr>
        <w:t>des</w:t>
      </w:r>
      <w:r w:rsidR="00834135">
        <w:rPr>
          <w:lang w:val="fr-FR"/>
        </w:rPr>
        <w:t xml:space="preserve"> </w:t>
      </w:r>
      <w:r w:rsidR="00A170B7" w:rsidRPr="00A47266">
        <w:rPr>
          <w:lang w:val="fr-FR"/>
        </w:rPr>
        <w:t>émissions</w:t>
      </w:r>
      <w:r w:rsidR="00834135">
        <w:rPr>
          <w:lang w:val="fr-FR"/>
        </w:rPr>
        <w:t xml:space="preserve"> </w:t>
      </w:r>
      <w:r w:rsidR="00834135">
        <w:rPr>
          <w:lang w:val="fr-FR"/>
        </w:rPr>
        <w:br/>
      </w:r>
      <w:r w:rsidR="00A170B7" w:rsidRPr="00A47266">
        <w:rPr>
          <w:lang w:val="fr-FR"/>
        </w:rPr>
        <w:t>de</w:t>
      </w:r>
      <w:r w:rsidR="00834135">
        <w:rPr>
          <w:lang w:val="fr-FR"/>
        </w:rPr>
        <w:t xml:space="preserve"> </w:t>
      </w:r>
      <w:r w:rsidR="00A170B7" w:rsidRPr="00A47266">
        <w:rPr>
          <w:lang w:val="fr-FR"/>
        </w:rPr>
        <w:t>gaz</w:t>
      </w:r>
      <w:r w:rsidR="00834135">
        <w:rPr>
          <w:lang w:val="fr-FR"/>
        </w:rPr>
        <w:t xml:space="preserve"> </w:t>
      </w:r>
      <w:r w:rsidR="00A170B7" w:rsidRPr="00A47266">
        <w:rPr>
          <w:lang w:val="fr-FR"/>
        </w:rPr>
        <w:t>à</w:t>
      </w:r>
      <w:r w:rsidR="00834135">
        <w:rPr>
          <w:lang w:val="fr-FR"/>
        </w:rPr>
        <w:t xml:space="preserve"> </w:t>
      </w:r>
      <w:r w:rsidR="00A170B7" w:rsidRPr="00A47266">
        <w:rPr>
          <w:lang w:val="fr-FR"/>
        </w:rPr>
        <w:t>effet</w:t>
      </w:r>
      <w:r w:rsidR="00834135">
        <w:rPr>
          <w:lang w:val="fr-FR"/>
        </w:rPr>
        <w:t xml:space="preserve"> </w:t>
      </w:r>
      <w:r w:rsidR="00A170B7" w:rsidRPr="00A47266">
        <w:rPr>
          <w:lang w:val="fr-FR"/>
        </w:rPr>
        <w:t>de</w:t>
      </w:r>
      <w:r w:rsidR="00834135">
        <w:rPr>
          <w:lang w:val="fr-FR"/>
        </w:rPr>
        <w:t xml:space="preserve"> </w:t>
      </w:r>
      <w:r w:rsidR="00A170B7" w:rsidRPr="00A47266">
        <w:rPr>
          <w:lang w:val="fr-FR"/>
        </w:rPr>
        <w:t>serre</w:t>
      </w:r>
      <w:r w:rsidR="00834135">
        <w:rPr>
          <w:lang w:val="fr-FR"/>
        </w:rPr>
        <w:t xml:space="preserve"> </w:t>
      </w:r>
      <w:r w:rsidR="00A170B7" w:rsidRPr="00A47266">
        <w:rPr>
          <w:lang w:val="fr-FR"/>
        </w:rPr>
        <w:t>dans</w:t>
      </w:r>
      <w:r w:rsidR="00834135">
        <w:rPr>
          <w:lang w:val="fr-FR"/>
        </w:rPr>
        <w:t xml:space="preserve"> </w:t>
      </w:r>
      <w:r w:rsidR="00A170B7" w:rsidRPr="00A47266">
        <w:rPr>
          <w:lang w:val="fr-FR"/>
        </w:rPr>
        <w:t>les</w:t>
      </w:r>
      <w:r w:rsidR="00834135">
        <w:rPr>
          <w:lang w:val="fr-FR"/>
        </w:rPr>
        <w:t xml:space="preserve"> </w:t>
      </w:r>
      <w:r w:rsidR="00A170B7" w:rsidRPr="00A47266">
        <w:rPr>
          <w:lang w:val="fr-FR"/>
        </w:rPr>
        <w:t>transports</w:t>
      </w:r>
      <w:r w:rsidR="00834135">
        <w:rPr>
          <w:lang w:val="fr-FR"/>
        </w:rPr>
        <w:t xml:space="preserve"> </w:t>
      </w:r>
      <w:r w:rsidR="00A170B7" w:rsidRPr="00A47266">
        <w:rPr>
          <w:lang w:val="fr-FR"/>
        </w:rPr>
        <w:t>intérieurs</w:t>
      </w:r>
      <w:r w:rsidRPr="00A47266">
        <w:tab/>
      </w:r>
      <w:r w:rsidRPr="00A47266">
        <w:tab/>
        <w:t>8–9</w:t>
      </w:r>
      <w:r w:rsidRPr="00A47266">
        <w:tab/>
      </w:r>
      <w:r w:rsidR="00001265">
        <w:t>4</w:t>
      </w:r>
    </w:p>
    <w:p w14:paraId="7F8D629F" w14:textId="7EDBCC36" w:rsidR="00FB1683" w:rsidRPr="00A47266" w:rsidRDefault="00FB1683" w:rsidP="00FB1683">
      <w:pPr>
        <w:tabs>
          <w:tab w:val="right" w:leader="dot" w:pos="7654"/>
          <w:tab w:val="right" w:pos="8929"/>
          <w:tab w:val="right" w:pos="9638"/>
        </w:tabs>
        <w:spacing w:after="120"/>
        <w:ind w:left="1984" w:hanging="425"/>
      </w:pPr>
      <w:r w:rsidRPr="00A47266">
        <w:t>2.</w:t>
      </w:r>
      <w:r w:rsidRPr="00A47266">
        <w:tab/>
      </w:r>
      <w:r w:rsidR="00A170B7" w:rsidRPr="00A47266">
        <w:rPr>
          <w:lang w:val="fr-FR"/>
        </w:rPr>
        <w:t>Stratégie</w:t>
      </w:r>
      <w:r w:rsidR="00834135">
        <w:rPr>
          <w:lang w:val="fr-FR"/>
        </w:rPr>
        <w:t xml:space="preserve"> </w:t>
      </w:r>
      <w:r w:rsidR="00A170B7" w:rsidRPr="00A47266">
        <w:rPr>
          <w:lang w:val="fr-FR"/>
        </w:rPr>
        <w:t>du</w:t>
      </w:r>
      <w:r w:rsidR="00834135">
        <w:rPr>
          <w:lang w:val="fr-FR"/>
        </w:rPr>
        <w:t xml:space="preserve"> </w:t>
      </w:r>
      <w:r w:rsidR="00A170B7" w:rsidRPr="00A47266">
        <w:rPr>
          <w:lang w:val="fr-FR"/>
        </w:rPr>
        <w:t>CTI</w:t>
      </w:r>
      <w:r w:rsidR="00834135">
        <w:rPr>
          <w:lang w:val="fr-FR"/>
        </w:rPr>
        <w:t xml:space="preserve"> </w:t>
      </w:r>
      <w:r w:rsidR="00A170B7" w:rsidRPr="00A47266">
        <w:rPr>
          <w:lang w:val="fr-FR"/>
        </w:rPr>
        <w:t>pour</w:t>
      </w:r>
      <w:r w:rsidR="00834135">
        <w:rPr>
          <w:lang w:val="fr-FR"/>
        </w:rPr>
        <w:t xml:space="preserve"> </w:t>
      </w:r>
      <w:r w:rsidR="00A170B7" w:rsidRPr="00A47266">
        <w:rPr>
          <w:lang w:val="fr-FR"/>
        </w:rPr>
        <w:t>l’atténuation</w:t>
      </w:r>
      <w:r w:rsidR="00834135">
        <w:rPr>
          <w:lang w:val="fr-FR"/>
        </w:rPr>
        <w:t xml:space="preserve"> </w:t>
      </w:r>
      <w:r w:rsidR="00A170B7" w:rsidRPr="00A47266">
        <w:rPr>
          <w:lang w:val="fr-FR"/>
        </w:rPr>
        <w:t>des</w:t>
      </w:r>
      <w:r w:rsidR="00834135">
        <w:rPr>
          <w:lang w:val="fr-FR"/>
        </w:rPr>
        <w:t xml:space="preserve"> </w:t>
      </w:r>
      <w:r w:rsidR="00A170B7" w:rsidRPr="00A47266">
        <w:rPr>
          <w:lang w:val="fr-FR"/>
        </w:rPr>
        <w:t>changements</w:t>
      </w:r>
      <w:r w:rsidR="00834135">
        <w:rPr>
          <w:lang w:val="fr-FR"/>
        </w:rPr>
        <w:t xml:space="preserve"> </w:t>
      </w:r>
      <w:r w:rsidR="00A170B7" w:rsidRPr="00A47266">
        <w:rPr>
          <w:lang w:val="fr-FR"/>
        </w:rPr>
        <w:t>climatiques</w:t>
      </w:r>
      <w:r w:rsidR="00834135">
        <w:rPr>
          <w:lang w:val="fr-FR"/>
        </w:rPr>
        <w:t xml:space="preserve"> </w:t>
      </w:r>
      <w:r w:rsidR="00A170B7" w:rsidRPr="00A47266">
        <w:rPr>
          <w:lang w:val="fr-FR"/>
        </w:rPr>
        <w:t>:</w:t>
      </w:r>
      <w:r w:rsidR="00834135">
        <w:rPr>
          <w:lang w:val="fr-FR"/>
        </w:rPr>
        <w:t xml:space="preserve"> </w:t>
      </w:r>
      <w:r w:rsidR="00A170B7" w:rsidRPr="00A47266">
        <w:rPr>
          <w:lang w:val="fr-FR"/>
        </w:rPr>
        <w:br/>
        <w:t>projet</w:t>
      </w:r>
      <w:r w:rsidR="00834135">
        <w:rPr>
          <w:lang w:val="fr-FR"/>
        </w:rPr>
        <w:t xml:space="preserve"> </w:t>
      </w:r>
      <w:r w:rsidR="00A170B7" w:rsidRPr="00A47266">
        <w:rPr>
          <w:lang w:val="fr-FR"/>
        </w:rPr>
        <w:t>de</w:t>
      </w:r>
      <w:r w:rsidR="00834135">
        <w:rPr>
          <w:lang w:val="fr-FR"/>
        </w:rPr>
        <w:t xml:space="preserve"> </w:t>
      </w:r>
      <w:r w:rsidR="00A170B7" w:rsidRPr="00A47266">
        <w:rPr>
          <w:lang w:val="fr-FR"/>
        </w:rPr>
        <w:t>contribution</w:t>
      </w:r>
      <w:r w:rsidRPr="00A47266">
        <w:tab/>
      </w:r>
      <w:r w:rsidRPr="00A47266">
        <w:tab/>
        <w:t>10</w:t>
      </w:r>
      <w:r w:rsidRPr="00A47266">
        <w:tab/>
      </w:r>
      <w:r w:rsidR="00FB7F7F">
        <w:t>5</w:t>
      </w:r>
    </w:p>
    <w:p w14:paraId="6E0D6785" w14:textId="513638EA" w:rsidR="00FB1683" w:rsidRPr="00A47266" w:rsidRDefault="00FB1683" w:rsidP="00FB1683">
      <w:pPr>
        <w:tabs>
          <w:tab w:val="right" w:leader="dot" w:pos="7654"/>
          <w:tab w:val="right" w:pos="8929"/>
          <w:tab w:val="right" w:pos="9638"/>
        </w:tabs>
        <w:spacing w:after="120"/>
        <w:ind w:left="1984" w:hanging="425"/>
        <w:rPr>
          <w:noProof/>
        </w:rPr>
      </w:pPr>
      <w:r w:rsidRPr="00A47266">
        <w:t>3.</w:t>
      </w:r>
      <w:r w:rsidRPr="00A47266">
        <w:tab/>
      </w:r>
      <w:r w:rsidR="00A170B7" w:rsidRPr="00A47266">
        <w:rPr>
          <w:lang w:val="fr-FR"/>
        </w:rPr>
        <w:t>Informations</w:t>
      </w:r>
      <w:r w:rsidR="00834135">
        <w:rPr>
          <w:lang w:val="fr-FR"/>
        </w:rPr>
        <w:t xml:space="preserve"> </w:t>
      </w:r>
      <w:r w:rsidR="00A170B7" w:rsidRPr="00A47266">
        <w:rPr>
          <w:lang w:val="fr-FR"/>
        </w:rPr>
        <w:t>recommandées</w:t>
      </w:r>
      <w:r w:rsidR="00834135">
        <w:rPr>
          <w:lang w:val="fr-FR"/>
        </w:rPr>
        <w:t xml:space="preserve"> </w:t>
      </w:r>
      <w:r w:rsidR="00A170B7" w:rsidRPr="00A47266">
        <w:rPr>
          <w:lang w:val="fr-FR"/>
        </w:rPr>
        <w:t>pour</w:t>
      </w:r>
      <w:r w:rsidR="00834135">
        <w:rPr>
          <w:lang w:val="fr-FR"/>
        </w:rPr>
        <w:t xml:space="preserve"> </w:t>
      </w:r>
      <w:r w:rsidR="00A170B7" w:rsidRPr="00A47266">
        <w:rPr>
          <w:lang w:val="fr-FR"/>
        </w:rPr>
        <w:t>l’examen</w:t>
      </w:r>
      <w:r w:rsidR="00834135">
        <w:rPr>
          <w:lang w:val="fr-FR"/>
        </w:rPr>
        <w:t xml:space="preserve"> </w:t>
      </w:r>
      <w:r w:rsidR="00A170B7" w:rsidRPr="00A47266">
        <w:rPr>
          <w:lang w:val="fr-FR"/>
        </w:rPr>
        <w:t>des</w:t>
      </w:r>
      <w:r w:rsidR="00834135">
        <w:rPr>
          <w:lang w:val="fr-FR"/>
        </w:rPr>
        <w:t xml:space="preserve"> </w:t>
      </w:r>
      <w:r w:rsidR="00A170B7" w:rsidRPr="00A47266">
        <w:rPr>
          <w:lang w:val="fr-FR"/>
        </w:rPr>
        <w:t>groupes</w:t>
      </w:r>
      <w:r w:rsidR="00834135">
        <w:rPr>
          <w:lang w:val="fr-FR"/>
        </w:rPr>
        <w:t xml:space="preserve"> </w:t>
      </w:r>
      <w:r w:rsidR="00834135">
        <w:rPr>
          <w:lang w:val="fr-FR"/>
        </w:rPr>
        <w:br/>
      </w:r>
      <w:r w:rsidR="00A170B7" w:rsidRPr="00A47266">
        <w:rPr>
          <w:lang w:val="fr-FR"/>
        </w:rPr>
        <w:t>de</w:t>
      </w:r>
      <w:r w:rsidR="00834135">
        <w:rPr>
          <w:lang w:val="fr-FR"/>
        </w:rPr>
        <w:t xml:space="preserve"> </w:t>
      </w:r>
      <w:r w:rsidR="00A170B7" w:rsidRPr="00A47266">
        <w:rPr>
          <w:lang w:val="fr-FR"/>
        </w:rPr>
        <w:t>travail</w:t>
      </w:r>
      <w:r w:rsidR="00834135">
        <w:rPr>
          <w:lang w:val="fr-FR"/>
        </w:rPr>
        <w:t xml:space="preserve"> </w:t>
      </w:r>
      <w:r w:rsidR="00A170B7" w:rsidRPr="00A47266">
        <w:rPr>
          <w:lang w:val="fr-FR"/>
        </w:rPr>
        <w:t>du</w:t>
      </w:r>
      <w:r w:rsidR="00834135">
        <w:rPr>
          <w:lang w:val="fr-FR"/>
        </w:rPr>
        <w:t xml:space="preserve"> </w:t>
      </w:r>
      <w:r w:rsidR="00A170B7" w:rsidRPr="00A47266">
        <w:rPr>
          <w:lang w:val="fr-FR"/>
        </w:rPr>
        <w:t>CTI</w:t>
      </w:r>
      <w:r w:rsidRPr="00A47266">
        <w:rPr>
          <w:bCs/>
        </w:rPr>
        <w:tab/>
      </w:r>
      <w:r w:rsidRPr="00A47266">
        <w:rPr>
          <w:bCs/>
        </w:rPr>
        <w:tab/>
        <w:t>11</w:t>
      </w:r>
      <w:r w:rsidRPr="00A47266">
        <w:rPr>
          <w:bCs/>
        </w:rPr>
        <w:tab/>
      </w:r>
      <w:r w:rsidR="00FB7F7F">
        <w:rPr>
          <w:bCs/>
        </w:rPr>
        <w:t>5</w:t>
      </w:r>
    </w:p>
    <w:p w14:paraId="1349399A" w14:textId="2832483E" w:rsidR="00FB1683" w:rsidRPr="00A47266" w:rsidRDefault="00FB1683" w:rsidP="00FB1683">
      <w:pPr>
        <w:tabs>
          <w:tab w:val="right" w:leader="dot" w:pos="7654"/>
          <w:tab w:val="right" w:pos="8929"/>
          <w:tab w:val="right" w:pos="9638"/>
        </w:tabs>
        <w:spacing w:after="120"/>
        <w:ind w:left="1559" w:hanging="425"/>
        <w:rPr>
          <w:noProof/>
          <w:webHidden/>
        </w:rPr>
      </w:pPr>
      <w:r w:rsidRPr="00A47266">
        <w:rPr>
          <w:rStyle w:val="Lienhypertexte"/>
          <w:noProof/>
          <w:color w:val="auto"/>
        </w:rPr>
        <w:t>B.</w:t>
      </w:r>
      <w:r w:rsidRPr="00A47266">
        <w:rPr>
          <w:noProof/>
        </w:rPr>
        <w:tab/>
      </w:r>
      <w:r w:rsidR="00A170B7" w:rsidRPr="00A47266">
        <w:rPr>
          <w:lang w:val="fr-FR"/>
        </w:rPr>
        <w:t>Groupe</w:t>
      </w:r>
      <w:r w:rsidR="00834135">
        <w:rPr>
          <w:lang w:val="fr-FR"/>
        </w:rPr>
        <w:t xml:space="preserve"> </w:t>
      </w:r>
      <w:r w:rsidR="00A170B7" w:rsidRPr="00A47266">
        <w:rPr>
          <w:lang w:val="fr-FR"/>
        </w:rPr>
        <w:t>de</w:t>
      </w:r>
      <w:r w:rsidR="00834135">
        <w:rPr>
          <w:lang w:val="fr-FR"/>
        </w:rPr>
        <w:t xml:space="preserve"> </w:t>
      </w:r>
      <w:r w:rsidR="00A170B7" w:rsidRPr="00A47266">
        <w:rPr>
          <w:lang w:val="fr-FR"/>
        </w:rPr>
        <w:t>travail</w:t>
      </w:r>
      <w:r w:rsidR="00834135">
        <w:rPr>
          <w:lang w:val="fr-FR"/>
        </w:rPr>
        <w:t xml:space="preserve"> </w:t>
      </w:r>
      <w:r w:rsidR="00A170B7" w:rsidRPr="00A47266">
        <w:rPr>
          <w:lang w:val="fr-FR"/>
        </w:rPr>
        <w:t>des</w:t>
      </w:r>
      <w:r w:rsidR="00834135">
        <w:rPr>
          <w:lang w:val="fr-FR"/>
        </w:rPr>
        <w:t xml:space="preserve"> </w:t>
      </w:r>
      <w:r w:rsidR="00A170B7" w:rsidRPr="00A47266">
        <w:rPr>
          <w:lang w:val="fr-FR"/>
        </w:rPr>
        <w:t>normes</w:t>
      </w:r>
      <w:r w:rsidR="00834135">
        <w:rPr>
          <w:lang w:val="fr-FR"/>
        </w:rPr>
        <w:t xml:space="preserve"> </w:t>
      </w:r>
      <w:r w:rsidR="00A170B7" w:rsidRPr="00A47266">
        <w:rPr>
          <w:lang w:val="fr-FR"/>
        </w:rPr>
        <w:t>de</w:t>
      </w:r>
      <w:r w:rsidR="00834135">
        <w:rPr>
          <w:lang w:val="fr-FR"/>
        </w:rPr>
        <w:t xml:space="preserve"> </w:t>
      </w:r>
      <w:r w:rsidR="00A170B7" w:rsidRPr="00A47266">
        <w:rPr>
          <w:lang w:val="fr-FR"/>
        </w:rPr>
        <w:t>qualité</w:t>
      </w:r>
      <w:r w:rsidR="00834135">
        <w:rPr>
          <w:lang w:val="fr-FR"/>
        </w:rPr>
        <w:t xml:space="preserve"> </w:t>
      </w:r>
      <w:r w:rsidR="00A170B7" w:rsidRPr="00A47266">
        <w:rPr>
          <w:lang w:val="fr-FR"/>
        </w:rPr>
        <w:t>des</w:t>
      </w:r>
      <w:r w:rsidR="00834135">
        <w:rPr>
          <w:lang w:val="fr-FR"/>
        </w:rPr>
        <w:t xml:space="preserve"> </w:t>
      </w:r>
      <w:r w:rsidR="00A170B7" w:rsidRPr="00A47266">
        <w:rPr>
          <w:lang w:val="fr-FR"/>
        </w:rPr>
        <w:t>produits</w:t>
      </w:r>
      <w:r w:rsidR="00834135">
        <w:rPr>
          <w:lang w:val="fr-FR"/>
        </w:rPr>
        <w:t xml:space="preserve"> </w:t>
      </w:r>
      <w:r w:rsidR="00A170B7" w:rsidRPr="00A47266">
        <w:rPr>
          <w:lang w:val="fr-FR"/>
        </w:rPr>
        <w:t>agricoles</w:t>
      </w:r>
      <w:r w:rsidRPr="00A47266">
        <w:rPr>
          <w:noProof/>
          <w:webHidden/>
        </w:rPr>
        <w:tab/>
      </w:r>
      <w:r w:rsidRPr="00A47266">
        <w:rPr>
          <w:noProof/>
          <w:webHidden/>
        </w:rPr>
        <w:tab/>
        <w:t>12–14</w:t>
      </w:r>
      <w:r w:rsidRPr="00A47266">
        <w:rPr>
          <w:noProof/>
          <w:webHidden/>
        </w:rPr>
        <w:tab/>
      </w:r>
      <w:r w:rsidR="00FB7F7F">
        <w:rPr>
          <w:noProof/>
          <w:webHidden/>
        </w:rPr>
        <w:t>5</w:t>
      </w:r>
    </w:p>
    <w:p w14:paraId="7B338C27" w14:textId="2C0A4732" w:rsidR="00FB1683" w:rsidRPr="00A47266" w:rsidRDefault="00FB1683" w:rsidP="00FB1683">
      <w:pPr>
        <w:tabs>
          <w:tab w:val="right" w:leader="dot" w:pos="7654"/>
          <w:tab w:val="right" w:pos="8929"/>
          <w:tab w:val="right" w:pos="9638"/>
        </w:tabs>
        <w:spacing w:after="120"/>
        <w:ind w:left="1559" w:hanging="425"/>
      </w:pPr>
      <w:r w:rsidRPr="00A47266">
        <w:rPr>
          <w:noProof/>
          <w:webHidden/>
        </w:rPr>
        <w:t>C.</w:t>
      </w:r>
      <w:r w:rsidRPr="00A47266">
        <w:rPr>
          <w:noProof/>
          <w:webHidden/>
        </w:rPr>
        <w:tab/>
      </w:r>
      <w:r w:rsidR="00A170B7" w:rsidRPr="00A47266">
        <w:rPr>
          <w:lang w:val="fr-FR"/>
        </w:rPr>
        <w:t>Organisations</w:t>
      </w:r>
      <w:r w:rsidR="00834135">
        <w:rPr>
          <w:lang w:val="fr-FR"/>
        </w:rPr>
        <w:t xml:space="preserve"> </w:t>
      </w:r>
      <w:r w:rsidR="00A170B7" w:rsidRPr="00A47266">
        <w:rPr>
          <w:lang w:val="fr-FR"/>
        </w:rPr>
        <w:t>de</w:t>
      </w:r>
      <w:r w:rsidR="00834135">
        <w:rPr>
          <w:lang w:val="fr-FR"/>
        </w:rPr>
        <w:t xml:space="preserve"> </w:t>
      </w:r>
      <w:r w:rsidR="00A170B7" w:rsidRPr="00A47266">
        <w:rPr>
          <w:lang w:val="fr-FR"/>
        </w:rPr>
        <w:t>normalisation</w:t>
      </w:r>
      <w:r w:rsidRPr="00A47266">
        <w:tab/>
      </w:r>
      <w:r w:rsidRPr="00A47266">
        <w:tab/>
        <w:t>15–22</w:t>
      </w:r>
      <w:r w:rsidRPr="00A47266">
        <w:tab/>
      </w:r>
      <w:r w:rsidR="00FB7F7F">
        <w:t>6</w:t>
      </w:r>
    </w:p>
    <w:p w14:paraId="0394B1C0" w14:textId="215A0662" w:rsidR="00FB1683" w:rsidRPr="00A47266" w:rsidRDefault="00A170B7" w:rsidP="00A47266">
      <w:pPr>
        <w:tabs>
          <w:tab w:val="right" w:leader="dot" w:pos="7654"/>
          <w:tab w:val="right" w:pos="8929"/>
          <w:tab w:val="right" w:pos="9638"/>
        </w:tabs>
        <w:spacing w:after="120"/>
        <w:ind w:left="1985"/>
      </w:pPr>
      <w:r w:rsidRPr="00A47266">
        <w:rPr>
          <w:lang w:val="fr-FR"/>
        </w:rPr>
        <w:t>Normes</w:t>
      </w:r>
      <w:r w:rsidR="00834135">
        <w:rPr>
          <w:lang w:val="fr-FR"/>
        </w:rPr>
        <w:t xml:space="preserve"> </w:t>
      </w:r>
      <w:r w:rsidRPr="00A47266">
        <w:rPr>
          <w:lang w:val="fr-FR"/>
        </w:rPr>
        <w:t>EN</w:t>
      </w:r>
      <w:r w:rsidR="00FB1683" w:rsidRPr="00A47266">
        <w:tab/>
      </w:r>
      <w:r w:rsidR="00FB1683" w:rsidRPr="00A47266">
        <w:tab/>
        <w:t>16–18</w:t>
      </w:r>
      <w:r w:rsidR="00FB1683" w:rsidRPr="00A47266">
        <w:tab/>
      </w:r>
      <w:r w:rsidR="00FB7F7F">
        <w:t>6</w:t>
      </w:r>
    </w:p>
    <w:p w14:paraId="7A73D6B5" w14:textId="15B3A071" w:rsidR="00FB1683" w:rsidRPr="00A47266" w:rsidRDefault="00A170B7" w:rsidP="00A47266">
      <w:pPr>
        <w:tabs>
          <w:tab w:val="right" w:leader="dot" w:pos="7654"/>
          <w:tab w:val="right" w:pos="8929"/>
          <w:tab w:val="right" w:pos="9638"/>
        </w:tabs>
        <w:spacing w:after="120"/>
        <w:ind w:left="1985"/>
      </w:pPr>
      <w:r w:rsidRPr="00A47266">
        <w:rPr>
          <w:lang w:val="fr-FR"/>
        </w:rPr>
        <w:t>Normes</w:t>
      </w:r>
      <w:r w:rsidR="00834135">
        <w:rPr>
          <w:lang w:val="fr-FR"/>
        </w:rPr>
        <w:t xml:space="preserve"> </w:t>
      </w:r>
      <w:r w:rsidRPr="00A47266">
        <w:rPr>
          <w:lang w:val="fr-FR"/>
        </w:rPr>
        <w:t>ISO</w:t>
      </w:r>
      <w:r w:rsidR="00FB1683" w:rsidRPr="00A47266">
        <w:tab/>
      </w:r>
      <w:r w:rsidR="00FB1683" w:rsidRPr="00A47266">
        <w:tab/>
        <w:t>19</w:t>
      </w:r>
      <w:r w:rsidR="00FB1683" w:rsidRPr="00A47266">
        <w:tab/>
      </w:r>
      <w:r w:rsidR="00FB7F7F">
        <w:t>7</w:t>
      </w:r>
    </w:p>
    <w:p w14:paraId="4900D44A" w14:textId="271EC36D" w:rsidR="00FB1683" w:rsidRPr="00A47266" w:rsidRDefault="00A170B7" w:rsidP="00A47266">
      <w:pPr>
        <w:tabs>
          <w:tab w:val="right" w:leader="dot" w:pos="7654"/>
          <w:tab w:val="right" w:pos="8929"/>
          <w:tab w:val="right" w:pos="9638"/>
        </w:tabs>
        <w:spacing w:after="120"/>
        <w:ind w:left="1985"/>
      </w:pPr>
      <w:r w:rsidRPr="00A47266">
        <w:rPr>
          <w:lang w:val="fr-FR"/>
        </w:rPr>
        <w:t>Autres</w:t>
      </w:r>
      <w:r w:rsidR="00834135">
        <w:rPr>
          <w:lang w:val="fr-FR"/>
        </w:rPr>
        <w:t xml:space="preserve"> </w:t>
      </w:r>
      <w:r w:rsidRPr="00A47266">
        <w:rPr>
          <w:lang w:val="fr-FR"/>
        </w:rPr>
        <w:t>activités</w:t>
      </w:r>
      <w:r w:rsidR="00834135">
        <w:rPr>
          <w:lang w:val="fr-FR"/>
        </w:rPr>
        <w:t xml:space="preserve"> </w:t>
      </w:r>
      <w:r w:rsidRPr="00A47266">
        <w:rPr>
          <w:lang w:val="fr-FR"/>
        </w:rPr>
        <w:t>de</w:t>
      </w:r>
      <w:r w:rsidR="00834135">
        <w:rPr>
          <w:lang w:val="fr-FR"/>
        </w:rPr>
        <w:t xml:space="preserve"> </w:t>
      </w:r>
      <w:r w:rsidRPr="00A47266">
        <w:rPr>
          <w:lang w:val="fr-FR"/>
        </w:rPr>
        <w:t>normalisation</w:t>
      </w:r>
      <w:r w:rsidR="00834135">
        <w:rPr>
          <w:lang w:val="fr-FR"/>
        </w:rPr>
        <w:t xml:space="preserve"> </w:t>
      </w:r>
      <w:r w:rsidRPr="00A47266">
        <w:rPr>
          <w:lang w:val="fr-FR"/>
        </w:rPr>
        <w:t>intéressant</w:t>
      </w:r>
      <w:r w:rsidR="00834135">
        <w:rPr>
          <w:lang w:val="fr-FR"/>
        </w:rPr>
        <w:t xml:space="preserve"> </w:t>
      </w:r>
      <w:r w:rsidRPr="00A47266">
        <w:rPr>
          <w:lang w:val="fr-FR"/>
        </w:rPr>
        <w:t>le</w:t>
      </w:r>
      <w:r w:rsidR="00834135">
        <w:rPr>
          <w:lang w:val="fr-FR"/>
        </w:rPr>
        <w:t xml:space="preserve"> </w:t>
      </w:r>
      <w:r w:rsidRPr="00A47266">
        <w:rPr>
          <w:lang w:val="fr-FR"/>
        </w:rPr>
        <w:t>WP.11</w:t>
      </w:r>
      <w:r w:rsidR="00FB1683" w:rsidRPr="00A47266">
        <w:tab/>
      </w:r>
      <w:r w:rsidR="00FB1683" w:rsidRPr="00A47266">
        <w:tab/>
        <w:t>20</w:t>
      </w:r>
      <w:r w:rsidR="00FB1683" w:rsidRPr="00A47266">
        <w:tab/>
      </w:r>
      <w:r w:rsidR="00FB7F7F">
        <w:t>7</w:t>
      </w:r>
    </w:p>
    <w:p w14:paraId="3FDD0282" w14:textId="623C0529" w:rsidR="00FB1683" w:rsidRPr="00A47266" w:rsidRDefault="00A170B7" w:rsidP="00A47266">
      <w:pPr>
        <w:tabs>
          <w:tab w:val="right" w:leader="dot" w:pos="7654"/>
          <w:tab w:val="right" w:pos="8929"/>
          <w:tab w:val="right" w:pos="9638"/>
        </w:tabs>
        <w:spacing w:after="120"/>
        <w:ind w:left="1985"/>
        <w:rPr>
          <w:noProof/>
        </w:rPr>
      </w:pPr>
      <w:r w:rsidRPr="00A47266">
        <w:rPr>
          <w:lang w:val="fr-FR"/>
        </w:rPr>
        <w:t>Comité</w:t>
      </w:r>
      <w:r w:rsidR="00834135">
        <w:rPr>
          <w:lang w:val="fr-FR"/>
        </w:rPr>
        <w:t xml:space="preserve"> </w:t>
      </w:r>
      <w:r w:rsidRPr="00A47266">
        <w:rPr>
          <w:lang w:val="fr-FR"/>
        </w:rPr>
        <w:t>technique</w:t>
      </w:r>
      <w:r w:rsidR="00834135">
        <w:rPr>
          <w:lang w:val="fr-FR"/>
        </w:rPr>
        <w:t xml:space="preserve"> </w:t>
      </w:r>
      <w:r w:rsidRPr="00A47266">
        <w:rPr>
          <w:lang w:val="fr-FR"/>
        </w:rPr>
        <w:t>ISO/TC</w:t>
      </w:r>
      <w:r w:rsidR="00834135">
        <w:rPr>
          <w:lang w:val="fr-FR"/>
        </w:rPr>
        <w:t xml:space="preserve"> </w:t>
      </w:r>
      <w:r w:rsidRPr="00A47266">
        <w:rPr>
          <w:lang w:val="fr-FR"/>
        </w:rPr>
        <w:t>315</w:t>
      </w:r>
      <w:r w:rsidR="00834135">
        <w:rPr>
          <w:lang w:val="fr-FR"/>
        </w:rPr>
        <w:t xml:space="preserve"> </w:t>
      </w:r>
      <w:r w:rsidRPr="00A47266">
        <w:rPr>
          <w:lang w:val="fr-FR"/>
        </w:rPr>
        <w:t>(Logistique</w:t>
      </w:r>
      <w:r w:rsidR="00834135">
        <w:rPr>
          <w:lang w:val="fr-FR"/>
        </w:rPr>
        <w:t xml:space="preserve"> </w:t>
      </w:r>
      <w:r w:rsidRPr="00A47266">
        <w:rPr>
          <w:lang w:val="fr-FR"/>
        </w:rPr>
        <w:t>de</w:t>
      </w:r>
      <w:r w:rsidR="00834135">
        <w:rPr>
          <w:lang w:val="fr-FR"/>
        </w:rPr>
        <w:t xml:space="preserve"> </w:t>
      </w:r>
      <w:r w:rsidRPr="00A47266">
        <w:rPr>
          <w:lang w:val="fr-FR"/>
        </w:rPr>
        <w:t>la</w:t>
      </w:r>
      <w:r w:rsidR="00834135">
        <w:rPr>
          <w:lang w:val="fr-FR"/>
        </w:rPr>
        <w:t xml:space="preserve"> </w:t>
      </w:r>
      <w:r w:rsidRPr="00A47266">
        <w:rPr>
          <w:lang w:val="fr-FR"/>
        </w:rPr>
        <w:t>chaîne</w:t>
      </w:r>
      <w:r w:rsidR="00834135">
        <w:rPr>
          <w:lang w:val="fr-FR"/>
        </w:rPr>
        <w:t xml:space="preserve"> </w:t>
      </w:r>
      <w:r w:rsidRPr="00A47266">
        <w:rPr>
          <w:lang w:val="fr-FR"/>
        </w:rPr>
        <w:t>du</w:t>
      </w:r>
      <w:r w:rsidR="00834135">
        <w:rPr>
          <w:lang w:val="fr-FR"/>
        </w:rPr>
        <w:t xml:space="preserve"> </w:t>
      </w:r>
      <w:r w:rsidRPr="00A47266">
        <w:rPr>
          <w:lang w:val="fr-FR"/>
        </w:rPr>
        <w:t>froid)</w:t>
      </w:r>
      <w:r w:rsidR="00FB1683" w:rsidRPr="00A47266">
        <w:tab/>
      </w:r>
      <w:r w:rsidR="00FB1683" w:rsidRPr="00A47266">
        <w:tab/>
        <w:t>21–22</w:t>
      </w:r>
      <w:r w:rsidR="00FB1683" w:rsidRPr="00A47266">
        <w:tab/>
      </w:r>
      <w:r w:rsidR="00FB7F7F">
        <w:t>7</w:t>
      </w:r>
    </w:p>
    <w:p w14:paraId="1CB61716" w14:textId="339EEA8F" w:rsidR="00FB1683" w:rsidRPr="00A47266" w:rsidRDefault="00FB1683" w:rsidP="00FB1683">
      <w:pPr>
        <w:tabs>
          <w:tab w:val="right" w:pos="850"/>
          <w:tab w:val="right" w:leader="dot" w:pos="7654"/>
          <w:tab w:val="right" w:pos="8929"/>
          <w:tab w:val="right" w:pos="9638"/>
        </w:tabs>
        <w:spacing w:after="120"/>
        <w:ind w:left="1134" w:hanging="1134"/>
        <w:rPr>
          <w:noProof/>
        </w:rPr>
      </w:pPr>
      <w:r w:rsidRPr="00A47266">
        <w:rPr>
          <w:rStyle w:val="Lienhypertexte"/>
          <w:noProof/>
          <w:color w:val="auto"/>
        </w:rPr>
        <w:tab/>
        <w:t>IV.</w:t>
      </w:r>
      <w:r w:rsidRPr="00A47266">
        <w:rPr>
          <w:noProof/>
        </w:rPr>
        <w:tab/>
      </w:r>
      <w:r w:rsidR="00A170B7" w:rsidRPr="00A47266">
        <w:rPr>
          <w:bCs/>
          <w:spacing w:val="-2"/>
          <w:lang w:val="fr-FR"/>
        </w:rPr>
        <w:t>Activités</w:t>
      </w:r>
      <w:r w:rsidR="00834135">
        <w:rPr>
          <w:bCs/>
          <w:spacing w:val="-2"/>
          <w:lang w:val="fr-FR"/>
        </w:rPr>
        <w:t xml:space="preserve"> </w:t>
      </w:r>
      <w:r w:rsidR="00A170B7" w:rsidRPr="00A47266">
        <w:rPr>
          <w:bCs/>
          <w:spacing w:val="-2"/>
          <w:lang w:val="fr-FR"/>
        </w:rPr>
        <w:t>d’autres</w:t>
      </w:r>
      <w:r w:rsidR="00834135">
        <w:rPr>
          <w:bCs/>
          <w:spacing w:val="-2"/>
          <w:lang w:val="fr-FR"/>
        </w:rPr>
        <w:t xml:space="preserve"> </w:t>
      </w:r>
      <w:r w:rsidR="00A170B7" w:rsidRPr="00A47266">
        <w:rPr>
          <w:bCs/>
          <w:spacing w:val="-2"/>
          <w:lang w:val="fr-FR"/>
        </w:rPr>
        <w:t>organisations</w:t>
      </w:r>
      <w:r w:rsidR="00834135">
        <w:rPr>
          <w:bCs/>
          <w:spacing w:val="-2"/>
          <w:lang w:val="fr-FR"/>
        </w:rPr>
        <w:t xml:space="preserve"> </w:t>
      </w:r>
      <w:r w:rsidR="00A170B7" w:rsidRPr="00A47266">
        <w:rPr>
          <w:bCs/>
          <w:spacing w:val="-2"/>
          <w:lang w:val="fr-FR"/>
        </w:rPr>
        <w:t>internationales</w:t>
      </w:r>
      <w:r w:rsidR="00834135">
        <w:rPr>
          <w:bCs/>
          <w:spacing w:val="-2"/>
          <w:lang w:val="fr-FR"/>
        </w:rPr>
        <w:t xml:space="preserve"> </w:t>
      </w:r>
      <w:r w:rsidR="00A170B7" w:rsidRPr="00A47266">
        <w:rPr>
          <w:bCs/>
          <w:spacing w:val="-2"/>
          <w:lang w:val="fr-FR"/>
        </w:rPr>
        <w:t>qui</w:t>
      </w:r>
      <w:r w:rsidR="00834135">
        <w:rPr>
          <w:bCs/>
          <w:spacing w:val="-2"/>
          <w:lang w:val="fr-FR"/>
        </w:rPr>
        <w:t xml:space="preserve"> </w:t>
      </w:r>
      <w:r w:rsidR="00A170B7" w:rsidRPr="00A47266">
        <w:rPr>
          <w:bCs/>
          <w:spacing w:val="-2"/>
          <w:lang w:val="fr-FR"/>
        </w:rPr>
        <w:t>s’occupent</w:t>
      </w:r>
      <w:r w:rsidR="00834135">
        <w:rPr>
          <w:bCs/>
          <w:lang w:val="fr-FR"/>
        </w:rPr>
        <w:t xml:space="preserve"> </w:t>
      </w:r>
      <w:r w:rsidR="00A170B7" w:rsidRPr="00A47266">
        <w:rPr>
          <w:bCs/>
          <w:lang w:val="fr-FR"/>
        </w:rPr>
        <w:t>de</w:t>
      </w:r>
      <w:r w:rsidR="00834135">
        <w:rPr>
          <w:bCs/>
          <w:lang w:val="fr-FR"/>
        </w:rPr>
        <w:t xml:space="preserve"> </w:t>
      </w:r>
      <w:r w:rsidR="00A170B7" w:rsidRPr="00A47266">
        <w:rPr>
          <w:bCs/>
          <w:lang w:val="fr-FR"/>
        </w:rPr>
        <w:t>questions</w:t>
      </w:r>
      <w:r w:rsidR="00834135">
        <w:rPr>
          <w:bCs/>
          <w:lang w:val="fr-FR"/>
        </w:rPr>
        <w:t xml:space="preserve"> </w:t>
      </w:r>
      <w:r w:rsidR="00834135">
        <w:rPr>
          <w:bCs/>
          <w:lang w:val="fr-FR"/>
        </w:rPr>
        <w:br/>
      </w:r>
      <w:r w:rsidR="00A170B7" w:rsidRPr="00A47266">
        <w:rPr>
          <w:bCs/>
          <w:lang w:val="fr-FR"/>
        </w:rPr>
        <w:t>intéressant</w:t>
      </w:r>
      <w:r w:rsidR="00834135">
        <w:rPr>
          <w:bCs/>
          <w:lang w:val="fr-FR"/>
        </w:rPr>
        <w:t xml:space="preserve"> </w:t>
      </w:r>
      <w:r w:rsidR="00A170B7" w:rsidRPr="00A47266">
        <w:rPr>
          <w:bCs/>
          <w:lang w:val="fr-FR"/>
        </w:rPr>
        <w:t>le</w:t>
      </w:r>
      <w:r w:rsidR="00834135">
        <w:rPr>
          <w:bCs/>
          <w:lang w:val="fr-FR"/>
        </w:rPr>
        <w:t xml:space="preserve"> </w:t>
      </w:r>
      <w:r w:rsidR="00A170B7" w:rsidRPr="00A47266">
        <w:rPr>
          <w:bCs/>
          <w:lang w:val="fr-FR"/>
        </w:rPr>
        <w:t>Groupe</w:t>
      </w:r>
      <w:r w:rsidR="00834135">
        <w:rPr>
          <w:bCs/>
          <w:lang w:val="fr-FR"/>
        </w:rPr>
        <w:t xml:space="preserve"> </w:t>
      </w:r>
      <w:r w:rsidR="00A170B7" w:rsidRPr="00A47266">
        <w:rPr>
          <w:bCs/>
          <w:lang w:val="fr-FR"/>
        </w:rPr>
        <w:t>de</w:t>
      </w:r>
      <w:r w:rsidR="00834135">
        <w:rPr>
          <w:bCs/>
          <w:lang w:val="fr-FR"/>
        </w:rPr>
        <w:t xml:space="preserve"> </w:t>
      </w:r>
      <w:r w:rsidR="00A170B7" w:rsidRPr="00A47266">
        <w:rPr>
          <w:bCs/>
          <w:lang w:val="fr-FR"/>
        </w:rPr>
        <w:t>travail</w:t>
      </w:r>
      <w:r w:rsidR="00834135">
        <w:rPr>
          <w:bCs/>
          <w:lang w:val="fr-FR"/>
        </w:rPr>
        <w:t xml:space="preserve"> </w:t>
      </w:r>
      <w:r w:rsidR="00A170B7" w:rsidRPr="00A47266">
        <w:rPr>
          <w:bCs/>
          <w:lang w:val="fr-FR"/>
        </w:rPr>
        <w:t>(point</w:t>
      </w:r>
      <w:r w:rsidR="00834135">
        <w:rPr>
          <w:bCs/>
          <w:lang w:val="fr-FR"/>
        </w:rPr>
        <w:t xml:space="preserve"> </w:t>
      </w:r>
      <w:r w:rsidR="00A170B7" w:rsidRPr="00A47266">
        <w:rPr>
          <w:bCs/>
          <w:lang w:val="fr-FR"/>
        </w:rPr>
        <w:t>3</w:t>
      </w:r>
      <w:r w:rsidR="00834135">
        <w:rPr>
          <w:bCs/>
          <w:lang w:val="fr-FR"/>
        </w:rPr>
        <w:t xml:space="preserve"> </w:t>
      </w:r>
      <w:r w:rsidR="00A170B7" w:rsidRPr="00A47266">
        <w:rPr>
          <w:bCs/>
          <w:lang w:val="fr-FR"/>
        </w:rPr>
        <w:t>de</w:t>
      </w:r>
      <w:r w:rsidR="00834135">
        <w:rPr>
          <w:bCs/>
          <w:lang w:val="fr-FR"/>
        </w:rPr>
        <w:t xml:space="preserve"> </w:t>
      </w:r>
      <w:r w:rsidR="00A170B7" w:rsidRPr="00A47266">
        <w:rPr>
          <w:bCs/>
          <w:lang w:val="fr-FR"/>
        </w:rPr>
        <w:t>l’ordre</w:t>
      </w:r>
      <w:r w:rsidR="00834135">
        <w:rPr>
          <w:bCs/>
          <w:lang w:val="fr-FR"/>
        </w:rPr>
        <w:t xml:space="preserve"> </w:t>
      </w:r>
      <w:r w:rsidR="00A170B7" w:rsidRPr="00A47266">
        <w:rPr>
          <w:bCs/>
          <w:lang w:val="fr-FR"/>
        </w:rPr>
        <w:t>du</w:t>
      </w:r>
      <w:r w:rsidR="00834135">
        <w:rPr>
          <w:bCs/>
          <w:lang w:val="fr-FR"/>
        </w:rPr>
        <w:t xml:space="preserve"> </w:t>
      </w:r>
      <w:r w:rsidR="00A170B7" w:rsidRPr="00A47266">
        <w:rPr>
          <w:bCs/>
          <w:lang w:val="fr-FR"/>
        </w:rPr>
        <w:t>jour)</w:t>
      </w:r>
      <w:r w:rsidRPr="00A47266">
        <w:rPr>
          <w:noProof/>
          <w:webHidden/>
        </w:rPr>
        <w:tab/>
      </w:r>
      <w:r w:rsidRPr="00A47266">
        <w:rPr>
          <w:noProof/>
          <w:webHidden/>
        </w:rPr>
        <w:tab/>
        <w:t>23–28</w:t>
      </w:r>
      <w:r w:rsidRPr="00A47266">
        <w:rPr>
          <w:noProof/>
          <w:webHidden/>
        </w:rPr>
        <w:tab/>
      </w:r>
      <w:r w:rsidR="00FB7F7F">
        <w:rPr>
          <w:noProof/>
          <w:webHidden/>
        </w:rPr>
        <w:t>8</w:t>
      </w:r>
    </w:p>
    <w:p w14:paraId="10A06303" w14:textId="729942AB" w:rsidR="00FB1683" w:rsidRPr="00A47266" w:rsidRDefault="00FB1683" w:rsidP="00FB1683">
      <w:pPr>
        <w:tabs>
          <w:tab w:val="right" w:leader="dot" w:pos="7654"/>
          <w:tab w:val="right" w:pos="8929"/>
          <w:tab w:val="right" w:pos="9638"/>
        </w:tabs>
        <w:spacing w:after="120"/>
        <w:ind w:left="1559" w:hanging="425"/>
        <w:rPr>
          <w:noProof/>
        </w:rPr>
      </w:pPr>
      <w:r w:rsidRPr="00A47266">
        <w:rPr>
          <w:rStyle w:val="Lienhypertexte"/>
          <w:noProof/>
          <w:color w:val="auto"/>
        </w:rPr>
        <w:t>A.</w:t>
      </w:r>
      <w:r w:rsidRPr="00A47266">
        <w:rPr>
          <w:noProof/>
        </w:rPr>
        <w:tab/>
      </w:r>
      <w:r w:rsidR="00A170B7" w:rsidRPr="00A47266">
        <w:rPr>
          <w:bCs/>
          <w:lang w:val="fr-FR"/>
        </w:rPr>
        <w:t>Institut</w:t>
      </w:r>
      <w:r w:rsidR="00834135">
        <w:rPr>
          <w:bCs/>
          <w:lang w:val="fr-FR"/>
        </w:rPr>
        <w:t xml:space="preserve"> </w:t>
      </w:r>
      <w:r w:rsidR="00A170B7" w:rsidRPr="00A47266">
        <w:rPr>
          <w:bCs/>
          <w:lang w:val="fr-FR"/>
        </w:rPr>
        <w:t>international</w:t>
      </w:r>
      <w:r w:rsidR="00834135">
        <w:rPr>
          <w:bCs/>
          <w:lang w:val="fr-FR"/>
        </w:rPr>
        <w:t xml:space="preserve"> </w:t>
      </w:r>
      <w:r w:rsidR="00A170B7" w:rsidRPr="00A47266">
        <w:rPr>
          <w:bCs/>
          <w:lang w:val="fr-FR"/>
        </w:rPr>
        <w:t>du</w:t>
      </w:r>
      <w:r w:rsidR="00834135">
        <w:rPr>
          <w:bCs/>
          <w:lang w:val="fr-FR"/>
        </w:rPr>
        <w:t xml:space="preserve"> </w:t>
      </w:r>
      <w:r w:rsidR="00A170B7" w:rsidRPr="00A47266">
        <w:rPr>
          <w:bCs/>
          <w:lang w:val="fr-FR"/>
        </w:rPr>
        <w:t>froid</w:t>
      </w:r>
      <w:r w:rsidR="00834135">
        <w:rPr>
          <w:bCs/>
          <w:lang w:val="fr-FR"/>
        </w:rPr>
        <w:t xml:space="preserve"> </w:t>
      </w:r>
      <w:r w:rsidR="00A170B7" w:rsidRPr="00A47266">
        <w:rPr>
          <w:bCs/>
          <w:lang w:val="fr-FR"/>
        </w:rPr>
        <w:t>(IIF)</w:t>
      </w:r>
      <w:r w:rsidRPr="00A47266">
        <w:rPr>
          <w:noProof/>
          <w:webHidden/>
        </w:rPr>
        <w:tab/>
      </w:r>
      <w:r w:rsidRPr="00A47266">
        <w:rPr>
          <w:noProof/>
          <w:webHidden/>
        </w:rPr>
        <w:tab/>
        <w:t>23–25</w:t>
      </w:r>
      <w:r w:rsidRPr="00A47266">
        <w:rPr>
          <w:noProof/>
          <w:webHidden/>
        </w:rPr>
        <w:tab/>
      </w:r>
      <w:r w:rsidR="00FB7F7F">
        <w:rPr>
          <w:noProof/>
          <w:webHidden/>
        </w:rPr>
        <w:t>8</w:t>
      </w:r>
    </w:p>
    <w:p w14:paraId="74033085" w14:textId="7C9F8856" w:rsidR="00FB1683" w:rsidRPr="00A47266" w:rsidRDefault="00FB1683" w:rsidP="00FB1683">
      <w:pPr>
        <w:tabs>
          <w:tab w:val="right" w:leader="dot" w:pos="7654"/>
          <w:tab w:val="right" w:pos="8929"/>
          <w:tab w:val="right" w:pos="9638"/>
        </w:tabs>
        <w:spacing w:after="120"/>
        <w:ind w:left="1559" w:hanging="425"/>
        <w:rPr>
          <w:noProof/>
        </w:rPr>
      </w:pPr>
      <w:r w:rsidRPr="00A47266">
        <w:rPr>
          <w:rStyle w:val="Lienhypertexte"/>
          <w:noProof/>
          <w:color w:val="auto"/>
        </w:rPr>
        <w:t>B.</w:t>
      </w:r>
      <w:r w:rsidRPr="00A47266">
        <w:rPr>
          <w:noProof/>
        </w:rPr>
        <w:tab/>
      </w:r>
      <w:r w:rsidR="00A170B7" w:rsidRPr="00A47266">
        <w:rPr>
          <w:lang w:val="fr-FR"/>
        </w:rPr>
        <w:t>Transfrigoroute</w:t>
      </w:r>
      <w:r w:rsidR="00834135">
        <w:rPr>
          <w:lang w:val="fr-FR"/>
        </w:rPr>
        <w:t xml:space="preserve"> </w:t>
      </w:r>
      <w:r w:rsidR="00A170B7" w:rsidRPr="00A47266">
        <w:rPr>
          <w:lang w:val="fr-FR"/>
        </w:rPr>
        <w:t>International</w:t>
      </w:r>
      <w:r w:rsidRPr="00A47266">
        <w:rPr>
          <w:noProof/>
          <w:webHidden/>
        </w:rPr>
        <w:tab/>
      </w:r>
      <w:r w:rsidRPr="00A47266">
        <w:rPr>
          <w:noProof/>
          <w:webHidden/>
        </w:rPr>
        <w:tab/>
        <w:t>26–28</w:t>
      </w:r>
      <w:r w:rsidRPr="00A47266">
        <w:rPr>
          <w:noProof/>
          <w:webHidden/>
        </w:rPr>
        <w:tab/>
      </w:r>
      <w:r w:rsidR="00FB7F7F">
        <w:rPr>
          <w:noProof/>
          <w:webHidden/>
        </w:rPr>
        <w:t>8</w:t>
      </w:r>
    </w:p>
    <w:p w14:paraId="396954A1" w14:textId="0F3E52F1" w:rsidR="00FB1683" w:rsidRPr="00A47266" w:rsidRDefault="00FB1683" w:rsidP="00FB1683">
      <w:pPr>
        <w:tabs>
          <w:tab w:val="right" w:pos="850"/>
          <w:tab w:val="right" w:leader="dot" w:pos="7654"/>
          <w:tab w:val="right" w:pos="8929"/>
          <w:tab w:val="right" w:pos="9638"/>
        </w:tabs>
        <w:spacing w:after="120"/>
        <w:ind w:left="1134" w:hanging="1134"/>
        <w:rPr>
          <w:noProof/>
        </w:rPr>
      </w:pPr>
      <w:r w:rsidRPr="00A47266">
        <w:rPr>
          <w:rStyle w:val="Lienhypertexte"/>
          <w:noProof/>
          <w:color w:val="auto"/>
        </w:rPr>
        <w:tab/>
        <w:t>V.</w:t>
      </w:r>
      <w:r w:rsidRPr="00A47266">
        <w:rPr>
          <w:noProof/>
        </w:rPr>
        <w:tab/>
      </w:r>
      <w:r w:rsidR="00A170B7" w:rsidRPr="00A47266">
        <w:rPr>
          <w:lang w:val="fr-FR"/>
        </w:rPr>
        <w:t>État</w:t>
      </w:r>
      <w:r w:rsidR="00834135">
        <w:rPr>
          <w:lang w:val="fr-FR"/>
        </w:rPr>
        <w:t xml:space="preserve"> </w:t>
      </w:r>
      <w:r w:rsidR="00A170B7" w:rsidRPr="00A47266">
        <w:rPr>
          <w:lang w:val="fr-FR"/>
        </w:rPr>
        <w:t>et</w:t>
      </w:r>
      <w:r w:rsidR="00834135">
        <w:rPr>
          <w:lang w:val="fr-FR"/>
        </w:rPr>
        <w:t xml:space="preserve"> </w:t>
      </w:r>
      <w:r w:rsidR="00A170B7" w:rsidRPr="00A47266">
        <w:rPr>
          <w:lang w:val="fr-FR"/>
        </w:rPr>
        <w:t>mise</w:t>
      </w:r>
      <w:r w:rsidR="00834135">
        <w:rPr>
          <w:lang w:val="fr-FR"/>
        </w:rPr>
        <w:t xml:space="preserve"> </w:t>
      </w:r>
      <w:r w:rsidR="00A170B7" w:rsidRPr="00A47266">
        <w:rPr>
          <w:lang w:val="fr-FR"/>
        </w:rPr>
        <w:t>en</w:t>
      </w:r>
      <w:r w:rsidR="00834135">
        <w:rPr>
          <w:lang w:val="fr-FR"/>
        </w:rPr>
        <w:t xml:space="preserve"> </w:t>
      </w:r>
      <w:r w:rsidR="00A170B7" w:rsidRPr="00A47266">
        <w:rPr>
          <w:lang w:val="fr-FR"/>
        </w:rPr>
        <w:t>œuvre</w:t>
      </w:r>
      <w:r w:rsidR="00834135">
        <w:rPr>
          <w:lang w:val="fr-FR"/>
        </w:rPr>
        <w:t xml:space="preserve"> </w:t>
      </w:r>
      <w:r w:rsidR="00A170B7" w:rsidRPr="00A47266">
        <w:rPr>
          <w:lang w:val="fr-FR"/>
        </w:rPr>
        <w:t>de</w:t>
      </w:r>
      <w:r w:rsidR="00834135">
        <w:rPr>
          <w:lang w:val="fr-FR"/>
        </w:rPr>
        <w:t xml:space="preserve"> </w:t>
      </w:r>
      <w:r w:rsidR="00A170B7" w:rsidRPr="00A47266">
        <w:rPr>
          <w:lang w:val="fr-FR"/>
        </w:rPr>
        <w:t>l’Accord</w:t>
      </w:r>
      <w:r w:rsidR="00834135">
        <w:rPr>
          <w:lang w:val="fr-FR"/>
        </w:rPr>
        <w:t xml:space="preserve"> </w:t>
      </w:r>
      <w:r w:rsidR="00A170B7" w:rsidRPr="00A47266">
        <w:rPr>
          <w:lang w:val="fr-FR"/>
        </w:rPr>
        <w:t>relatif</w:t>
      </w:r>
      <w:r w:rsidR="00834135">
        <w:rPr>
          <w:lang w:val="fr-FR"/>
        </w:rPr>
        <w:t xml:space="preserve"> </w:t>
      </w:r>
      <w:r w:rsidR="00A170B7" w:rsidRPr="00A47266">
        <w:rPr>
          <w:lang w:val="fr-FR"/>
        </w:rPr>
        <w:t>aux</w:t>
      </w:r>
      <w:r w:rsidR="00834135">
        <w:rPr>
          <w:lang w:val="fr-FR"/>
        </w:rPr>
        <w:t xml:space="preserve"> </w:t>
      </w:r>
      <w:r w:rsidR="00A170B7" w:rsidRPr="00A47266">
        <w:rPr>
          <w:lang w:val="fr-FR"/>
        </w:rPr>
        <w:t>transports</w:t>
      </w:r>
      <w:r w:rsidR="00834135">
        <w:rPr>
          <w:lang w:val="fr-FR"/>
        </w:rPr>
        <w:t xml:space="preserve"> </w:t>
      </w:r>
      <w:r w:rsidR="00A170B7" w:rsidRPr="00A47266">
        <w:rPr>
          <w:lang w:val="fr-FR"/>
        </w:rPr>
        <w:t>internationaux</w:t>
      </w:r>
      <w:r w:rsidR="00834135">
        <w:rPr>
          <w:lang w:val="fr-FR"/>
        </w:rPr>
        <w:t xml:space="preserve"> </w:t>
      </w:r>
      <w:r w:rsidR="00834135">
        <w:rPr>
          <w:lang w:val="fr-FR"/>
        </w:rPr>
        <w:br/>
      </w:r>
      <w:r w:rsidR="00A170B7" w:rsidRPr="00A47266">
        <w:rPr>
          <w:lang w:val="fr-FR"/>
        </w:rPr>
        <w:t>de</w:t>
      </w:r>
      <w:r w:rsidR="00834135">
        <w:rPr>
          <w:lang w:val="fr-FR"/>
        </w:rPr>
        <w:t xml:space="preserve"> </w:t>
      </w:r>
      <w:r w:rsidR="00A170B7" w:rsidRPr="00A47266">
        <w:rPr>
          <w:lang w:val="fr-FR"/>
        </w:rPr>
        <w:t>denrées</w:t>
      </w:r>
      <w:r w:rsidR="00834135">
        <w:rPr>
          <w:lang w:val="fr-FR"/>
        </w:rPr>
        <w:t xml:space="preserve"> </w:t>
      </w:r>
      <w:r w:rsidR="00A170B7" w:rsidRPr="00A47266">
        <w:rPr>
          <w:lang w:val="fr-FR"/>
        </w:rPr>
        <w:t>périssables</w:t>
      </w:r>
      <w:r w:rsidR="00834135">
        <w:rPr>
          <w:lang w:val="fr-FR"/>
        </w:rPr>
        <w:t xml:space="preserve"> </w:t>
      </w:r>
      <w:r w:rsidR="00A170B7" w:rsidRPr="00A47266">
        <w:rPr>
          <w:lang w:val="fr-FR"/>
        </w:rPr>
        <w:t>et</w:t>
      </w:r>
      <w:r w:rsidR="00834135">
        <w:rPr>
          <w:lang w:val="fr-FR"/>
        </w:rPr>
        <w:t xml:space="preserve"> </w:t>
      </w:r>
      <w:r w:rsidR="00A170B7" w:rsidRPr="00A47266">
        <w:rPr>
          <w:lang w:val="fr-FR"/>
        </w:rPr>
        <w:t>aux</w:t>
      </w:r>
      <w:r w:rsidR="00834135">
        <w:rPr>
          <w:lang w:val="fr-FR"/>
        </w:rPr>
        <w:t xml:space="preserve"> </w:t>
      </w:r>
      <w:r w:rsidR="00A170B7" w:rsidRPr="00A47266">
        <w:rPr>
          <w:lang w:val="fr-FR"/>
        </w:rPr>
        <w:t>engins</w:t>
      </w:r>
      <w:r w:rsidR="00834135">
        <w:rPr>
          <w:lang w:val="fr-FR"/>
        </w:rPr>
        <w:t xml:space="preserve"> </w:t>
      </w:r>
      <w:r w:rsidR="00A170B7" w:rsidRPr="00A47266">
        <w:rPr>
          <w:lang w:val="fr-FR"/>
        </w:rPr>
        <w:t>spéciaux</w:t>
      </w:r>
      <w:r w:rsidR="00834135">
        <w:rPr>
          <w:lang w:val="fr-FR"/>
        </w:rPr>
        <w:t xml:space="preserve"> </w:t>
      </w:r>
      <w:r w:rsidR="00A170B7" w:rsidRPr="00A47266">
        <w:rPr>
          <w:lang w:val="fr-FR"/>
        </w:rPr>
        <w:t>à</w:t>
      </w:r>
      <w:r w:rsidR="00834135">
        <w:rPr>
          <w:lang w:val="fr-FR"/>
        </w:rPr>
        <w:t xml:space="preserve"> </w:t>
      </w:r>
      <w:r w:rsidR="00A170B7" w:rsidRPr="00A47266">
        <w:rPr>
          <w:lang w:val="fr-FR"/>
        </w:rPr>
        <w:t>utiliser</w:t>
      </w:r>
      <w:r w:rsidR="00834135">
        <w:rPr>
          <w:lang w:val="fr-FR"/>
        </w:rPr>
        <w:t xml:space="preserve"> </w:t>
      </w:r>
      <w:r w:rsidR="00A170B7" w:rsidRPr="00A47266">
        <w:rPr>
          <w:lang w:val="fr-FR"/>
        </w:rPr>
        <w:t>pour</w:t>
      </w:r>
      <w:r w:rsidR="00834135">
        <w:rPr>
          <w:lang w:val="fr-FR"/>
        </w:rPr>
        <w:t xml:space="preserve"> </w:t>
      </w:r>
      <w:r w:rsidR="00834135">
        <w:rPr>
          <w:lang w:val="fr-FR"/>
        </w:rPr>
        <w:br/>
      </w:r>
      <w:r w:rsidR="00A170B7" w:rsidRPr="00A47266">
        <w:rPr>
          <w:lang w:val="fr-FR"/>
        </w:rPr>
        <w:t>ces</w:t>
      </w:r>
      <w:r w:rsidR="00834135">
        <w:rPr>
          <w:lang w:val="fr-FR"/>
        </w:rPr>
        <w:t xml:space="preserve"> </w:t>
      </w:r>
      <w:r w:rsidR="00A170B7" w:rsidRPr="00A47266">
        <w:rPr>
          <w:lang w:val="fr-FR"/>
        </w:rPr>
        <w:t>transports</w:t>
      </w:r>
      <w:r w:rsidR="00834135">
        <w:rPr>
          <w:lang w:val="fr-FR"/>
        </w:rPr>
        <w:t xml:space="preserve"> </w:t>
      </w:r>
      <w:r w:rsidR="00A170B7" w:rsidRPr="00A47266">
        <w:rPr>
          <w:lang w:val="fr-FR"/>
        </w:rPr>
        <w:t>(ATP)</w:t>
      </w:r>
      <w:r w:rsidR="00834135">
        <w:rPr>
          <w:lang w:val="fr-FR"/>
        </w:rPr>
        <w:t xml:space="preserve"> </w:t>
      </w:r>
      <w:r w:rsidR="00A170B7" w:rsidRPr="00A47266">
        <w:rPr>
          <w:lang w:val="fr-FR"/>
        </w:rPr>
        <w:t>(point</w:t>
      </w:r>
      <w:r w:rsidR="00834135">
        <w:rPr>
          <w:lang w:val="fr-FR"/>
        </w:rPr>
        <w:t xml:space="preserve"> </w:t>
      </w:r>
      <w:r w:rsidR="00A170B7" w:rsidRPr="00A47266">
        <w:rPr>
          <w:lang w:val="fr-FR"/>
        </w:rPr>
        <w:t>4</w:t>
      </w:r>
      <w:r w:rsidR="00834135">
        <w:rPr>
          <w:lang w:val="fr-FR"/>
        </w:rPr>
        <w:t xml:space="preserve"> </w:t>
      </w:r>
      <w:r w:rsidR="00A170B7" w:rsidRPr="00A47266">
        <w:rPr>
          <w:lang w:val="fr-FR"/>
        </w:rPr>
        <w:t>de</w:t>
      </w:r>
      <w:r w:rsidR="00834135">
        <w:rPr>
          <w:lang w:val="fr-FR"/>
        </w:rPr>
        <w:t xml:space="preserve"> </w:t>
      </w:r>
      <w:r w:rsidR="00A170B7" w:rsidRPr="00A47266">
        <w:rPr>
          <w:lang w:val="fr-FR"/>
        </w:rPr>
        <w:t>l’ordre</w:t>
      </w:r>
      <w:r w:rsidR="00834135">
        <w:rPr>
          <w:lang w:val="fr-FR"/>
        </w:rPr>
        <w:t xml:space="preserve"> </w:t>
      </w:r>
      <w:r w:rsidR="00A170B7" w:rsidRPr="00A47266">
        <w:rPr>
          <w:lang w:val="fr-FR"/>
        </w:rPr>
        <w:t>du</w:t>
      </w:r>
      <w:r w:rsidR="00834135">
        <w:rPr>
          <w:lang w:val="fr-FR"/>
        </w:rPr>
        <w:t xml:space="preserve"> </w:t>
      </w:r>
      <w:r w:rsidR="00A170B7" w:rsidRPr="00A47266">
        <w:rPr>
          <w:lang w:val="fr-FR"/>
        </w:rPr>
        <w:t>jour)</w:t>
      </w:r>
      <w:r w:rsidRPr="00A47266">
        <w:rPr>
          <w:noProof/>
          <w:webHidden/>
        </w:rPr>
        <w:tab/>
      </w:r>
      <w:r w:rsidRPr="00A47266">
        <w:rPr>
          <w:noProof/>
          <w:webHidden/>
        </w:rPr>
        <w:tab/>
        <w:t>29–44</w:t>
      </w:r>
      <w:r w:rsidRPr="00A47266">
        <w:rPr>
          <w:noProof/>
          <w:webHidden/>
        </w:rPr>
        <w:tab/>
      </w:r>
      <w:r w:rsidR="00FB7F7F">
        <w:rPr>
          <w:noProof/>
          <w:webHidden/>
        </w:rPr>
        <w:t>8</w:t>
      </w:r>
    </w:p>
    <w:p w14:paraId="18E07723" w14:textId="6500993A" w:rsidR="00FB1683" w:rsidRPr="00A47266" w:rsidRDefault="00FB1683" w:rsidP="00FB1683">
      <w:pPr>
        <w:tabs>
          <w:tab w:val="right" w:leader="dot" w:pos="7654"/>
          <w:tab w:val="right" w:pos="8929"/>
          <w:tab w:val="right" w:pos="9638"/>
        </w:tabs>
        <w:spacing w:after="120"/>
        <w:ind w:left="1559" w:hanging="425"/>
        <w:rPr>
          <w:noProof/>
        </w:rPr>
      </w:pPr>
      <w:r w:rsidRPr="00A47266">
        <w:rPr>
          <w:rStyle w:val="Lienhypertexte"/>
          <w:noProof/>
          <w:color w:val="auto"/>
        </w:rPr>
        <w:t>A.</w:t>
      </w:r>
      <w:r w:rsidRPr="00A47266">
        <w:rPr>
          <w:noProof/>
        </w:rPr>
        <w:tab/>
      </w:r>
      <w:r w:rsidR="00A170B7" w:rsidRPr="00A47266">
        <w:rPr>
          <w:lang w:val="fr-FR"/>
        </w:rPr>
        <w:t>État</w:t>
      </w:r>
      <w:r w:rsidR="00834135">
        <w:rPr>
          <w:lang w:val="fr-FR"/>
        </w:rPr>
        <w:t xml:space="preserve"> </w:t>
      </w:r>
      <w:r w:rsidR="00A170B7" w:rsidRPr="00A47266">
        <w:rPr>
          <w:lang w:val="fr-FR"/>
        </w:rPr>
        <w:t>de</w:t>
      </w:r>
      <w:r w:rsidR="00834135">
        <w:rPr>
          <w:lang w:val="fr-FR"/>
        </w:rPr>
        <w:t xml:space="preserve"> </w:t>
      </w:r>
      <w:r w:rsidR="00A170B7" w:rsidRPr="00A47266">
        <w:rPr>
          <w:lang w:val="fr-FR"/>
        </w:rPr>
        <w:t>l’Accord</w:t>
      </w:r>
      <w:r w:rsidRPr="00A47266">
        <w:rPr>
          <w:noProof/>
          <w:webHidden/>
        </w:rPr>
        <w:tab/>
      </w:r>
      <w:r w:rsidRPr="00A47266">
        <w:rPr>
          <w:noProof/>
          <w:webHidden/>
        </w:rPr>
        <w:tab/>
        <w:t>29</w:t>
      </w:r>
      <w:r w:rsidRPr="00A47266">
        <w:rPr>
          <w:noProof/>
          <w:webHidden/>
        </w:rPr>
        <w:tab/>
      </w:r>
      <w:r w:rsidR="00FB7F7F">
        <w:rPr>
          <w:noProof/>
          <w:webHidden/>
        </w:rPr>
        <w:t>8</w:t>
      </w:r>
    </w:p>
    <w:p w14:paraId="76473A9A" w14:textId="63033051" w:rsidR="00FB1683" w:rsidRPr="00A47266" w:rsidRDefault="00FB1683" w:rsidP="00FB1683">
      <w:pPr>
        <w:tabs>
          <w:tab w:val="right" w:leader="dot" w:pos="7654"/>
          <w:tab w:val="right" w:pos="8929"/>
          <w:tab w:val="right" w:pos="9638"/>
        </w:tabs>
        <w:spacing w:after="120"/>
        <w:ind w:left="1559" w:hanging="425"/>
        <w:rPr>
          <w:noProof/>
        </w:rPr>
      </w:pPr>
      <w:r w:rsidRPr="00A47266">
        <w:rPr>
          <w:rStyle w:val="Lienhypertexte"/>
          <w:noProof/>
          <w:color w:val="auto"/>
        </w:rPr>
        <w:t>B.</w:t>
      </w:r>
      <w:r w:rsidRPr="00A47266">
        <w:rPr>
          <w:noProof/>
        </w:rPr>
        <w:tab/>
      </w:r>
      <w:r w:rsidR="00A170B7" w:rsidRPr="00A47266">
        <w:rPr>
          <w:lang w:val="fr-FR"/>
        </w:rPr>
        <w:t>État</w:t>
      </w:r>
      <w:r w:rsidR="00834135">
        <w:rPr>
          <w:lang w:val="fr-FR"/>
        </w:rPr>
        <w:t xml:space="preserve"> </w:t>
      </w:r>
      <w:r w:rsidR="00A170B7" w:rsidRPr="00A47266">
        <w:rPr>
          <w:lang w:val="fr-FR"/>
        </w:rPr>
        <w:t>des</w:t>
      </w:r>
      <w:r w:rsidR="00834135">
        <w:rPr>
          <w:lang w:val="fr-FR"/>
        </w:rPr>
        <w:t xml:space="preserve"> </w:t>
      </w:r>
      <w:r w:rsidR="00A170B7" w:rsidRPr="00A47266">
        <w:rPr>
          <w:lang w:val="fr-FR"/>
        </w:rPr>
        <w:t>amendements</w:t>
      </w:r>
      <w:r w:rsidRPr="00A47266">
        <w:rPr>
          <w:noProof/>
          <w:webHidden/>
        </w:rPr>
        <w:tab/>
      </w:r>
      <w:r w:rsidRPr="00A47266">
        <w:rPr>
          <w:noProof/>
          <w:webHidden/>
        </w:rPr>
        <w:tab/>
        <w:t>30–31</w:t>
      </w:r>
      <w:r w:rsidRPr="00A47266">
        <w:rPr>
          <w:noProof/>
          <w:webHidden/>
        </w:rPr>
        <w:tab/>
      </w:r>
      <w:r w:rsidR="00FB7F7F">
        <w:rPr>
          <w:noProof/>
          <w:webHidden/>
        </w:rPr>
        <w:t>9</w:t>
      </w:r>
    </w:p>
    <w:p w14:paraId="25A00B53" w14:textId="0C6182FF" w:rsidR="00FB1683" w:rsidRPr="00A47266" w:rsidRDefault="00FB1683" w:rsidP="00FB1683">
      <w:pPr>
        <w:tabs>
          <w:tab w:val="right" w:leader="dot" w:pos="7654"/>
          <w:tab w:val="right" w:pos="8929"/>
          <w:tab w:val="right" w:pos="9638"/>
        </w:tabs>
        <w:spacing w:after="120"/>
        <w:ind w:left="1559" w:hanging="425"/>
        <w:rPr>
          <w:noProof/>
        </w:rPr>
      </w:pPr>
      <w:r w:rsidRPr="00A47266">
        <w:rPr>
          <w:rStyle w:val="Lienhypertexte"/>
          <w:noProof/>
          <w:color w:val="auto"/>
        </w:rPr>
        <w:t>C.</w:t>
      </w:r>
      <w:r w:rsidRPr="00A47266">
        <w:rPr>
          <w:noProof/>
        </w:rPr>
        <w:tab/>
      </w:r>
      <w:r w:rsidR="00A170B7" w:rsidRPr="00A47266">
        <w:rPr>
          <w:lang w:val="fr-FR"/>
        </w:rPr>
        <w:t>Stations</w:t>
      </w:r>
      <w:r w:rsidR="00834135">
        <w:rPr>
          <w:lang w:val="fr-FR"/>
        </w:rPr>
        <w:t xml:space="preserve"> </w:t>
      </w:r>
      <w:r w:rsidR="00A170B7" w:rsidRPr="00A47266">
        <w:rPr>
          <w:lang w:val="fr-FR"/>
        </w:rPr>
        <w:t>d’essai</w:t>
      </w:r>
      <w:r w:rsidR="00834135">
        <w:rPr>
          <w:lang w:val="fr-FR"/>
        </w:rPr>
        <w:t xml:space="preserve"> </w:t>
      </w:r>
      <w:r w:rsidR="00A170B7" w:rsidRPr="00A47266">
        <w:rPr>
          <w:lang w:val="fr-FR"/>
        </w:rPr>
        <w:t>officiellement</w:t>
      </w:r>
      <w:r w:rsidR="00834135">
        <w:rPr>
          <w:lang w:val="fr-FR"/>
        </w:rPr>
        <w:t xml:space="preserve"> </w:t>
      </w:r>
      <w:r w:rsidR="00A170B7" w:rsidRPr="00A47266">
        <w:rPr>
          <w:lang w:val="fr-FR"/>
        </w:rPr>
        <w:t>désignées</w:t>
      </w:r>
      <w:r w:rsidR="00834135">
        <w:rPr>
          <w:lang w:val="fr-FR"/>
        </w:rPr>
        <w:t xml:space="preserve"> </w:t>
      </w:r>
      <w:r w:rsidR="00A170B7" w:rsidRPr="00A47266">
        <w:rPr>
          <w:lang w:val="fr-FR"/>
        </w:rPr>
        <w:t>par</w:t>
      </w:r>
      <w:r w:rsidR="00834135">
        <w:rPr>
          <w:lang w:val="fr-FR"/>
        </w:rPr>
        <w:t xml:space="preserve"> </w:t>
      </w:r>
      <w:r w:rsidR="00A170B7" w:rsidRPr="00A47266">
        <w:rPr>
          <w:lang w:val="fr-FR"/>
        </w:rPr>
        <w:t>l’autorité</w:t>
      </w:r>
      <w:r w:rsidR="00834135">
        <w:rPr>
          <w:lang w:val="fr-FR"/>
        </w:rPr>
        <w:t xml:space="preserve"> </w:t>
      </w:r>
      <w:r w:rsidR="00A170B7" w:rsidRPr="00A47266">
        <w:rPr>
          <w:lang w:val="fr-FR"/>
        </w:rPr>
        <w:t>compétente</w:t>
      </w:r>
      <w:r w:rsidR="00834135">
        <w:rPr>
          <w:lang w:val="fr-FR"/>
        </w:rPr>
        <w:t xml:space="preserve"> </w:t>
      </w:r>
      <w:r w:rsidR="00834135">
        <w:rPr>
          <w:lang w:val="fr-FR"/>
        </w:rPr>
        <w:br/>
      </w:r>
      <w:r w:rsidR="00A170B7" w:rsidRPr="00A47266">
        <w:rPr>
          <w:lang w:val="fr-FR"/>
        </w:rPr>
        <w:t>des</w:t>
      </w:r>
      <w:r w:rsidR="00834135">
        <w:rPr>
          <w:lang w:val="fr-FR"/>
        </w:rPr>
        <w:t xml:space="preserve"> </w:t>
      </w:r>
      <w:r w:rsidR="00A170B7" w:rsidRPr="00A47266">
        <w:rPr>
          <w:lang w:val="fr-FR"/>
        </w:rPr>
        <w:t>pays</w:t>
      </w:r>
      <w:r w:rsidR="00834135">
        <w:rPr>
          <w:lang w:val="fr-FR"/>
        </w:rPr>
        <w:t xml:space="preserve"> </w:t>
      </w:r>
      <w:r w:rsidR="00A170B7" w:rsidRPr="00A47266">
        <w:rPr>
          <w:lang w:val="fr-FR"/>
        </w:rPr>
        <w:t>parties</w:t>
      </w:r>
      <w:r w:rsidR="00834135">
        <w:rPr>
          <w:lang w:val="fr-FR"/>
        </w:rPr>
        <w:t xml:space="preserve"> </w:t>
      </w:r>
      <w:r w:rsidR="00A170B7" w:rsidRPr="00A47266">
        <w:rPr>
          <w:lang w:val="fr-FR"/>
        </w:rPr>
        <w:t>à</w:t>
      </w:r>
      <w:r w:rsidR="00834135">
        <w:rPr>
          <w:lang w:val="fr-FR"/>
        </w:rPr>
        <w:t xml:space="preserve"> </w:t>
      </w:r>
      <w:r w:rsidR="00A170B7" w:rsidRPr="00A47266">
        <w:rPr>
          <w:lang w:val="fr-FR"/>
        </w:rPr>
        <w:t>l’ATP</w:t>
      </w:r>
      <w:r w:rsidRPr="00A47266">
        <w:rPr>
          <w:noProof/>
          <w:webHidden/>
        </w:rPr>
        <w:tab/>
      </w:r>
      <w:r w:rsidRPr="00A47266">
        <w:rPr>
          <w:noProof/>
          <w:webHidden/>
        </w:rPr>
        <w:tab/>
        <w:t>32–33</w:t>
      </w:r>
      <w:r w:rsidRPr="00A47266">
        <w:rPr>
          <w:noProof/>
          <w:webHidden/>
        </w:rPr>
        <w:tab/>
      </w:r>
      <w:r w:rsidR="00FB7F7F">
        <w:rPr>
          <w:noProof/>
          <w:webHidden/>
        </w:rPr>
        <w:t>9</w:t>
      </w:r>
    </w:p>
    <w:p w14:paraId="07DF3FDB" w14:textId="13EB35E0" w:rsidR="00FB1683" w:rsidRPr="00A47266" w:rsidRDefault="00FB1683" w:rsidP="00FB1683">
      <w:pPr>
        <w:tabs>
          <w:tab w:val="right" w:leader="dot" w:pos="7654"/>
          <w:tab w:val="right" w:pos="8929"/>
          <w:tab w:val="right" w:pos="9638"/>
        </w:tabs>
        <w:spacing w:after="120"/>
        <w:ind w:left="1559" w:hanging="425"/>
        <w:rPr>
          <w:noProof/>
        </w:rPr>
      </w:pPr>
      <w:r w:rsidRPr="00A47266">
        <w:rPr>
          <w:rStyle w:val="Lienhypertexte"/>
          <w:noProof/>
          <w:color w:val="auto"/>
        </w:rPr>
        <w:t>D.</w:t>
      </w:r>
      <w:r w:rsidRPr="00A47266">
        <w:rPr>
          <w:noProof/>
        </w:rPr>
        <w:tab/>
      </w:r>
      <w:r w:rsidR="00A170B7" w:rsidRPr="00A47266">
        <w:rPr>
          <w:lang w:val="fr-FR"/>
        </w:rPr>
        <w:t>Échange</w:t>
      </w:r>
      <w:r w:rsidR="00834135">
        <w:rPr>
          <w:lang w:val="fr-FR"/>
        </w:rPr>
        <w:t xml:space="preserve"> </w:t>
      </w:r>
      <w:r w:rsidR="00A170B7" w:rsidRPr="00A47266">
        <w:rPr>
          <w:lang w:val="fr-FR"/>
        </w:rPr>
        <w:t>d’informations</w:t>
      </w:r>
      <w:r w:rsidR="00834135">
        <w:rPr>
          <w:lang w:val="fr-FR"/>
        </w:rPr>
        <w:t xml:space="preserve"> </w:t>
      </w:r>
      <w:r w:rsidR="00A170B7" w:rsidRPr="00A47266">
        <w:rPr>
          <w:lang w:val="fr-FR"/>
        </w:rPr>
        <w:t>entre</w:t>
      </w:r>
      <w:r w:rsidR="00834135">
        <w:rPr>
          <w:lang w:val="fr-FR"/>
        </w:rPr>
        <w:t xml:space="preserve"> </w:t>
      </w:r>
      <w:r w:rsidR="00A170B7" w:rsidRPr="00A47266">
        <w:rPr>
          <w:lang w:val="fr-FR"/>
        </w:rPr>
        <w:t>les</w:t>
      </w:r>
      <w:r w:rsidR="00834135">
        <w:rPr>
          <w:lang w:val="fr-FR"/>
        </w:rPr>
        <w:t xml:space="preserve"> </w:t>
      </w:r>
      <w:r w:rsidR="00A170B7" w:rsidRPr="00A47266">
        <w:rPr>
          <w:lang w:val="fr-FR"/>
        </w:rPr>
        <w:t>Parties</w:t>
      </w:r>
      <w:r w:rsidR="00834135">
        <w:rPr>
          <w:lang w:val="fr-FR"/>
        </w:rPr>
        <w:t xml:space="preserve"> </w:t>
      </w:r>
      <w:r w:rsidR="00A170B7" w:rsidRPr="00A47266">
        <w:rPr>
          <w:lang w:val="fr-FR"/>
        </w:rPr>
        <w:t>en</w:t>
      </w:r>
      <w:r w:rsidR="00834135">
        <w:rPr>
          <w:lang w:val="fr-FR"/>
        </w:rPr>
        <w:t xml:space="preserve"> </w:t>
      </w:r>
      <w:r w:rsidR="00A170B7" w:rsidRPr="00A47266">
        <w:rPr>
          <w:lang w:val="fr-FR"/>
        </w:rPr>
        <w:t>vertu</w:t>
      </w:r>
      <w:r w:rsidR="00834135">
        <w:rPr>
          <w:lang w:val="fr-FR"/>
        </w:rPr>
        <w:t xml:space="preserve"> </w:t>
      </w:r>
      <w:r w:rsidR="00A170B7" w:rsidRPr="00A47266">
        <w:rPr>
          <w:lang w:val="fr-FR"/>
        </w:rPr>
        <w:t>de</w:t>
      </w:r>
      <w:r w:rsidR="00834135">
        <w:rPr>
          <w:lang w:val="fr-FR"/>
        </w:rPr>
        <w:t xml:space="preserve"> </w:t>
      </w:r>
      <w:r w:rsidR="00A170B7" w:rsidRPr="00A47266">
        <w:rPr>
          <w:lang w:val="fr-FR"/>
        </w:rPr>
        <w:t>l’article</w:t>
      </w:r>
      <w:r w:rsidR="00834135">
        <w:rPr>
          <w:lang w:val="fr-FR"/>
        </w:rPr>
        <w:t xml:space="preserve"> </w:t>
      </w:r>
      <w:r w:rsidR="00A170B7" w:rsidRPr="00A47266">
        <w:rPr>
          <w:lang w:val="fr-FR"/>
        </w:rPr>
        <w:t>6</w:t>
      </w:r>
      <w:r w:rsidR="00834135">
        <w:rPr>
          <w:lang w:val="fr-FR"/>
        </w:rPr>
        <w:t xml:space="preserve"> </w:t>
      </w:r>
      <w:r w:rsidR="00A170B7" w:rsidRPr="00A47266">
        <w:rPr>
          <w:lang w:val="fr-FR"/>
        </w:rPr>
        <w:t>de</w:t>
      </w:r>
      <w:r w:rsidR="00834135">
        <w:rPr>
          <w:lang w:val="fr-FR"/>
        </w:rPr>
        <w:t xml:space="preserve"> </w:t>
      </w:r>
      <w:r w:rsidR="00A170B7" w:rsidRPr="00A47266">
        <w:rPr>
          <w:lang w:val="fr-FR"/>
        </w:rPr>
        <w:t>l’ATP</w:t>
      </w:r>
      <w:r w:rsidRPr="00A47266">
        <w:rPr>
          <w:noProof/>
          <w:webHidden/>
        </w:rPr>
        <w:tab/>
      </w:r>
      <w:r w:rsidRPr="00A47266">
        <w:rPr>
          <w:noProof/>
          <w:webHidden/>
        </w:rPr>
        <w:tab/>
        <w:t>34–36</w:t>
      </w:r>
      <w:r w:rsidRPr="00A47266">
        <w:rPr>
          <w:noProof/>
          <w:webHidden/>
        </w:rPr>
        <w:tab/>
      </w:r>
      <w:r w:rsidR="00FB7F7F">
        <w:rPr>
          <w:noProof/>
          <w:webHidden/>
        </w:rPr>
        <w:t>9</w:t>
      </w:r>
    </w:p>
    <w:p w14:paraId="1AA159BA" w14:textId="417E7F8F" w:rsidR="00FB1683" w:rsidRPr="00A47266" w:rsidRDefault="00FB1683" w:rsidP="00FB1683">
      <w:pPr>
        <w:tabs>
          <w:tab w:val="right" w:leader="dot" w:pos="7654"/>
          <w:tab w:val="right" w:pos="8929"/>
          <w:tab w:val="right" w:pos="9638"/>
        </w:tabs>
        <w:spacing w:after="120"/>
        <w:ind w:left="1559" w:hanging="425"/>
        <w:rPr>
          <w:noProof/>
          <w:webHidden/>
        </w:rPr>
      </w:pPr>
      <w:r w:rsidRPr="00A47266">
        <w:rPr>
          <w:rStyle w:val="Lienhypertexte"/>
          <w:noProof/>
          <w:color w:val="auto"/>
        </w:rPr>
        <w:t>E.</w:t>
      </w:r>
      <w:r w:rsidRPr="00A47266">
        <w:rPr>
          <w:noProof/>
        </w:rPr>
        <w:tab/>
      </w:r>
      <w:r w:rsidR="00A170B7" w:rsidRPr="00A47266">
        <w:rPr>
          <w:lang w:val="fr-FR"/>
        </w:rPr>
        <w:t>Échange</w:t>
      </w:r>
      <w:r w:rsidR="00834135">
        <w:rPr>
          <w:lang w:val="fr-FR"/>
        </w:rPr>
        <w:t xml:space="preserve"> </w:t>
      </w:r>
      <w:r w:rsidR="00A170B7" w:rsidRPr="00A47266">
        <w:rPr>
          <w:lang w:val="fr-FR"/>
        </w:rPr>
        <w:t>de</w:t>
      </w:r>
      <w:r w:rsidR="00834135">
        <w:rPr>
          <w:lang w:val="fr-FR"/>
        </w:rPr>
        <w:t xml:space="preserve"> </w:t>
      </w:r>
      <w:r w:rsidR="00A170B7" w:rsidRPr="00A47266">
        <w:rPr>
          <w:lang w:val="fr-FR"/>
        </w:rPr>
        <w:t>bonnes</w:t>
      </w:r>
      <w:r w:rsidR="00834135">
        <w:rPr>
          <w:lang w:val="fr-FR"/>
        </w:rPr>
        <w:t xml:space="preserve"> </w:t>
      </w:r>
      <w:r w:rsidR="00A170B7" w:rsidRPr="00A47266">
        <w:rPr>
          <w:lang w:val="fr-FR"/>
        </w:rPr>
        <w:t>pratiques</w:t>
      </w:r>
      <w:r w:rsidR="00834135">
        <w:rPr>
          <w:lang w:val="fr-FR"/>
        </w:rPr>
        <w:t xml:space="preserve"> </w:t>
      </w:r>
      <w:r w:rsidR="00A170B7" w:rsidRPr="00A47266">
        <w:rPr>
          <w:lang w:val="fr-FR"/>
        </w:rPr>
        <w:t>pour</w:t>
      </w:r>
      <w:r w:rsidR="00834135">
        <w:rPr>
          <w:lang w:val="fr-FR"/>
        </w:rPr>
        <w:t xml:space="preserve"> </w:t>
      </w:r>
      <w:r w:rsidR="00A170B7" w:rsidRPr="00A47266">
        <w:rPr>
          <w:lang w:val="fr-FR"/>
        </w:rPr>
        <w:t>une</w:t>
      </w:r>
      <w:r w:rsidR="00834135">
        <w:rPr>
          <w:lang w:val="fr-FR"/>
        </w:rPr>
        <w:t xml:space="preserve"> </w:t>
      </w:r>
      <w:r w:rsidR="00A170B7" w:rsidRPr="00A47266">
        <w:rPr>
          <w:lang w:val="fr-FR"/>
        </w:rPr>
        <w:t>meilleure</w:t>
      </w:r>
      <w:r w:rsidR="00834135">
        <w:rPr>
          <w:lang w:val="fr-FR"/>
        </w:rPr>
        <w:t xml:space="preserve"> </w:t>
      </w:r>
      <w:r w:rsidR="00A170B7" w:rsidRPr="00A47266">
        <w:rPr>
          <w:lang w:val="fr-FR"/>
        </w:rPr>
        <w:t>application</w:t>
      </w:r>
      <w:r w:rsidR="00834135">
        <w:rPr>
          <w:lang w:val="fr-FR"/>
        </w:rPr>
        <w:t xml:space="preserve"> </w:t>
      </w:r>
      <w:r w:rsidR="00A170B7" w:rsidRPr="00A47266">
        <w:rPr>
          <w:lang w:val="fr-FR"/>
        </w:rPr>
        <w:t>de</w:t>
      </w:r>
      <w:r w:rsidR="00834135">
        <w:rPr>
          <w:lang w:val="fr-FR"/>
        </w:rPr>
        <w:t xml:space="preserve"> </w:t>
      </w:r>
      <w:r w:rsidR="00A170B7" w:rsidRPr="00A47266">
        <w:rPr>
          <w:lang w:val="fr-FR"/>
        </w:rPr>
        <w:t>l’ATP</w:t>
      </w:r>
      <w:r w:rsidRPr="00A47266">
        <w:rPr>
          <w:noProof/>
          <w:webHidden/>
        </w:rPr>
        <w:tab/>
      </w:r>
      <w:r w:rsidRPr="00A47266">
        <w:rPr>
          <w:noProof/>
          <w:webHidden/>
        </w:rPr>
        <w:tab/>
        <w:t>37–40</w:t>
      </w:r>
      <w:r w:rsidRPr="00A47266">
        <w:rPr>
          <w:noProof/>
          <w:webHidden/>
        </w:rPr>
        <w:tab/>
      </w:r>
      <w:r w:rsidR="00FB7F7F">
        <w:rPr>
          <w:noProof/>
          <w:webHidden/>
        </w:rPr>
        <w:t>9</w:t>
      </w:r>
    </w:p>
    <w:p w14:paraId="3AFBEBA5" w14:textId="1B88D83A" w:rsidR="00FB1683" w:rsidRPr="00A47266" w:rsidRDefault="00FB1683" w:rsidP="00FB1683">
      <w:pPr>
        <w:tabs>
          <w:tab w:val="right" w:leader="dot" w:pos="7654"/>
          <w:tab w:val="right" w:pos="8929"/>
          <w:tab w:val="right" w:pos="9638"/>
        </w:tabs>
        <w:spacing w:after="120"/>
        <w:ind w:left="1559" w:hanging="425"/>
        <w:rPr>
          <w:noProof/>
        </w:rPr>
      </w:pPr>
      <w:r w:rsidRPr="00A47266">
        <w:rPr>
          <w:noProof/>
          <w:webHidden/>
        </w:rPr>
        <w:t>F.</w:t>
      </w:r>
      <w:r w:rsidRPr="00A47266">
        <w:rPr>
          <w:noProof/>
          <w:webHidden/>
        </w:rPr>
        <w:tab/>
      </w:r>
      <w:r w:rsidR="00A170B7" w:rsidRPr="00A47266">
        <w:rPr>
          <w:lang w:val="fr-FR"/>
        </w:rPr>
        <w:t>Interprétation</w:t>
      </w:r>
      <w:r w:rsidR="00834135">
        <w:rPr>
          <w:lang w:val="fr-FR"/>
        </w:rPr>
        <w:t xml:space="preserve"> </w:t>
      </w:r>
      <w:r w:rsidR="00A170B7" w:rsidRPr="00A47266">
        <w:rPr>
          <w:lang w:val="fr-FR"/>
        </w:rPr>
        <w:t>de</w:t>
      </w:r>
      <w:r w:rsidR="00834135">
        <w:rPr>
          <w:lang w:val="fr-FR"/>
        </w:rPr>
        <w:t xml:space="preserve"> </w:t>
      </w:r>
      <w:r w:rsidR="00A170B7" w:rsidRPr="00A47266">
        <w:rPr>
          <w:lang w:val="fr-FR"/>
        </w:rPr>
        <w:t>l’ATP</w:t>
      </w:r>
      <w:r w:rsidRPr="00A47266">
        <w:rPr>
          <w:noProof/>
          <w:webHidden/>
        </w:rPr>
        <w:tab/>
      </w:r>
      <w:r w:rsidRPr="00A47266">
        <w:rPr>
          <w:noProof/>
          <w:webHidden/>
        </w:rPr>
        <w:tab/>
        <w:t>41–44</w:t>
      </w:r>
      <w:r w:rsidRPr="00A47266">
        <w:rPr>
          <w:noProof/>
          <w:webHidden/>
        </w:rPr>
        <w:tab/>
      </w:r>
      <w:r w:rsidR="00FB7F7F">
        <w:rPr>
          <w:noProof/>
          <w:webHidden/>
        </w:rPr>
        <w:t>10</w:t>
      </w:r>
    </w:p>
    <w:p w14:paraId="6D8BDFD2" w14:textId="6BF3A0AD" w:rsidR="00FB1683" w:rsidRPr="00A47266" w:rsidRDefault="00FB1683" w:rsidP="00FB1683">
      <w:pPr>
        <w:tabs>
          <w:tab w:val="right" w:pos="850"/>
          <w:tab w:val="right" w:leader="dot" w:pos="7654"/>
          <w:tab w:val="right" w:pos="8929"/>
          <w:tab w:val="right" w:pos="9638"/>
        </w:tabs>
        <w:spacing w:after="120"/>
        <w:ind w:left="1134" w:hanging="1134"/>
        <w:rPr>
          <w:noProof/>
        </w:rPr>
      </w:pPr>
      <w:r w:rsidRPr="00A47266">
        <w:rPr>
          <w:rStyle w:val="Lienhypertexte"/>
          <w:noProof/>
          <w:color w:val="auto"/>
        </w:rPr>
        <w:tab/>
        <w:t>VI.</w:t>
      </w:r>
      <w:r w:rsidRPr="00A47266">
        <w:rPr>
          <w:noProof/>
        </w:rPr>
        <w:tab/>
      </w:r>
      <w:r w:rsidR="00A170B7" w:rsidRPr="00A47266">
        <w:rPr>
          <w:bCs/>
          <w:lang w:val="fr-FR"/>
        </w:rPr>
        <w:t>Propositions</w:t>
      </w:r>
      <w:r w:rsidR="00834135">
        <w:rPr>
          <w:bCs/>
          <w:lang w:val="fr-FR"/>
        </w:rPr>
        <w:t xml:space="preserve"> </w:t>
      </w:r>
      <w:r w:rsidR="00A170B7" w:rsidRPr="00A47266">
        <w:rPr>
          <w:bCs/>
          <w:lang w:val="fr-FR"/>
        </w:rPr>
        <w:t>d’amendements</w:t>
      </w:r>
      <w:r w:rsidR="00834135">
        <w:rPr>
          <w:bCs/>
          <w:lang w:val="fr-FR"/>
        </w:rPr>
        <w:t xml:space="preserve"> </w:t>
      </w:r>
      <w:r w:rsidR="00A170B7" w:rsidRPr="00A47266">
        <w:rPr>
          <w:bCs/>
          <w:lang w:val="fr-FR"/>
        </w:rPr>
        <w:t>à</w:t>
      </w:r>
      <w:r w:rsidR="00834135">
        <w:rPr>
          <w:bCs/>
          <w:lang w:val="fr-FR"/>
        </w:rPr>
        <w:t xml:space="preserve"> </w:t>
      </w:r>
      <w:r w:rsidR="00A170B7" w:rsidRPr="00A47266">
        <w:rPr>
          <w:bCs/>
          <w:lang w:val="fr-FR"/>
        </w:rPr>
        <w:t>l’ATP</w:t>
      </w:r>
      <w:r w:rsidR="00834135">
        <w:rPr>
          <w:bCs/>
          <w:lang w:val="fr-FR"/>
        </w:rPr>
        <w:t xml:space="preserve"> </w:t>
      </w:r>
      <w:r w:rsidR="00A170B7" w:rsidRPr="00A47266">
        <w:rPr>
          <w:bCs/>
          <w:lang w:val="fr-FR"/>
        </w:rPr>
        <w:t>(point</w:t>
      </w:r>
      <w:r w:rsidR="00834135">
        <w:rPr>
          <w:bCs/>
          <w:lang w:val="fr-FR"/>
        </w:rPr>
        <w:t xml:space="preserve"> </w:t>
      </w:r>
      <w:r w:rsidR="00A170B7" w:rsidRPr="00A47266">
        <w:rPr>
          <w:bCs/>
          <w:lang w:val="fr-FR"/>
        </w:rPr>
        <w:t>5</w:t>
      </w:r>
      <w:r w:rsidR="00834135">
        <w:rPr>
          <w:bCs/>
          <w:lang w:val="fr-FR"/>
        </w:rPr>
        <w:t xml:space="preserve"> </w:t>
      </w:r>
      <w:r w:rsidR="00A170B7" w:rsidRPr="00A47266">
        <w:rPr>
          <w:bCs/>
          <w:lang w:val="fr-FR"/>
        </w:rPr>
        <w:t>de</w:t>
      </w:r>
      <w:r w:rsidR="00834135">
        <w:rPr>
          <w:bCs/>
          <w:lang w:val="fr-FR"/>
        </w:rPr>
        <w:t xml:space="preserve"> </w:t>
      </w:r>
      <w:r w:rsidR="00A170B7" w:rsidRPr="00A47266">
        <w:rPr>
          <w:bCs/>
          <w:lang w:val="fr-FR"/>
        </w:rPr>
        <w:t>l’ordre</w:t>
      </w:r>
      <w:r w:rsidR="00834135">
        <w:rPr>
          <w:bCs/>
          <w:lang w:val="fr-FR"/>
        </w:rPr>
        <w:t xml:space="preserve"> </w:t>
      </w:r>
      <w:r w:rsidR="00A170B7" w:rsidRPr="00A47266">
        <w:rPr>
          <w:bCs/>
          <w:lang w:val="fr-FR"/>
        </w:rPr>
        <w:t>d</w:t>
      </w:r>
      <w:r w:rsidR="00A170B7">
        <w:rPr>
          <w:bCs/>
          <w:lang w:val="fr-FR"/>
        </w:rPr>
        <w:t>u</w:t>
      </w:r>
      <w:r w:rsidR="00834135">
        <w:rPr>
          <w:bCs/>
          <w:lang w:val="fr-FR"/>
        </w:rPr>
        <w:t xml:space="preserve"> </w:t>
      </w:r>
      <w:r w:rsidR="00A170B7" w:rsidRPr="00A47266">
        <w:rPr>
          <w:bCs/>
          <w:lang w:val="fr-FR"/>
        </w:rPr>
        <w:t>jour)</w:t>
      </w:r>
      <w:r w:rsidRPr="00A47266">
        <w:rPr>
          <w:noProof/>
          <w:webHidden/>
        </w:rPr>
        <w:tab/>
      </w:r>
      <w:r w:rsidRPr="00A47266">
        <w:rPr>
          <w:noProof/>
          <w:webHidden/>
        </w:rPr>
        <w:tab/>
        <w:t>45–73</w:t>
      </w:r>
      <w:r w:rsidRPr="00A47266">
        <w:rPr>
          <w:noProof/>
          <w:webHidden/>
        </w:rPr>
        <w:tab/>
      </w:r>
      <w:r w:rsidR="00FB7F7F">
        <w:rPr>
          <w:noProof/>
          <w:webHidden/>
        </w:rPr>
        <w:t>11</w:t>
      </w:r>
    </w:p>
    <w:p w14:paraId="2A16750D" w14:textId="3D650D82" w:rsidR="00FB1683" w:rsidRPr="00A47266" w:rsidRDefault="00FB1683" w:rsidP="00FB1683">
      <w:pPr>
        <w:tabs>
          <w:tab w:val="right" w:leader="dot" w:pos="7654"/>
          <w:tab w:val="right" w:pos="8929"/>
          <w:tab w:val="right" w:pos="9638"/>
        </w:tabs>
        <w:spacing w:after="120"/>
        <w:ind w:left="1559" w:hanging="425"/>
        <w:rPr>
          <w:noProof/>
        </w:rPr>
      </w:pPr>
      <w:r w:rsidRPr="00A47266">
        <w:rPr>
          <w:rStyle w:val="Lienhypertexte"/>
          <w:noProof/>
          <w:color w:val="auto"/>
        </w:rPr>
        <w:t>A.</w:t>
      </w:r>
      <w:r w:rsidRPr="00A47266">
        <w:rPr>
          <w:noProof/>
        </w:rPr>
        <w:tab/>
      </w:r>
      <w:r w:rsidR="00A170B7" w:rsidRPr="00A47266">
        <w:rPr>
          <w:lang w:val="fr-FR"/>
        </w:rPr>
        <w:t>Propositions</w:t>
      </w:r>
      <w:r w:rsidR="00834135">
        <w:rPr>
          <w:lang w:val="fr-FR"/>
        </w:rPr>
        <w:t xml:space="preserve"> </w:t>
      </w:r>
      <w:r w:rsidR="00A170B7" w:rsidRPr="00A47266">
        <w:rPr>
          <w:lang w:val="fr-FR"/>
        </w:rPr>
        <w:t>en</w:t>
      </w:r>
      <w:r w:rsidR="00834135">
        <w:rPr>
          <w:lang w:val="fr-FR"/>
        </w:rPr>
        <w:t xml:space="preserve"> </w:t>
      </w:r>
      <w:r w:rsidR="00A170B7" w:rsidRPr="00A47266">
        <w:rPr>
          <w:lang w:val="fr-FR"/>
        </w:rPr>
        <w:t>suspens</w:t>
      </w:r>
      <w:r w:rsidRPr="00A47266">
        <w:rPr>
          <w:noProof/>
          <w:webHidden/>
        </w:rPr>
        <w:tab/>
      </w:r>
      <w:r w:rsidRPr="00A47266">
        <w:rPr>
          <w:noProof/>
          <w:webHidden/>
        </w:rPr>
        <w:tab/>
        <w:t>45–53</w:t>
      </w:r>
      <w:r w:rsidRPr="00A47266">
        <w:rPr>
          <w:noProof/>
          <w:webHidden/>
        </w:rPr>
        <w:tab/>
      </w:r>
      <w:r w:rsidR="00FB7F7F">
        <w:rPr>
          <w:noProof/>
          <w:webHidden/>
        </w:rPr>
        <w:t>11</w:t>
      </w:r>
    </w:p>
    <w:p w14:paraId="3A952DA5" w14:textId="41711579" w:rsidR="00FB1683" w:rsidRPr="00A47266" w:rsidRDefault="00FB1683" w:rsidP="00FB1683">
      <w:pPr>
        <w:tabs>
          <w:tab w:val="right" w:leader="dot" w:pos="7654"/>
          <w:tab w:val="right" w:pos="8929"/>
          <w:tab w:val="right" w:pos="9638"/>
        </w:tabs>
        <w:spacing w:after="120"/>
        <w:ind w:left="1984" w:hanging="425"/>
        <w:rPr>
          <w:noProof/>
        </w:rPr>
      </w:pPr>
      <w:r w:rsidRPr="00A47266">
        <w:rPr>
          <w:rStyle w:val="Lienhypertexte"/>
          <w:noProof/>
          <w:color w:val="auto"/>
        </w:rPr>
        <w:t>1.</w:t>
      </w:r>
      <w:r w:rsidRPr="00A47266">
        <w:rPr>
          <w:noProof/>
        </w:rPr>
        <w:tab/>
      </w:r>
      <w:r w:rsidR="00A170B7" w:rsidRPr="00A47266">
        <w:rPr>
          <w:lang w:val="fr-FR"/>
        </w:rPr>
        <w:t>Propositions</w:t>
      </w:r>
      <w:r w:rsidR="00834135">
        <w:rPr>
          <w:lang w:val="fr-FR"/>
        </w:rPr>
        <w:t xml:space="preserve"> </w:t>
      </w:r>
      <w:r w:rsidR="00A170B7" w:rsidRPr="00A47266">
        <w:rPr>
          <w:lang w:val="fr-FR"/>
        </w:rPr>
        <w:t>d’amendements</w:t>
      </w:r>
      <w:r w:rsidR="00834135">
        <w:rPr>
          <w:lang w:val="fr-FR"/>
        </w:rPr>
        <w:t xml:space="preserve"> </w:t>
      </w:r>
      <w:r w:rsidR="00A170B7" w:rsidRPr="00A47266">
        <w:rPr>
          <w:lang w:val="fr-FR"/>
        </w:rPr>
        <w:t>au</w:t>
      </w:r>
      <w:r w:rsidR="00834135">
        <w:rPr>
          <w:lang w:val="fr-FR"/>
        </w:rPr>
        <w:t xml:space="preserve"> </w:t>
      </w:r>
      <w:r w:rsidR="00A170B7" w:rsidRPr="00A47266">
        <w:rPr>
          <w:lang w:val="fr-FR"/>
        </w:rPr>
        <w:t>paragraphe</w:t>
      </w:r>
      <w:r w:rsidR="00834135">
        <w:rPr>
          <w:lang w:val="fr-FR"/>
        </w:rPr>
        <w:t xml:space="preserve"> </w:t>
      </w:r>
      <w:r w:rsidR="00A170B7" w:rsidRPr="00A47266">
        <w:rPr>
          <w:lang w:val="fr-FR"/>
        </w:rPr>
        <w:t>7.3.7</w:t>
      </w:r>
      <w:r w:rsidR="00834135">
        <w:rPr>
          <w:lang w:val="fr-FR"/>
        </w:rPr>
        <w:t xml:space="preserve"> </w:t>
      </w:r>
      <w:r w:rsidR="00834135">
        <w:rPr>
          <w:lang w:val="fr-FR"/>
        </w:rPr>
        <w:br/>
      </w:r>
      <w:r w:rsidR="00A170B7" w:rsidRPr="00A47266">
        <w:rPr>
          <w:lang w:val="fr-FR"/>
        </w:rPr>
        <w:t>de</w:t>
      </w:r>
      <w:r w:rsidR="00834135">
        <w:rPr>
          <w:lang w:val="fr-FR"/>
        </w:rPr>
        <w:t xml:space="preserve"> </w:t>
      </w:r>
      <w:r w:rsidR="00A170B7" w:rsidRPr="00A47266">
        <w:rPr>
          <w:lang w:val="fr-FR"/>
        </w:rPr>
        <w:t>l’appendice</w:t>
      </w:r>
      <w:r w:rsidR="00834135">
        <w:rPr>
          <w:lang w:val="fr-FR"/>
        </w:rPr>
        <w:t xml:space="preserve"> </w:t>
      </w:r>
      <w:r w:rsidR="00A170B7" w:rsidRPr="00A47266">
        <w:rPr>
          <w:lang w:val="fr-FR"/>
        </w:rPr>
        <w:t>2</w:t>
      </w:r>
      <w:r w:rsidR="00834135">
        <w:rPr>
          <w:lang w:val="fr-FR"/>
        </w:rPr>
        <w:t xml:space="preserve"> </w:t>
      </w:r>
      <w:r w:rsidR="00A170B7" w:rsidRPr="00A47266">
        <w:rPr>
          <w:lang w:val="fr-FR"/>
        </w:rPr>
        <w:t>de</w:t>
      </w:r>
      <w:r w:rsidR="00834135">
        <w:rPr>
          <w:lang w:val="fr-FR"/>
        </w:rPr>
        <w:t xml:space="preserve"> </w:t>
      </w:r>
      <w:r w:rsidR="00A170B7" w:rsidRPr="00A47266">
        <w:rPr>
          <w:lang w:val="fr-FR"/>
        </w:rPr>
        <w:t>l’annexe</w:t>
      </w:r>
      <w:r w:rsidR="00834135">
        <w:rPr>
          <w:lang w:val="fr-FR"/>
        </w:rPr>
        <w:t xml:space="preserve"> </w:t>
      </w:r>
      <w:r w:rsidR="00A170B7" w:rsidRPr="00A47266">
        <w:rPr>
          <w:lang w:val="fr-FR"/>
        </w:rPr>
        <w:t>1</w:t>
      </w:r>
      <w:r w:rsidRPr="00A47266">
        <w:rPr>
          <w:noProof/>
          <w:webHidden/>
        </w:rPr>
        <w:tab/>
      </w:r>
      <w:r w:rsidRPr="00A47266">
        <w:rPr>
          <w:noProof/>
          <w:webHidden/>
        </w:rPr>
        <w:tab/>
        <w:t>45–47</w:t>
      </w:r>
      <w:r w:rsidRPr="00A47266">
        <w:rPr>
          <w:noProof/>
          <w:webHidden/>
        </w:rPr>
        <w:tab/>
      </w:r>
      <w:r w:rsidR="00FB7F7F">
        <w:rPr>
          <w:noProof/>
          <w:webHidden/>
        </w:rPr>
        <w:t>11</w:t>
      </w:r>
    </w:p>
    <w:p w14:paraId="0804D615" w14:textId="17805537" w:rsidR="00FB1683" w:rsidRPr="00A47266" w:rsidRDefault="00FB1683" w:rsidP="00FB1683">
      <w:pPr>
        <w:tabs>
          <w:tab w:val="right" w:leader="dot" w:pos="7654"/>
          <w:tab w:val="right" w:pos="8929"/>
          <w:tab w:val="right" w:pos="9638"/>
        </w:tabs>
        <w:spacing w:after="120"/>
        <w:ind w:left="1984" w:hanging="425"/>
        <w:rPr>
          <w:noProof/>
        </w:rPr>
      </w:pPr>
      <w:r w:rsidRPr="00A47266">
        <w:rPr>
          <w:rStyle w:val="Lienhypertexte"/>
          <w:noProof/>
          <w:color w:val="auto"/>
        </w:rPr>
        <w:t>2.</w:t>
      </w:r>
      <w:r w:rsidRPr="00A47266">
        <w:rPr>
          <w:noProof/>
        </w:rPr>
        <w:tab/>
      </w:r>
      <w:r w:rsidR="00A170B7" w:rsidRPr="00A47266">
        <w:rPr>
          <w:lang w:val="fr-FR"/>
        </w:rPr>
        <w:t>Définition</w:t>
      </w:r>
      <w:r w:rsidR="00834135">
        <w:rPr>
          <w:lang w:val="fr-FR"/>
        </w:rPr>
        <w:t xml:space="preserve"> </w:t>
      </w:r>
      <w:r w:rsidR="00A170B7" w:rsidRPr="00A47266">
        <w:rPr>
          <w:lang w:val="fr-FR"/>
        </w:rPr>
        <w:t>de</w:t>
      </w:r>
      <w:r w:rsidR="00834135">
        <w:rPr>
          <w:lang w:val="fr-FR"/>
        </w:rPr>
        <w:t xml:space="preserve"> </w:t>
      </w:r>
      <w:r w:rsidR="00A170B7" w:rsidRPr="00A47266">
        <w:rPr>
          <w:lang w:val="fr-FR"/>
        </w:rPr>
        <w:t>l’autonomie</w:t>
      </w:r>
      <w:r w:rsidR="00834135">
        <w:rPr>
          <w:lang w:val="fr-FR"/>
        </w:rPr>
        <w:t xml:space="preserve"> </w:t>
      </w:r>
      <w:r w:rsidR="00A170B7" w:rsidRPr="00A47266">
        <w:rPr>
          <w:lang w:val="fr-FR"/>
        </w:rPr>
        <w:t>d’un</w:t>
      </w:r>
      <w:r w:rsidR="00834135">
        <w:rPr>
          <w:lang w:val="fr-FR"/>
        </w:rPr>
        <w:t xml:space="preserve"> </w:t>
      </w:r>
      <w:r w:rsidR="00A170B7" w:rsidRPr="00A47266">
        <w:rPr>
          <w:lang w:val="fr-FR"/>
        </w:rPr>
        <w:t>engin</w:t>
      </w:r>
      <w:r w:rsidRPr="00A47266">
        <w:rPr>
          <w:noProof/>
          <w:webHidden/>
        </w:rPr>
        <w:tab/>
      </w:r>
      <w:r w:rsidRPr="00A47266">
        <w:rPr>
          <w:noProof/>
          <w:webHidden/>
        </w:rPr>
        <w:tab/>
        <w:t>48</w:t>
      </w:r>
      <w:r w:rsidRPr="00A47266">
        <w:rPr>
          <w:noProof/>
          <w:webHidden/>
        </w:rPr>
        <w:tab/>
      </w:r>
      <w:r w:rsidR="00FB7F7F">
        <w:rPr>
          <w:noProof/>
          <w:webHidden/>
        </w:rPr>
        <w:t>11</w:t>
      </w:r>
    </w:p>
    <w:p w14:paraId="3C958D84" w14:textId="2DE38312" w:rsidR="00FB1683" w:rsidRPr="00A47266" w:rsidRDefault="00FB1683" w:rsidP="00FB1683">
      <w:pPr>
        <w:tabs>
          <w:tab w:val="right" w:leader="dot" w:pos="7654"/>
          <w:tab w:val="right" w:pos="8929"/>
          <w:tab w:val="right" w:pos="9638"/>
        </w:tabs>
        <w:spacing w:after="120"/>
        <w:ind w:left="1984" w:hanging="425"/>
        <w:rPr>
          <w:noProof/>
        </w:rPr>
      </w:pPr>
      <w:r w:rsidRPr="00A47266">
        <w:rPr>
          <w:rStyle w:val="Lienhypertexte"/>
          <w:noProof/>
          <w:color w:val="auto"/>
        </w:rPr>
        <w:t>3.</w:t>
      </w:r>
      <w:r w:rsidRPr="00A47266">
        <w:rPr>
          <w:noProof/>
        </w:rPr>
        <w:tab/>
      </w:r>
      <w:r w:rsidR="00A170B7" w:rsidRPr="00A47266">
        <w:rPr>
          <w:lang w:val="fr-FR"/>
        </w:rPr>
        <w:t>Classement</w:t>
      </w:r>
      <w:r w:rsidR="00834135">
        <w:rPr>
          <w:lang w:val="fr-FR"/>
        </w:rPr>
        <w:t xml:space="preserve"> </w:t>
      </w:r>
      <w:r w:rsidR="00A170B7" w:rsidRPr="00A47266">
        <w:rPr>
          <w:lang w:val="fr-FR"/>
        </w:rPr>
        <w:t>d’un</w:t>
      </w:r>
      <w:r w:rsidR="00834135">
        <w:rPr>
          <w:lang w:val="fr-FR"/>
        </w:rPr>
        <w:t xml:space="preserve"> </w:t>
      </w:r>
      <w:r w:rsidR="00A170B7" w:rsidRPr="00A47266">
        <w:rPr>
          <w:lang w:val="fr-FR"/>
        </w:rPr>
        <w:t>engin</w:t>
      </w:r>
      <w:r w:rsidR="00834135">
        <w:rPr>
          <w:lang w:val="fr-FR"/>
        </w:rPr>
        <w:t xml:space="preserve"> </w:t>
      </w:r>
      <w:r w:rsidR="00A170B7" w:rsidRPr="00A47266">
        <w:rPr>
          <w:lang w:val="fr-FR"/>
        </w:rPr>
        <w:t>alimenté</w:t>
      </w:r>
      <w:r w:rsidR="00834135">
        <w:rPr>
          <w:lang w:val="fr-FR"/>
        </w:rPr>
        <w:t xml:space="preserve"> </w:t>
      </w:r>
      <w:r w:rsidR="00A170B7" w:rsidRPr="00A47266">
        <w:rPr>
          <w:lang w:val="fr-FR"/>
        </w:rPr>
        <w:t>par</w:t>
      </w:r>
      <w:r w:rsidR="00834135">
        <w:rPr>
          <w:lang w:val="fr-FR"/>
        </w:rPr>
        <w:t xml:space="preserve"> </w:t>
      </w:r>
      <w:r w:rsidR="00A170B7" w:rsidRPr="00A47266">
        <w:rPr>
          <w:lang w:val="fr-FR"/>
        </w:rPr>
        <w:t>une</w:t>
      </w:r>
      <w:r w:rsidR="00834135">
        <w:rPr>
          <w:lang w:val="fr-FR"/>
        </w:rPr>
        <w:t xml:space="preserve"> </w:t>
      </w:r>
      <w:r w:rsidR="00A170B7" w:rsidRPr="00A47266">
        <w:rPr>
          <w:lang w:val="fr-FR"/>
        </w:rPr>
        <w:t>source</w:t>
      </w:r>
      <w:r w:rsidR="00834135">
        <w:rPr>
          <w:lang w:val="fr-FR"/>
        </w:rPr>
        <w:t xml:space="preserve"> </w:t>
      </w:r>
      <w:r w:rsidR="00A170B7" w:rsidRPr="00A47266">
        <w:rPr>
          <w:lang w:val="fr-FR"/>
        </w:rPr>
        <w:t>d’énergie</w:t>
      </w:r>
      <w:r w:rsidR="00834135">
        <w:rPr>
          <w:lang w:val="fr-FR"/>
        </w:rPr>
        <w:t xml:space="preserve"> </w:t>
      </w:r>
      <w:r w:rsidR="00A170B7" w:rsidRPr="00A47266">
        <w:rPr>
          <w:lang w:val="fr-FR"/>
        </w:rPr>
        <w:t>électrique</w:t>
      </w:r>
      <w:r w:rsidRPr="00A47266">
        <w:rPr>
          <w:noProof/>
          <w:webHidden/>
        </w:rPr>
        <w:tab/>
      </w:r>
      <w:r w:rsidRPr="00A47266">
        <w:rPr>
          <w:noProof/>
          <w:webHidden/>
        </w:rPr>
        <w:tab/>
        <w:t>49–50</w:t>
      </w:r>
      <w:r w:rsidRPr="00A47266">
        <w:rPr>
          <w:noProof/>
          <w:webHidden/>
        </w:rPr>
        <w:tab/>
      </w:r>
      <w:r w:rsidR="00FB7F7F">
        <w:rPr>
          <w:noProof/>
          <w:webHidden/>
        </w:rPr>
        <w:t>11</w:t>
      </w:r>
    </w:p>
    <w:p w14:paraId="5062C909" w14:textId="77F0F3CA" w:rsidR="00FB1683" w:rsidRPr="00A47266" w:rsidRDefault="00FB1683" w:rsidP="00FB1683">
      <w:pPr>
        <w:tabs>
          <w:tab w:val="right" w:leader="dot" w:pos="7654"/>
          <w:tab w:val="right" w:pos="8929"/>
          <w:tab w:val="right" w:pos="9638"/>
        </w:tabs>
        <w:spacing w:after="120"/>
        <w:ind w:left="1984" w:hanging="425"/>
        <w:rPr>
          <w:noProof/>
        </w:rPr>
      </w:pPr>
      <w:r w:rsidRPr="00A47266">
        <w:rPr>
          <w:rStyle w:val="Lienhypertexte"/>
          <w:noProof/>
          <w:color w:val="auto"/>
        </w:rPr>
        <w:t>4.</w:t>
      </w:r>
      <w:r w:rsidRPr="00A47266">
        <w:rPr>
          <w:noProof/>
        </w:rPr>
        <w:tab/>
      </w:r>
      <w:r w:rsidR="00A170B7" w:rsidRPr="00A47266">
        <w:rPr>
          <w:lang w:val="fr-FR"/>
        </w:rPr>
        <w:t>Résultats</w:t>
      </w:r>
      <w:r w:rsidR="00834135">
        <w:rPr>
          <w:lang w:val="fr-FR"/>
        </w:rPr>
        <w:t xml:space="preserve"> </w:t>
      </w:r>
      <w:r w:rsidR="00A170B7" w:rsidRPr="00A47266">
        <w:rPr>
          <w:lang w:val="fr-FR"/>
        </w:rPr>
        <w:t>de</w:t>
      </w:r>
      <w:r w:rsidR="00834135">
        <w:rPr>
          <w:lang w:val="fr-FR"/>
        </w:rPr>
        <w:t xml:space="preserve"> </w:t>
      </w:r>
      <w:r w:rsidR="00A170B7" w:rsidRPr="00A47266">
        <w:rPr>
          <w:lang w:val="fr-FR"/>
        </w:rPr>
        <w:t>la</w:t>
      </w:r>
      <w:r w:rsidR="00834135">
        <w:rPr>
          <w:lang w:val="fr-FR"/>
        </w:rPr>
        <w:t xml:space="preserve"> </w:t>
      </w:r>
      <w:r w:rsidR="00A170B7" w:rsidRPr="00A47266">
        <w:rPr>
          <w:lang w:val="fr-FR"/>
        </w:rPr>
        <w:t>réunion</w:t>
      </w:r>
      <w:r w:rsidR="00834135">
        <w:rPr>
          <w:lang w:val="fr-FR"/>
        </w:rPr>
        <w:t xml:space="preserve"> </w:t>
      </w:r>
      <w:r w:rsidR="00A170B7" w:rsidRPr="00A47266">
        <w:rPr>
          <w:lang w:val="fr-FR"/>
        </w:rPr>
        <w:t>de</w:t>
      </w:r>
      <w:r w:rsidR="00834135">
        <w:rPr>
          <w:lang w:val="fr-FR"/>
        </w:rPr>
        <w:t xml:space="preserve"> </w:t>
      </w:r>
      <w:r w:rsidR="00A170B7" w:rsidRPr="00A47266">
        <w:rPr>
          <w:lang w:val="fr-FR"/>
        </w:rPr>
        <w:t>la</w:t>
      </w:r>
      <w:r w:rsidR="00834135">
        <w:rPr>
          <w:lang w:val="fr-FR"/>
        </w:rPr>
        <w:t xml:space="preserve"> </w:t>
      </w:r>
      <w:r w:rsidR="00A170B7" w:rsidRPr="00A47266">
        <w:rPr>
          <w:lang w:val="fr-FR"/>
        </w:rPr>
        <w:t>sous-commission</w:t>
      </w:r>
      <w:r w:rsidR="00834135">
        <w:rPr>
          <w:lang w:val="fr-FR"/>
        </w:rPr>
        <w:t xml:space="preserve"> </w:t>
      </w:r>
      <w:r w:rsidR="00A170B7" w:rsidRPr="00A47266">
        <w:rPr>
          <w:lang w:val="fr-FR"/>
        </w:rPr>
        <w:t>du</w:t>
      </w:r>
      <w:r w:rsidR="00834135">
        <w:rPr>
          <w:lang w:val="fr-FR"/>
        </w:rPr>
        <w:t xml:space="preserve"> </w:t>
      </w:r>
      <w:r w:rsidR="00A170B7" w:rsidRPr="00A47266">
        <w:rPr>
          <w:lang w:val="fr-FR"/>
        </w:rPr>
        <w:t>transport</w:t>
      </w:r>
      <w:r w:rsidR="00834135">
        <w:rPr>
          <w:lang w:val="fr-FR"/>
        </w:rPr>
        <w:t xml:space="preserve"> </w:t>
      </w:r>
      <w:r w:rsidR="00834135">
        <w:rPr>
          <w:lang w:val="fr-FR"/>
        </w:rPr>
        <w:br/>
      </w:r>
      <w:r w:rsidR="00A170B7" w:rsidRPr="00A47266">
        <w:rPr>
          <w:lang w:val="fr-FR"/>
        </w:rPr>
        <w:t>frigorifique</w:t>
      </w:r>
      <w:r w:rsidR="00834135">
        <w:rPr>
          <w:lang w:val="fr-FR"/>
        </w:rPr>
        <w:t xml:space="preserve"> </w:t>
      </w:r>
      <w:r w:rsidR="00A170B7" w:rsidRPr="00A47266">
        <w:rPr>
          <w:lang w:val="fr-FR"/>
        </w:rPr>
        <w:t>de</w:t>
      </w:r>
      <w:r w:rsidR="00834135">
        <w:rPr>
          <w:lang w:val="fr-FR"/>
        </w:rPr>
        <w:t xml:space="preserve"> </w:t>
      </w:r>
      <w:r w:rsidR="00A170B7" w:rsidRPr="00A47266">
        <w:rPr>
          <w:lang w:val="fr-FR"/>
        </w:rPr>
        <w:t>l’IIF</w:t>
      </w:r>
      <w:r w:rsidR="00834135">
        <w:rPr>
          <w:lang w:val="fr-FR"/>
        </w:rPr>
        <w:t xml:space="preserve"> </w:t>
      </w:r>
      <w:r w:rsidR="00A170B7" w:rsidRPr="00A47266">
        <w:rPr>
          <w:lang w:val="fr-FR"/>
        </w:rPr>
        <w:t>(questions</w:t>
      </w:r>
      <w:r w:rsidR="00834135">
        <w:rPr>
          <w:lang w:val="fr-FR"/>
        </w:rPr>
        <w:t xml:space="preserve"> </w:t>
      </w:r>
      <w:r w:rsidR="00A170B7" w:rsidRPr="00A47266">
        <w:rPr>
          <w:lang w:val="fr-FR"/>
        </w:rPr>
        <w:t>en</w:t>
      </w:r>
      <w:r w:rsidR="00834135">
        <w:rPr>
          <w:lang w:val="fr-FR"/>
        </w:rPr>
        <w:t xml:space="preserve"> </w:t>
      </w:r>
      <w:r w:rsidR="00A170B7" w:rsidRPr="00A47266">
        <w:rPr>
          <w:lang w:val="fr-FR"/>
        </w:rPr>
        <w:t>suspens)</w:t>
      </w:r>
      <w:r w:rsidRPr="00A47266">
        <w:rPr>
          <w:noProof/>
          <w:webHidden/>
        </w:rPr>
        <w:tab/>
      </w:r>
      <w:r w:rsidRPr="00A47266">
        <w:rPr>
          <w:noProof/>
          <w:webHidden/>
        </w:rPr>
        <w:tab/>
        <w:t>51–53</w:t>
      </w:r>
      <w:r w:rsidRPr="00A47266">
        <w:rPr>
          <w:noProof/>
          <w:webHidden/>
        </w:rPr>
        <w:tab/>
      </w:r>
      <w:r w:rsidR="00FB7F7F">
        <w:rPr>
          <w:noProof/>
          <w:webHidden/>
        </w:rPr>
        <w:t>11</w:t>
      </w:r>
    </w:p>
    <w:p w14:paraId="78C72E11" w14:textId="43729F72" w:rsidR="00FB1683" w:rsidRPr="00A47266" w:rsidRDefault="00FB1683" w:rsidP="00FB1683">
      <w:pPr>
        <w:tabs>
          <w:tab w:val="right" w:leader="dot" w:pos="7654"/>
          <w:tab w:val="right" w:pos="8929"/>
          <w:tab w:val="right" w:pos="9638"/>
        </w:tabs>
        <w:spacing w:after="120"/>
        <w:ind w:left="1559" w:hanging="425"/>
        <w:rPr>
          <w:noProof/>
        </w:rPr>
      </w:pPr>
      <w:r w:rsidRPr="00A47266">
        <w:rPr>
          <w:rStyle w:val="Lienhypertexte"/>
          <w:noProof/>
          <w:color w:val="auto"/>
        </w:rPr>
        <w:t>B.</w:t>
      </w:r>
      <w:r w:rsidRPr="00A47266">
        <w:rPr>
          <w:noProof/>
        </w:rPr>
        <w:tab/>
      </w:r>
      <w:r w:rsidR="00A170B7" w:rsidRPr="00A47266">
        <w:rPr>
          <w:lang w:val="fr-FR"/>
        </w:rPr>
        <w:t>Nouvelles</w:t>
      </w:r>
      <w:r w:rsidR="00834135">
        <w:rPr>
          <w:lang w:val="fr-FR"/>
        </w:rPr>
        <w:t xml:space="preserve"> </w:t>
      </w:r>
      <w:r w:rsidR="00A170B7" w:rsidRPr="00A47266">
        <w:rPr>
          <w:lang w:val="fr-FR"/>
        </w:rPr>
        <w:t>propositions</w:t>
      </w:r>
      <w:r w:rsidRPr="00A47266">
        <w:rPr>
          <w:noProof/>
          <w:webHidden/>
        </w:rPr>
        <w:tab/>
      </w:r>
      <w:r w:rsidRPr="00A47266">
        <w:rPr>
          <w:noProof/>
          <w:webHidden/>
        </w:rPr>
        <w:tab/>
        <w:t>54–73</w:t>
      </w:r>
      <w:r w:rsidRPr="00A47266">
        <w:rPr>
          <w:noProof/>
          <w:webHidden/>
        </w:rPr>
        <w:tab/>
      </w:r>
      <w:r w:rsidR="00FB7F7F">
        <w:rPr>
          <w:noProof/>
          <w:webHidden/>
        </w:rPr>
        <w:t>12</w:t>
      </w:r>
    </w:p>
    <w:p w14:paraId="0C3F2D2D" w14:textId="1B0EC215" w:rsidR="00FB1683" w:rsidRPr="00A47266" w:rsidRDefault="00FB1683" w:rsidP="00FB1683">
      <w:pPr>
        <w:tabs>
          <w:tab w:val="right" w:leader="dot" w:pos="7654"/>
          <w:tab w:val="right" w:pos="8929"/>
          <w:tab w:val="right" w:pos="9638"/>
        </w:tabs>
        <w:spacing w:after="120"/>
        <w:ind w:left="1984" w:hanging="425"/>
        <w:rPr>
          <w:noProof/>
        </w:rPr>
      </w:pPr>
      <w:r w:rsidRPr="00A47266">
        <w:rPr>
          <w:rStyle w:val="Lienhypertexte"/>
          <w:noProof/>
          <w:color w:val="auto"/>
        </w:rPr>
        <w:t>1.</w:t>
      </w:r>
      <w:r w:rsidRPr="00A47266">
        <w:rPr>
          <w:noProof/>
        </w:rPr>
        <w:tab/>
      </w:r>
      <w:r w:rsidR="00A170B7" w:rsidRPr="00A47266">
        <w:rPr>
          <w:lang w:val="fr-FR"/>
        </w:rPr>
        <w:t>Proposition</w:t>
      </w:r>
      <w:r w:rsidR="00834135">
        <w:rPr>
          <w:lang w:val="fr-FR"/>
        </w:rPr>
        <w:t xml:space="preserve"> </w:t>
      </w:r>
      <w:r w:rsidR="00A170B7" w:rsidRPr="00A47266">
        <w:rPr>
          <w:lang w:val="fr-FR"/>
        </w:rPr>
        <w:t>d’amendement</w:t>
      </w:r>
      <w:r w:rsidR="00834135">
        <w:rPr>
          <w:lang w:val="fr-FR"/>
        </w:rPr>
        <w:t xml:space="preserve"> </w:t>
      </w:r>
      <w:r w:rsidR="00A170B7" w:rsidRPr="00A47266">
        <w:rPr>
          <w:lang w:val="fr-FR"/>
        </w:rPr>
        <w:t>au</w:t>
      </w:r>
      <w:r w:rsidR="00834135">
        <w:rPr>
          <w:lang w:val="fr-FR"/>
        </w:rPr>
        <w:t xml:space="preserve"> </w:t>
      </w:r>
      <w:r w:rsidR="00A170B7" w:rsidRPr="00A47266">
        <w:rPr>
          <w:lang w:val="fr-FR"/>
        </w:rPr>
        <w:t>paragraphe</w:t>
      </w:r>
      <w:r w:rsidR="00834135">
        <w:rPr>
          <w:lang w:val="fr-FR"/>
        </w:rPr>
        <w:t xml:space="preserve"> </w:t>
      </w:r>
      <w:r w:rsidR="00A170B7" w:rsidRPr="00A47266">
        <w:rPr>
          <w:lang w:val="fr-FR"/>
        </w:rPr>
        <w:t>6.2.2</w:t>
      </w:r>
      <w:r w:rsidRPr="00A47266">
        <w:rPr>
          <w:noProof/>
          <w:webHidden/>
        </w:rPr>
        <w:tab/>
      </w:r>
      <w:r w:rsidRPr="00A47266">
        <w:rPr>
          <w:noProof/>
          <w:webHidden/>
        </w:rPr>
        <w:tab/>
        <w:t>54–55</w:t>
      </w:r>
      <w:r w:rsidRPr="00A47266">
        <w:rPr>
          <w:noProof/>
          <w:webHidden/>
        </w:rPr>
        <w:tab/>
      </w:r>
      <w:r w:rsidR="00FB7F7F">
        <w:rPr>
          <w:noProof/>
          <w:webHidden/>
        </w:rPr>
        <w:t>12</w:t>
      </w:r>
    </w:p>
    <w:p w14:paraId="6EB4D982" w14:textId="2D883115" w:rsidR="00FB1683" w:rsidRPr="00A47266" w:rsidRDefault="00FB1683" w:rsidP="00FB1683">
      <w:pPr>
        <w:tabs>
          <w:tab w:val="right" w:leader="dot" w:pos="7654"/>
          <w:tab w:val="right" w:pos="8929"/>
          <w:tab w:val="right" w:pos="9638"/>
        </w:tabs>
        <w:spacing w:after="120"/>
        <w:ind w:left="1984" w:hanging="425"/>
        <w:rPr>
          <w:noProof/>
        </w:rPr>
      </w:pPr>
      <w:r w:rsidRPr="00A47266">
        <w:rPr>
          <w:rStyle w:val="Lienhypertexte"/>
          <w:noProof/>
          <w:color w:val="auto"/>
        </w:rPr>
        <w:lastRenderedPageBreak/>
        <w:t>2.</w:t>
      </w:r>
      <w:r w:rsidRPr="00A47266">
        <w:rPr>
          <w:noProof/>
        </w:rPr>
        <w:tab/>
      </w:r>
      <w:r w:rsidR="00A170B7" w:rsidRPr="00A47266">
        <w:rPr>
          <w:lang w:val="fr-FR"/>
        </w:rPr>
        <w:t>Proposition</w:t>
      </w:r>
      <w:r w:rsidR="00834135">
        <w:rPr>
          <w:lang w:val="fr-FR"/>
        </w:rPr>
        <w:t xml:space="preserve"> </w:t>
      </w:r>
      <w:r w:rsidR="00A170B7" w:rsidRPr="00A47266">
        <w:rPr>
          <w:lang w:val="fr-FR"/>
        </w:rPr>
        <w:t>de</w:t>
      </w:r>
      <w:r w:rsidR="00834135">
        <w:rPr>
          <w:lang w:val="fr-FR"/>
        </w:rPr>
        <w:t xml:space="preserve"> </w:t>
      </w:r>
      <w:r w:rsidR="00A170B7" w:rsidRPr="00A47266">
        <w:rPr>
          <w:lang w:val="fr-FR"/>
        </w:rPr>
        <w:t>liste</w:t>
      </w:r>
      <w:r w:rsidR="00834135">
        <w:rPr>
          <w:lang w:val="fr-FR"/>
        </w:rPr>
        <w:t xml:space="preserve"> </w:t>
      </w:r>
      <w:r w:rsidR="00A170B7" w:rsidRPr="00A47266">
        <w:rPr>
          <w:lang w:val="fr-FR"/>
        </w:rPr>
        <w:t>des</w:t>
      </w:r>
      <w:r w:rsidR="00834135">
        <w:rPr>
          <w:lang w:val="fr-FR"/>
        </w:rPr>
        <w:t xml:space="preserve"> </w:t>
      </w:r>
      <w:r w:rsidR="00A170B7" w:rsidRPr="00A47266">
        <w:rPr>
          <w:lang w:val="fr-FR"/>
        </w:rPr>
        <w:t>principaux</w:t>
      </w:r>
      <w:r w:rsidR="00834135">
        <w:rPr>
          <w:lang w:val="fr-FR"/>
        </w:rPr>
        <w:t xml:space="preserve"> </w:t>
      </w:r>
      <w:r w:rsidR="00A170B7" w:rsidRPr="00A47266">
        <w:rPr>
          <w:lang w:val="fr-FR"/>
        </w:rPr>
        <w:t>composants</w:t>
      </w:r>
      <w:r w:rsidR="00834135">
        <w:rPr>
          <w:lang w:val="fr-FR"/>
        </w:rPr>
        <w:t xml:space="preserve"> </w:t>
      </w:r>
      <w:r w:rsidR="00834135">
        <w:rPr>
          <w:lang w:val="fr-FR"/>
        </w:rPr>
        <w:br/>
      </w:r>
      <w:r w:rsidR="00A170B7" w:rsidRPr="00A47266">
        <w:rPr>
          <w:lang w:val="fr-FR"/>
        </w:rPr>
        <w:t>et</w:t>
      </w:r>
      <w:r w:rsidR="00834135">
        <w:rPr>
          <w:lang w:val="fr-FR"/>
        </w:rPr>
        <w:t xml:space="preserve"> </w:t>
      </w:r>
      <w:r w:rsidR="00A170B7" w:rsidRPr="00A47266">
        <w:rPr>
          <w:lang w:val="fr-FR"/>
        </w:rPr>
        <w:t>de</w:t>
      </w:r>
      <w:r w:rsidR="00834135">
        <w:rPr>
          <w:lang w:val="fr-FR"/>
        </w:rPr>
        <w:t xml:space="preserve"> </w:t>
      </w:r>
      <w:r w:rsidR="00A170B7" w:rsidRPr="00A47266">
        <w:rPr>
          <w:lang w:val="fr-FR"/>
        </w:rPr>
        <w:t>leurs</w:t>
      </w:r>
      <w:r w:rsidR="00834135">
        <w:rPr>
          <w:lang w:val="fr-FR"/>
        </w:rPr>
        <w:t xml:space="preserve"> </w:t>
      </w:r>
      <w:r w:rsidR="00A170B7" w:rsidRPr="00A47266">
        <w:rPr>
          <w:lang w:val="fr-FR"/>
        </w:rPr>
        <w:t>caractéristiques</w:t>
      </w:r>
      <w:r w:rsidR="00834135">
        <w:rPr>
          <w:lang w:val="fr-FR"/>
        </w:rPr>
        <w:t xml:space="preserve"> </w:t>
      </w:r>
      <w:r w:rsidR="00A170B7" w:rsidRPr="00A47266">
        <w:rPr>
          <w:lang w:val="fr-FR"/>
        </w:rPr>
        <w:t>essentielles</w:t>
      </w:r>
      <w:r w:rsidRPr="00A47266">
        <w:rPr>
          <w:noProof/>
          <w:webHidden/>
        </w:rPr>
        <w:tab/>
      </w:r>
      <w:r w:rsidRPr="00A47266">
        <w:rPr>
          <w:noProof/>
          <w:webHidden/>
        </w:rPr>
        <w:tab/>
        <w:t>56</w:t>
      </w:r>
      <w:r w:rsidRPr="00A47266">
        <w:rPr>
          <w:noProof/>
          <w:webHidden/>
        </w:rPr>
        <w:tab/>
      </w:r>
      <w:r w:rsidR="00FB7F7F">
        <w:rPr>
          <w:noProof/>
          <w:webHidden/>
        </w:rPr>
        <w:t>12</w:t>
      </w:r>
    </w:p>
    <w:p w14:paraId="2B0938FA" w14:textId="2A2BF18B" w:rsidR="00FB1683" w:rsidRPr="00A47266" w:rsidRDefault="00FB1683" w:rsidP="00FB1683">
      <w:pPr>
        <w:tabs>
          <w:tab w:val="right" w:leader="dot" w:pos="7654"/>
          <w:tab w:val="right" w:pos="8929"/>
          <w:tab w:val="right" w:pos="9638"/>
        </w:tabs>
        <w:spacing w:after="120"/>
        <w:ind w:left="1984" w:hanging="425"/>
        <w:rPr>
          <w:noProof/>
          <w:webHidden/>
        </w:rPr>
      </w:pPr>
      <w:r w:rsidRPr="00A47266">
        <w:rPr>
          <w:rStyle w:val="Lienhypertexte"/>
          <w:noProof/>
          <w:color w:val="auto"/>
        </w:rPr>
        <w:t>3.</w:t>
      </w:r>
      <w:r w:rsidRPr="00A47266">
        <w:rPr>
          <w:noProof/>
        </w:rPr>
        <w:tab/>
      </w:r>
      <w:r w:rsidR="00A170B7" w:rsidRPr="00A47266">
        <w:rPr>
          <w:lang w:val="fr-FR"/>
        </w:rPr>
        <w:t>Prescriptions</w:t>
      </w:r>
      <w:r w:rsidR="00834135">
        <w:rPr>
          <w:lang w:val="fr-FR"/>
        </w:rPr>
        <w:t xml:space="preserve"> </w:t>
      </w:r>
      <w:r w:rsidR="00A170B7" w:rsidRPr="00A47266">
        <w:rPr>
          <w:lang w:val="fr-FR"/>
        </w:rPr>
        <w:t>relatives</w:t>
      </w:r>
      <w:r w:rsidR="00834135">
        <w:rPr>
          <w:lang w:val="fr-FR"/>
        </w:rPr>
        <w:t xml:space="preserve"> </w:t>
      </w:r>
      <w:r w:rsidR="00A170B7" w:rsidRPr="00A47266">
        <w:rPr>
          <w:lang w:val="fr-FR"/>
        </w:rPr>
        <w:t>à</w:t>
      </w:r>
      <w:r w:rsidR="00834135">
        <w:rPr>
          <w:lang w:val="fr-FR"/>
        </w:rPr>
        <w:t xml:space="preserve"> </w:t>
      </w:r>
      <w:r w:rsidR="00A170B7" w:rsidRPr="00A47266">
        <w:rPr>
          <w:lang w:val="fr-FR"/>
        </w:rPr>
        <w:t>l’installation</w:t>
      </w:r>
      <w:r w:rsidR="00834135">
        <w:rPr>
          <w:lang w:val="fr-FR"/>
        </w:rPr>
        <w:t xml:space="preserve"> </w:t>
      </w:r>
      <w:r w:rsidR="00A170B7" w:rsidRPr="00A47266">
        <w:rPr>
          <w:lang w:val="fr-FR"/>
        </w:rPr>
        <w:t>de</w:t>
      </w:r>
      <w:r w:rsidR="00834135">
        <w:rPr>
          <w:lang w:val="fr-FR"/>
        </w:rPr>
        <w:t xml:space="preserve"> </w:t>
      </w:r>
      <w:r w:rsidR="00A170B7" w:rsidRPr="00A47266">
        <w:rPr>
          <w:lang w:val="fr-FR"/>
        </w:rPr>
        <w:t>groupes</w:t>
      </w:r>
      <w:r w:rsidR="00834135">
        <w:rPr>
          <w:lang w:val="fr-FR"/>
        </w:rPr>
        <w:t xml:space="preserve"> </w:t>
      </w:r>
      <w:r w:rsidR="00A170B7" w:rsidRPr="00A47266">
        <w:rPr>
          <w:lang w:val="fr-FR"/>
        </w:rPr>
        <w:t>frigorifiques</w:t>
      </w:r>
      <w:r w:rsidR="00834135">
        <w:rPr>
          <w:lang w:val="fr-FR"/>
        </w:rPr>
        <w:t xml:space="preserve"> </w:t>
      </w:r>
      <w:r w:rsidR="00834135">
        <w:rPr>
          <w:lang w:val="fr-FR"/>
        </w:rPr>
        <w:br/>
      </w:r>
      <w:r w:rsidR="00A170B7" w:rsidRPr="00A47266">
        <w:rPr>
          <w:lang w:val="fr-FR"/>
        </w:rPr>
        <w:t>sur</w:t>
      </w:r>
      <w:r w:rsidR="00834135">
        <w:rPr>
          <w:lang w:val="fr-FR"/>
        </w:rPr>
        <w:t xml:space="preserve"> </w:t>
      </w:r>
      <w:r w:rsidR="00A170B7" w:rsidRPr="00A47266">
        <w:rPr>
          <w:lang w:val="fr-FR"/>
        </w:rPr>
        <w:t>les</w:t>
      </w:r>
      <w:r w:rsidR="00834135">
        <w:rPr>
          <w:lang w:val="fr-FR"/>
        </w:rPr>
        <w:t xml:space="preserve"> </w:t>
      </w:r>
      <w:r w:rsidR="00A170B7" w:rsidRPr="00A47266">
        <w:rPr>
          <w:lang w:val="fr-FR"/>
        </w:rPr>
        <w:t>engins</w:t>
      </w:r>
      <w:r w:rsidRPr="00A47266">
        <w:rPr>
          <w:noProof/>
        </w:rPr>
        <w:tab/>
      </w:r>
      <w:r w:rsidRPr="00A47266">
        <w:rPr>
          <w:noProof/>
        </w:rPr>
        <w:tab/>
        <w:t>57–58</w:t>
      </w:r>
      <w:r w:rsidRPr="00A47266">
        <w:rPr>
          <w:noProof/>
          <w:webHidden/>
        </w:rPr>
        <w:tab/>
      </w:r>
      <w:r w:rsidR="00FB7F7F">
        <w:rPr>
          <w:noProof/>
          <w:webHidden/>
        </w:rPr>
        <w:t>12</w:t>
      </w:r>
    </w:p>
    <w:p w14:paraId="1BDBA644" w14:textId="51CDECF7" w:rsidR="00FB1683" w:rsidRPr="00A47266" w:rsidRDefault="00FB1683" w:rsidP="00FB1683">
      <w:pPr>
        <w:tabs>
          <w:tab w:val="right" w:leader="dot" w:pos="7654"/>
          <w:tab w:val="right" w:pos="8929"/>
          <w:tab w:val="right" w:pos="9638"/>
        </w:tabs>
        <w:spacing w:after="120"/>
        <w:ind w:left="1984" w:hanging="425"/>
      </w:pPr>
      <w:r w:rsidRPr="00A47266">
        <w:rPr>
          <w:noProof/>
          <w:webHidden/>
        </w:rPr>
        <w:t>4.</w:t>
      </w:r>
      <w:r w:rsidRPr="00A47266">
        <w:rPr>
          <w:noProof/>
          <w:webHidden/>
        </w:rPr>
        <w:tab/>
      </w:r>
      <w:r w:rsidR="00A170B7" w:rsidRPr="00A47266">
        <w:rPr>
          <w:lang w:val="fr-FR"/>
        </w:rPr>
        <w:t>Vérification</w:t>
      </w:r>
      <w:r w:rsidR="00834135">
        <w:rPr>
          <w:lang w:val="fr-FR"/>
        </w:rPr>
        <w:t xml:space="preserve"> </w:t>
      </w:r>
      <w:r w:rsidR="00A170B7" w:rsidRPr="00A47266">
        <w:rPr>
          <w:lang w:val="fr-FR"/>
        </w:rPr>
        <w:t>périodique</w:t>
      </w:r>
      <w:r w:rsidR="00834135">
        <w:rPr>
          <w:lang w:val="fr-FR"/>
        </w:rPr>
        <w:t xml:space="preserve"> </w:t>
      </w:r>
      <w:r w:rsidR="00A170B7" w:rsidRPr="00A47266">
        <w:rPr>
          <w:lang w:val="fr-FR"/>
        </w:rPr>
        <w:t>des</w:t>
      </w:r>
      <w:r w:rsidR="00834135">
        <w:rPr>
          <w:lang w:val="fr-FR"/>
        </w:rPr>
        <w:t xml:space="preserve"> </w:t>
      </w:r>
      <w:r w:rsidR="00A170B7" w:rsidRPr="00A47266">
        <w:rPr>
          <w:lang w:val="fr-FR"/>
        </w:rPr>
        <w:t>enregistreurs</w:t>
      </w:r>
      <w:r w:rsidR="00834135">
        <w:rPr>
          <w:lang w:val="fr-FR"/>
        </w:rPr>
        <w:t xml:space="preserve"> </w:t>
      </w:r>
      <w:r w:rsidR="00A170B7" w:rsidRPr="00A47266">
        <w:rPr>
          <w:lang w:val="fr-FR"/>
        </w:rPr>
        <w:t>de</w:t>
      </w:r>
      <w:r w:rsidR="00834135">
        <w:rPr>
          <w:lang w:val="fr-FR"/>
        </w:rPr>
        <w:t xml:space="preserve"> </w:t>
      </w:r>
      <w:r w:rsidR="00A170B7" w:rsidRPr="00A47266">
        <w:rPr>
          <w:lang w:val="fr-FR"/>
        </w:rPr>
        <w:t>température</w:t>
      </w:r>
      <w:r w:rsidRPr="00A47266">
        <w:tab/>
      </w:r>
      <w:r w:rsidRPr="00A47266">
        <w:tab/>
        <w:t>59</w:t>
      </w:r>
      <w:r w:rsidRPr="00A47266">
        <w:tab/>
      </w:r>
      <w:r w:rsidR="00FB7F7F">
        <w:t>12</w:t>
      </w:r>
    </w:p>
    <w:p w14:paraId="54863134" w14:textId="3BE3A616" w:rsidR="00FB1683" w:rsidRPr="00A47266" w:rsidRDefault="00FB1683" w:rsidP="00FB1683">
      <w:pPr>
        <w:tabs>
          <w:tab w:val="right" w:leader="dot" w:pos="7654"/>
          <w:tab w:val="right" w:pos="8929"/>
          <w:tab w:val="right" w:pos="9638"/>
        </w:tabs>
        <w:spacing w:after="120"/>
        <w:ind w:left="1984" w:hanging="425"/>
      </w:pPr>
      <w:r w:rsidRPr="00A47266">
        <w:t>5.</w:t>
      </w:r>
      <w:r w:rsidRPr="00A47266">
        <w:tab/>
      </w:r>
      <w:r w:rsidR="00A170B7" w:rsidRPr="00A47266">
        <w:rPr>
          <w:lang w:val="fr-FR"/>
        </w:rPr>
        <w:t>Groupes</w:t>
      </w:r>
      <w:r w:rsidR="00834135">
        <w:rPr>
          <w:lang w:val="fr-FR"/>
        </w:rPr>
        <w:t xml:space="preserve"> </w:t>
      </w:r>
      <w:r w:rsidR="00A170B7" w:rsidRPr="00A47266">
        <w:rPr>
          <w:lang w:val="fr-FR"/>
        </w:rPr>
        <w:t>frigorifiques</w:t>
      </w:r>
      <w:r w:rsidR="00834135">
        <w:rPr>
          <w:lang w:val="fr-FR"/>
        </w:rPr>
        <w:t xml:space="preserve"> </w:t>
      </w:r>
      <w:r w:rsidR="00A170B7" w:rsidRPr="00A47266">
        <w:rPr>
          <w:lang w:val="fr-FR"/>
        </w:rPr>
        <w:t>entraînés</w:t>
      </w:r>
      <w:r w:rsidR="00834135">
        <w:rPr>
          <w:lang w:val="fr-FR"/>
        </w:rPr>
        <w:t xml:space="preserve"> </w:t>
      </w:r>
      <w:r w:rsidR="00A170B7" w:rsidRPr="00A47266">
        <w:rPr>
          <w:lang w:val="fr-FR"/>
        </w:rPr>
        <w:t>par</w:t>
      </w:r>
      <w:r w:rsidR="00834135">
        <w:rPr>
          <w:lang w:val="fr-FR"/>
        </w:rPr>
        <w:t xml:space="preserve"> </w:t>
      </w:r>
      <w:r w:rsidR="00A170B7" w:rsidRPr="00A47266">
        <w:rPr>
          <w:lang w:val="fr-FR"/>
        </w:rPr>
        <w:t>le</w:t>
      </w:r>
      <w:r w:rsidR="00834135">
        <w:rPr>
          <w:lang w:val="fr-FR"/>
        </w:rPr>
        <w:t xml:space="preserve"> </w:t>
      </w:r>
      <w:r w:rsidR="00A170B7" w:rsidRPr="00A47266">
        <w:rPr>
          <w:lang w:val="fr-FR"/>
        </w:rPr>
        <w:t>déplacement</w:t>
      </w:r>
      <w:r w:rsidR="00834135">
        <w:rPr>
          <w:lang w:val="fr-FR"/>
        </w:rPr>
        <w:t xml:space="preserve"> </w:t>
      </w:r>
      <w:r w:rsidR="00A170B7" w:rsidRPr="00A47266">
        <w:rPr>
          <w:lang w:val="fr-FR"/>
        </w:rPr>
        <w:t>du</w:t>
      </w:r>
      <w:r w:rsidR="00834135">
        <w:rPr>
          <w:lang w:val="fr-FR"/>
        </w:rPr>
        <w:t xml:space="preserve"> </w:t>
      </w:r>
      <w:r w:rsidR="00A170B7" w:rsidRPr="00A47266">
        <w:rPr>
          <w:lang w:val="fr-FR"/>
        </w:rPr>
        <w:t>véhicule</w:t>
      </w:r>
      <w:r w:rsidRPr="00A47266">
        <w:tab/>
      </w:r>
      <w:r w:rsidRPr="00A47266">
        <w:tab/>
        <w:t>60–61</w:t>
      </w:r>
      <w:r w:rsidRPr="00A47266">
        <w:tab/>
      </w:r>
      <w:r w:rsidR="00FB7F7F">
        <w:t>12</w:t>
      </w:r>
    </w:p>
    <w:p w14:paraId="3B1A8211" w14:textId="1CF47464" w:rsidR="00FB1683" w:rsidRPr="00A47266" w:rsidRDefault="00FB1683" w:rsidP="00FB1683">
      <w:pPr>
        <w:tabs>
          <w:tab w:val="right" w:leader="dot" w:pos="7654"/>
          <w:tab w:val="right" w:pos="8929"/>
          <w:tab w:val="right" w:pos="9638"/>
        </w:tabs>
        <w:spacing w:after="120"/>
        <w:ind w:left="1984" w:hanging="425"/>
      </w:pPr>
      <w:r w:rsidRPr="00A47266">
        <w:t>6.</w:t>
      </w:r>
      <w:r w:rsidRPr="00A47266">
        <w:tab/>
      </w:r>
      <w:r w:rsidR="00A170B7" w:rsidRPr="00A47266">
        <w:rPr>
          <w:lang w:val="fr-FR"/>
        </w:rPr>
        <w:t>Amendements</w:t>
      </w:r>
      <w:r w:rsidR="00834135">
        <w:rPr>
          <w:lang w:val="fr-FR"/>
        </w:rPr>
        <w:t xml:space="preserve"> </w:t>
      </w:r>
      <w:r w:rsidR="00A170B7" w:rsidRPr="00A47266">
        <w:rPr>
          <w:lang w:val="fr-FR"/>
        </w:rPr>
        <w:t>au</w:t>
      </w:r>
      <w:r w:rsidR="00834135">
        <w:rPr>
          <w:lang w:val="fr-FR"/>
        </w:rPr>
        <w:t xml:space="preserve"> </w:t>
      </w:r>
      <w:r w:rsidR="00A170B7" w:rsidRPr="00A47266">
        <w:rPr>
          <w:lang w:val="fr-FR"/>
        </w:rPr>
        <w:t>paragraphe</w:t>
      </w:r>
      <w:r w:rsidR="00834135">
        <w:rPr>
          <w:lang w:val="fr-FR"/>
        </w:rPr>
        <w:t xml:space="preserve"> </w:t>
      </w:r>
      <w:r w:rsidR="00A170B7" w:rsidRPr="00A47266">
        <w:rPr>
          <w:lang w:val="fr-FR"/>
        </w:rPr>
        <w:t>1</w:t>
      </w:r>
      <w:r w:rsidR="00834135">
        <w:rPr>
          <w:lang w:val="fr-FR"/>
        </w:rPr>
        <w:t xml:space="preserve"> </w:t>
      </w:r>
      <w:r w:rsidR="00A170B7" w:rsidRPr="00A47266">
        <w:rPr>
          <w:lang w:val="fr-FR"/>
        </w:rPr>
        <w:t>de</w:t>
      </w:r>
      <w:r w:rsidR="00834135">
        <w:rPr>
          <w:lang w:val="fr-FR"/>
        </w:rPr>
        <w:t xml:space="preserve"> </w:t>
      </w:r>
      <w:r w:rsidR="00A170B7" w:rsidRPr="00A47266">
        <w:rPr>
          <w:lang w:val="fr-FR"/>
        </w:rPr>
        <w:t>l’annexe</w:t>
      </w:r>
      <w:r w:rsidR="00834135">
        <w:rPr>
          <w:lang w:val="fr-FR"/>
        </w:rPr>
        <w:t xml:space="preserve"> </w:t>
      </w:r>
      <w:r w:rsidR="00A170B7" w:rsidRPr="00A47266">
        <w:rPr>
          <w:lang w:val="fr-FR"/>
        </w:rPr>
        <w:t>1</w:t>
      </w:r>
      <w:r w:rsidR="00834135">
        <w:rPr>
          <w:lang w:val="fr-FR"/>
        </w:rPr>
        <w:t xml:space="preserve"> </w:t>
      </w:r>
      <w:r w:rsidR="00A170B7" w:rsidRPr="00A47266">
        <w:rPr>
          <w:lang w:val="fr-FR"/>
        </w:rPr>
        <w:t>et</w:t>
      </w:r>
      <w:r w:rsidR="00834135">
        <w:rPr>
          <w:lang w:val="fr-FR"/>
        </w:rPr>
        <w:t xml:space="preserve"> </w:t>
      </w:r>
      <w:r w:rsidR="00A170B7" w:rsidRPr="00A47266">
        <w:rPr>
          <w:lang w:val="fr-FR"/>
        </w:rPr>
        <w:t>à</w:t>
      </w:r>
      <w:r w:rsidR="00834135">
        <w:rPr>
          <w:lang w:val="fr-FR"/>
        </w:rPr>
        <w:t xml:space="preserve"> </w:t>
      </w:r>
      <w:r w:rsidR="00A170B7" w:rsidRPr="00A47266">
        <w:rPr>
          <w:lang w:val="fr-FR"/>
        </w:rPr>
        <w:t>l’appendice</w:t>
      </w:r>
      <w:r w:rsidR="00834135">
        <w:rPr>
          <w:lang w:val="fr-FR"/>
        </w:rPr>
        <w:t xml:space="preserve"> </w:t>
      </w:r>
      <w:r w:rsidR="00A170B7" w:rsidRPr="00A47266">
        <w:rPr>
          <w:lang w:val="fr-FR"/>
        </w:rPr>
        <w:t>4</w:t>
      </w:r>
      <w:r w:rsidR="00834135">
        <w:rPr>
          <w:lang w:val="fr-FR"/>
        </w:rPr>
        <w:t xml:space="preserve"> </w:t>
      </w:r>
      <w:r w:rsidR="00834135">
        <w:rPr>
          <w:lang w:val="fr-FR"/>
        </w:rPr>
        <w:br/>
      </w:r>
      <w:r w:rsidR="00A170B7" w:rsidRPr="00A47266">
        <w:rPr>
          <w:lang w:val="fr-FR"/>
        </w:rPr>
        <w:t>de</w:t>
      </w:r>
      <w:r w:rsidR="00834135">
        <w:rPr>
          <w:lang w:val="fr-FR"/>
        </w:rPr>
        <w:t xml:space="preserve"> </w:t>
      </w:r>
      <w:r w:rsidR="00A170B7" w:rsidRPr="00A47266">
        <w:rPr>
          <w:lang w:val="fr-FR"/>
        </w:rPr>
        <w:t>l’annexe</w:t>
      </w:r>
      <w:r w:rsidR="00834135">
        <w:rPr>
          <w:lang w:val="fr-FR"/>
        </w:rPr>
        <w:t xml:space="preserve"> </w:t>
      </w:r>
      <w:r w:rsidR="00A170B7" w:rsidRPr="00A47266">
        <w:rPr>
          <w:lang w:val="fr-FR"/>
        </w:rPr>
        <w:t>1</w:t>
      </w:r>
      <w:r w:rsidRPr="00A47266">
        <w:tab/>
      </w:r>
      <w:r w:rsidRPr="00A47266">
        <w:tab/>
        <w:t>62–63</w:t>
      </w:r>
      <w:r w:rsidRPr="00A47266">
        <w:tab/>
      </w:r>
      <w:r w:rsidR="00FB7F7F">
        <w:t>13</w:t>
      </w:r>
    </w:p>
    <w:p w14:paraId="02FC886B" w14:textId="5581AC92" w:rsidR="00FB1683" w:rsidRPr="00A47266" w:rsidRDefault="00FB1683" w:rsidP="00FB1683">
      <w:pPr>
        <w:tabs>
          <w:tab w:val="right" w:leader="dot" w:pos="7654"/>
          <w:tab w:val="right" w:pos="8929"/>
          <w:tab w:val="right" w:pos="9638"/>
        </w:tabs>
        <w:spacing w:after="120"/>
        <w:ind w:left="1984" w:hanging="425"/>
        <w:rPr>
          <w:iCs/>
          <w:lang w:val="fr-FR"/>
        </w:rPr>
      </w:pPr>
      <w:r w:rsidRPr="00A47266">
        <w:rPr>
          <w:iCs/>
          <w:lang w:val="fr-FR"/>
        </w:rPr>
        <w:t>7.</w:t>
      </w:r>
      <w:r w:rsidRPr="00A47266">
        <w:rPr>
          <w:iCs/>
          <w:lang w:val="fr-FR"/>
        </w:rPr>
        <w:tab/>
      </w:r>
      <w:r w:rsidR="00A170B7" w:rsidRPr="00A47266">
        <w:rPr>
          <w:lang w:val="fr-FR"/>
        </w:rPr>
        <w:t>Propositions</w:t>
      </w:r>
      <w:r w:rsidR="00834135">
        <w:rPr>
          <w:lang w:val="fr-FR"/>
        </w:rPr>
        <w:t xml:space="preserve"> </w:t>
      </w:r>
      <w:r w:rsidR="00A170B7" w:rsidRPr="00A47266">
        <w:rPr>
          <w:lang w:val="fr-FR"/>
        </w:rPr>
        <w:t>d’amendements</w:t>
      </w:r>
      <w:r w:rsidRPr="00A47266">
        <w:rPr>
          <w:iCs/>
          <w:lang w:val="fr-FR"/>
        </w:rPr>
        <w:tab/>
      </w:r>
      <w:r w:rsidRPr="00A47266">
        <w:rPr>
          <w:iCs/>
          <w:lang w:val="fr-FR"/>
        </w:rPr>
        <w:tab/>
        <w:t>64</w:t>
      </w:r>
      <w:r w:rsidRPr="00A47266">
        <w:rPr>
          <w:iCs/>
          <w:lang w:val="fr-FR"/>
        </w:rPr>
        <w:tab/>
      </w:r>
      <w:r w:rsidR="00FB7F7F">
        <w:rPr>
          <w:iCs/>
          <w:lang w:val="fr-FR"/>
        </w:rPr>
        <w:t>13</w:t>
      </w:r>
    </w:p>
    <w:p w14:paraId="2D0A13DD" w14:textId="531151F1" w:rsidR="00FB1683" w:rsidRPr="00A47266" w:rsidRDefault="00FB1683" w:rsidP="00FB1683">
      <w:pPr>
        <w:tabs>
          <w:tab w:val="right" w:leader="dot" w:pos="7654"/>
          <w:tab w:val="right" w:pos="8929"/>
          <w:tab w:val="right" w:pos="9638"/>
        </w:tabs>
        <w:spacing w:after="120"/>
        <w:ind w:left="1984" w:hanging="425"/>
      </w:pPr>
      <w:r w:rsidRPr="00A47266">
        <w:t>8.</w:t>
      </w:r>
      <w:r w:rsidRPr="00A47266">
        <w:tab/>
      </w:r>
      <w:r w:rsidR="00A170B7" w:rsidRPr="00A47266">
        <w:rPr>
          <w:lang w:val="fr-FR"/>
        </w:rPr>
        <w:t>Correction</w:t>
      </w:r>
      <w:r w:rsidR="00834135">
        <w:rPr>
          <w:lang w:val="fr-FR"/>
        </w:rPr>
        <w:t xml:space="preserve"> </w:t>
      </w:r>
      <w:r w:rsidR="00A170B7" w:rsidRPr="00A47266">
        <w:rPr>
          <w:lang w:val="fr-FR"/>
        </w:rPr>
        <w:t>à</w:t>
      </w:r>
      <w:r w:rsidR="00834135">
        <w:rPr>
          <w:lang w:val="fr-FR"/>
        </w:rPr>
        <w:t xml:space="preserve"> </w:t>
      </w:r>
      <w:r w:rsidR="00A170B7" w:rsidRPr="00A47266">
        <w:rPr>
          <w:lang w:val="fr-FR"/>
        </w:rPr>
        <w:t>l’article</w:t>
      </w:r>
      <w:r w:rsidR="00834135">
        <w:rPr>
          <w:lang w:val="fr-FR"/>
        </w:rPr>
        <w:t xml:space="preserve"> </w:t>
      </w:r>
      <w:r w:rsidR="00A170B7" w:rsidRPr="00A47266">
        <w:rPr>
          <w:lang w:val="fr-FR"/>
        </w:rPr>
        <w:t>3</w:t>
      </w:r>
      <w:r w:rsidR="00834135">
        <w:rPr>
          <w:lang w:val="fr-FR"/>
        </w:rPr>
        <w:t xml:space="preserve"> </w:t>
      </w:r>
      <w:r w:rsidR="00A170B7" w:rsidRPr="00A47266">
        <w:rPr>
          <w:lang w:val="fr-FR"/>
        </w:rPr>
        <w:t>de</w:t>
      </w:r>
      <w:r w:rsidR="00834135">
        <w:rPr>
          <w:lang w:val="fr-FR"/>
        </w:rPr>
        <w:t xml:space="preserve"> </w:t>
      </w:r>
      <w:r w:rsidR="00A170B7" w:rsidRPr="00A47266">
        <w:rPr>
          <w:lang w:val="fr-FR"/>
        </w:rPr>
        <w:t>l’appendice</w:t>
      </w:r>
      <w:r w:rsidR="00834135">
        <w:rPr>
          <w:lang w:val="fr-FR"/>
        </w:rPr>
        <w:t xml:space="preserve"> </w:t>
      </w:r>
      <w:r w:rsidR="00A170B7" w:rsidRPr="00A47266">
        <w:rPr>
          <w:lang w:val="fr-FR"/>
        </w:rPr>
        <w:t>1</w:t>
      </w:r>
      <w:r w:rsidR="00834135">
        <w:rPr>
          <w:lang w:val="fr-FR"/>
        </w:rPr>
        <w:t xml:space="preserve"> </w:t>
      </w:r>
      <w:r w:rsidR="00A170B7" w:rsidRPr="00A47266">
        <w:rPr>
          <w:lang w:val="fr-FR"/>
        </w:rPr>
        <w:t>de</w:t>
      </w:r>
      <w:r w:rsidR="00834135">
        <w:rPr>
          <w:lang w:val="fr-FR"/>
        </w:rPr>
        <w:t xml:space="preserve"> </w:t>
      </w:r>
      <w:r w:rsidR="00A170B7" w:rsidRPr="00A47266">
        <w:rPr>
          <w:lang w:val="fr-FR"/>
        </w:rPr>
        <w:t>l’annexe</w:t>
      </w:r>
      <w:r w:rsidR="00834135">
        <w:rPr>
          <w:lang w:val="fr-FR"/>
        </w:rPr>
        <w:t xml:space="preserve"> </w:t>
      </w:r>
      <w:r w:rsidR="00A170B7" w:rsidRPr="00A47266">
        <w:rPr>
          <w:lang w:val="fr-FR"/>
        </w:rPr>
        <w:t>1</w:t>
      </w:r>
      <w:r w:rsidR="00834135">
        <w:rPr>
          <w:lang w:val="fr-FR"/>
        </w:rPr>
        <w:t xml:space="preserve"> </w:t>
      </w:r>
      <w:r w:rsidR="00A170B7" w:rsidRPr="00A47266">
        <w:rPr>
          <w:lang w:val="fr-FR"/>
        </w:rPr>
        <w:t>concernant</w:t>
      </w:r>
      <w:r w:rsidR="00834135">
        <w:rPr>
          <w:lang w:val="fr-FR"/>
        </w:rPr>
        <w:t xml:space="preserve"> </w:t>
      </w:r>
      <w:r w:rsidR="00834135">
        <w:rPr>
          <w:lang w:val="fr-FR"/>
        </w:rPr>
        <w:br/>
      </w:r>
      <w:r w:rsidR="00A170B7" w:rsidRPr="00A47266">
        <w:rPr>
          <w:lang w:val="fr-FR"/>
        </w:rPr>
        <w:t>les</w:t>
      </w:r>
      <w:r w:rsidR="00834135">
        <w:rPr>
          <w:lang w:val="fr-FR"/>
        </w:rPr>
        <w:t xml:space="preserve"> </w:t>
      </w:r>
      <w:r w:rsidR="00A170B7" w:rsidRPr="00A47266">
        <w:rPr>
          <w:lang w:val="fr-FR"/>
        </w:rPr>
        <w:t>versions</w:t>
      </w:r>
      <w:r w:rsidR="00834135">
        <w:rPr>
          <w:lang w:val="fr-FR"/>
        </w:rPr>
        <w:t xml:space="preserve"> </w:t>
      </w:r>
      <w:r w:rsidR="00A170B7" w:rsidRPr="00A47266">
        <w:rPr>
          <w:lang w:val="fr-FR"/>
        </w:rPr>
        <w:t>anglaise</w:t>
      </w:r>
      <w:r w:rsidR="00834135">
        <w:rPr>
          <w:lang w:val="fr-FR"/>
        </w:rPr>
        <w:t xml:space="preserve"> </w:t>
      </w:r>
      <w:r w:rsidR="00A170B7" w:rsidRPr="00A47266">
        <w:rPr>
          <w:lang w:val="fr-FR"/>
        </w:rPr>
        <w:t>et</w:t>
      </w:r>
      <w:r w:rsidR="00834135">
        <w:rPr>
          <w:lang w:val="fr-FR"/>
        </w:rPr>
        <w:t xml:space="preserve"> </w:t>
      </w:r>
      <w:r w:rsidR="00A170B7" w:rsidRPr="00A47266">
        <w:rPr>
          <w:lang w:val="fr-FR"/>
        </w:rPr>
        <w:t>russe</w:t>
      </w:r>
      <w:r w:rsidR="00834135">
        <w:rPr>
          <w:lang w:val="fr-FR"/>
        </w:rPr>
        <w:t xml:space="preserve"> </w:t>
      </w:r>
      <w:r w:rsidR="00A170B7" w:rsidRPr="00A47266">
        <w:rPr>
          <w:lang w:val="fr-FR"/>
        </w:rPr>
        <w:t>de</w:t>
      </w:r>
      <w:r w:rsidR="00834135">
        <w:rPr>
          <w:lang w:val="fr-FR"/>
        </w:rPr>
        <w:t xml:space="preserve"> </w:t>
      </w:r>
      <w:r w:rsidR="00A170B7" w:rsidRPr="00A47266">
        <w:rPr>
          <w:lang w:val="fr-FR"/>
        </w:rPr>
        <w:t>l’ATP</w:t>
      </w:r>
      <w:r w:rsidRPr="00A47266">
        <w:tab/>
      </w:r>
      <w:r w:rsidRPr="00A47266">
        <w:tab/>
        <w:t>65</w:t>
      </w:r>
      <w:r w:rsidRPr="00A47266">
        <w:tab/>
      </w:r>
      <w:r w:rsidR="00FB7F7F">
        <w:t>13</w:t>
      </w:r>
    </w:p>
    <w:p w14:paraId="76A8D874" w14:textId="31DB17A8" w:rsidR="00FB1683" w:rsidRPr="00A47266" w:rsidRDefault="00FB1683" w:rsidP="00FB1683">
      <w:pPr>
        <w:tabs>
          <w:tab w:val="right" w:leader="dot" w:pos="7654"/>
          <w:tab w:val="right" w:pos="8929"/>
          <w:tab w:val="right" w:pos="9638"/>
        </w:tabs>
        <w:spacing w:after="120"/>
        <w:ind w:left="1984" w:hanging="425"/>
      </w:pPr>
      <w:r w:rsidRPr="00A47266">
        <w:t>9.</w:t>
      </w:r>
      <w:r w:rsidRPr="00A47266">
        <w:tab/>
      </w:r>
      <w:r w:rsidR="00A170B7" w:rsidRPr="00A47266">
        <w:rPr>
          <w:lang w:val="fr-FR"/>
        </w:rPr>
        <w:t>Proposition</w:t>
      </w:r>
      <w:r w:rsidR="00834135">
        <w:rPr>
          <w:lang w:val="fr-FR"/>
        </w:rPr>
        <w:t xml:space="preserve"> </w:t>
      </w:r>
      <w:r w:rsidR="00A170B7" w:rsidRPr="00A47266">
        <w:rPr>
          <w:lang w:val="fr-FR"/>
        </w:rPr>
        <w:t>de</w:t>
      </w:r>
      <w:r w:rsidR="00834135">
        <w:rPr>
          <w:lang w:val="fr-FR"/>
        </w:rPr>
        <w:t xml:space="preserve"> </w:t>
      </w:r>
      <w:r w:rsidR="00A170B7" w:rsidRPr="00A47266">
        <w:rPr>
          <w:lang w:val="fr-FR"/>
        </w:rPr>
        <w:t>modification</w:t>
      </w:r>
      <w:r w:rsidR="00834135">
        <w:rPr>
          <w:lang w:val="fr-FR"/>
        </w:rPr>
        <w:t xml:space="preserve"> </w:t>
      </w:r>
      <w:r w:rsidR="00A170B7" w:rsidRPr="00A47266">
        <w:rPr>
          <w:lang w:val="fr-FR"/>
        </w:rPr>
        <w:t>des</w:t>
      </w:r>
      <w:r w:rsidR="00834135">
        <w:rPr>
          <w:lang w:val="fr-FR"/>
        </w:rPr>
        <w:t xml:space="preserve"> </w:t>
      </w:r>
      <w:r w:rsidR="00A170B7" w:rsidRPr="00A47266">
        <w:rPr>
          <w:lang w:val="fr-FR"/>
        </w:rPr>
        <w:t>contrôles</w:t>
      </w:r>
      <w:r w:rsidR="00834135">
        <w:rPr>
          <w:lang w:val="fr-FR"/>
        </w:rPr>
        <w:t xml:space="preserve"> </w:t>
      </w:r>
      <w:r w:rsidR="00A170B7" w:rsidRPr="00A47266">
        <w:rPr>
          <w:lang w:val="fr-FR"/>
        </w:rPr>
        <w:t>en</w:t>
      </w:r>
      <w:r w:rsidR="00834135">
        <w:rPr>
          <w:lang w:val="fr-FR"/>
        </w:rPr>
        <w:t xml:space="preserve"> </w:t>
      </w:r>
      <w:r w:rsidR="00A170B7" w:rsidRPr="00A47266">
        <w:rPr>
          <w:lang w:val="fr-FR"/>
        </w:rPr>
        <w:t>service</w:t>
      </w:r>
      <w:r w:rsidR="00834135">
        <w:rPr>
          <w:lang w:val="fr-FR"/>
        </w:rPr>
        <w:t xml:space="preserve"> </w:t>
      </w:r>
      <w:r w:rsidR="00A170B7" w:rsidRPr="00A47266">
        <w:rPr>
          <w:lang w:val="fr-FR"/>
        </w:rPr>
        <w:t>prescrits</w:t>
      </w:r>
      <w:r w:rsidR="00834135">
        <w:rPr>
          <w:lang w:val="fr-FR"/>
        </w:rPr>
        <w:t xml:space="preserve"> </w:t>
      </w:r>
      <w:r w:rsidR="00834135">
        <w:rPr>
          <w:lang w:val="fr-FR"/>
        </w:rPr>
        <w:br/>
      </w:r>
      <w:r w:rsidR="00A170B7" w:rsidRPr="00A47266">
        <w:rPr>
          <w:lang w:val="fr-FR"/>
        </w:rPr>
        <w:t>pour</w:t>
      </w:r>
      <w:r w:rsidR="00834135">
        <w:rPr>
          <w:lang w:val="fr-FR"/>
        </w:rPr>
        <w:t xml:space="preserve"> </w:t>
      </w:r>
      <w:r w:rsidR="00A170B7" w:rsidRPr="00A47266">
        <w:rPr>
          <w:lang w:val="fr-FR"/>
        </w:rPr>
        <w:t>les</w:t>
      </w:r>
      <w:r w:rsidR="00834135">
        <w:rPr>
          <w:lang w:val="fr-FR"/>
        </w:rPr>
        <w:t xml:space="preserve"> </w:t>
      </w:r>
      <w:r w:rsidR="00A170B7" w:rsidRPr="00A47266">
        <w:rPr>
          <w:lang w:val="fr-FR"/>
        </w:rPr>
        <w:t>engins</w:t>
      </w:r>
      <w:r w:rsidR="00834135">
        <w:rPr>
          <w:lang w:val="fr-FR"/>
        </w:rPr>
        <w:t xml:space="preserve"> </w:t>
      </w:r>
      <w:r w:rsidR="00A170B7" w:rsidRPr="00A47266">
        <w:rPr>
          <w:lang w:val="fr-FR"/>
        </w:rPr>
        <w:t>calorifiques</w:t>
      </w:r>
      <w:r w:rsidR="00834135">
        <w:rPr>
          <w:lang w:val="fr-FR"/>
        </w:rPr>
        <w:t xml:space="preserve"> </w:t>
      </w:r>
      <w:r w:rsidR="00A170B7" w:rsidRPr="00A47266">
        <w:rPr>
          <w:lang w:val="fr-FR"/>
        </w:rPr>
        <w:t>et</w:t>
      </w:r>
      <w:r w:rsidR="00834135">
        <w:rPr>
          <w:lang w:val="fr-FR"/>
        </w:rPr>
        <w:t xml:space="preserve"> </w:t>
      </w:r>
      <w:r w:rsidR="00A170B7" w:rsidRPr="00A47266">
        <w:rPr>
          <w:lang w:val="fr-FR"/>
        </w:rPr>
        <w:t>les</w:t>
      </w:r>
      <w:r w:rsidR="00834135">
        <w:rPr>
          <w:lang w:val="fr-FR"/>
        </w:rPr>
        <w:t xml:space="preserve"> </w:t>
      </w:r>
      <w:r w:rsidR="00A170B7" w:rsidRPr="00A47266">
        <w:rPr>
          <w:lang w:val="fr-FR"/>
        </w:rPr>
        <w:t>engins</w:t>
      </w:r>
      <w:r w:rsidR="00834135">
        <w:rPr>
          <w:lang w:val="fr-FR"/>
        </w:rPr>
        <w:t xml:space="preserve"> </w:t>
      </w:r>
      <w:r w:rsidR="00A170B7" w:rsidRPr="00A47266">
        <w:rPr>
          <w:lang w:val="fr-FR"/>
        </w:rPr>
        <w:t>frigorifiques</w:t>
      </w:r>
      <w:r w:rsidR="00834135">
        <w:rPr>
          <w:lang w:val="fr-FR"/>
        </w:rPr>
        <w:t xml:space="preserve"> </w:t>
      </w:r>
      <w:r w:rsidR="00A170B7" w:rsidRPr="00A47266">
        <w:rPr>
          <w:lang w:val="fr-FR"/>
        </w:rPr>
        <w:t>et</w:t>
      </w:r>
      <w:r w:rsidR="00834135">
        <w:rPr>
          <w:lang w:val="fr-FR"/>
        </w:rPr>
        <w:t xml:space="preserve"> </w:t>
      </w:r>
      <w:r w:rsidR="00A170B7" w:rsidRPr="00A47266">
        <w:rPr>
          <w:lang w:val="fr-FR"/>
        </w:rPr>
        <w:t>calorifiques</w:t>
      </w:r>
      <w:r w:rsidR="00834135">
        <w:rPr>
          <w:lang w:val="fr-FR"/>
        </w:rPr>
        <w:t xml:space="preserve"> </w:t>
      </w:r>
      <w:r w:rsidR="00834135">
        <w:rPr>
          <w:lang w:val="fr-FR"/>
        </w:rPr>
        <w:br/>
      </w:r>
      <w:r w:rsidR="00A170B7" w:rsidRPr="00A47266">
        <w:rPr>
          <w:lang w:val="fr-FR"/>
        </w:rPr>
        <w:t>(par.</w:t>
      </w:r>
      <w:r w:rsidR="00834135">
        <w:rPr>
          <w:lang w:val="fr-FR"/>
        </w:rPr>
        <w:t xml:space="preserve"> </w:t>
      </w:r>
      <w:r w:rsidR="00A170B7" w:rsidRPr="00A47266">
        <w:rPr>
          <w:lang w:val="fr-FR"/>
        </w:rPr>
        <w:t>6.3</w:t>
      </w:r>
      <w:r w:rsidR="00834135">
        <w:rPr>
          <w:lang w:val="fr-FR"/>
        </w:rPr>
        <w:t xml:space="preserve"> </w:t>
      </w:r>
      <w:r w:rsidR="00A170B7" w:rsidRPr="00A47266">
        <w:rPr>
          <w:lang w:val="fr-FR"/>
        </w:rPr>
        <w:t>et</w:t>
      </w:r>
      <w:r w:rsidR="00834135">
        <w:rPr>
          <w:lang w:val="fr-FR"/>
        </w:rPr>
        <w:t xml:space="preserve"> </w:t>
      </w:r>
      <w:r w:rsidR="00A170B7" w:rsidRPr="00A47266">
        <w:rPr>
          <w:lang w:val="fr-FR"/>
        </w:rPr>
        <w:t>6.4</w:t>
      </w:r>
      <w:r w:rsidR="00834135">
        <w:rPr>
          <w:lang w:val="fr-FR"/>
        </w:rPr>
        <w:t xml:space="preserve"> </w:t>
      </w:r>
      <w:r w:rsidR="00A170B7" w:rsidRPr="00A47266">
        <w:rPr>
          <w:lang w:val="fr-FR"/>
        </w:rPr>
        <w:t>ii)</w:t>
      </w:r>
      <w:r w:rsidR="00834135">
        <w:rPr>
          <w:lang w:val="fr-FR"/>
        </w:rPr>
        <w:t xml:space="preserve"> </w:t>
      </w:r>
      <w:r w:rsidR="00A170B7" w:rsidRPr="00A47266">
        <w:rPr>
          <w:lang w:val="fr-FR"/>
        </w:rPr>
        <w:t>de</w:t>
      </w:r>
      <w:r w:rsidR="00834135">
        <w:rPr>
          <w:lang w:val="fr-FR"/>
        </w:rPr>
        <w:t xml:space="preserve"> </w:t>
      </w:r>
      <w:r w:rsidR="00A170B7" w:rsidRPr="00A47266">
        <w:rPr>
          <w:lang w:val="fr-FR"/>
        </w:rPr>
        <w:t>l’appendice</w:t>
      </w:r>
      <w:r w:rsidR="00834135">
        <w:rPr>
          <w:lang w:val="fr-FR"/>
        </w:rPr>
        <w:t xml:space="preserve"> </w:t>
      </w:r>
      <w:r w:rsidR="00A170B7" w:rsidRPr="00A47266">
        <w:rPr>
          <w:lang w:val="fr-FR"/>
        </w:rPr>
        <w:t>2</w:t>
      </w:r>
      <w:r w:rsidR="00834135">
        <w:rPr>
          <w:lang w:val="fr-FR"/>
        </w:rPr>
        <w:t xml:space="preserve"> </w:t>
      </w:r>
      <w:r w:rsidR="00A170B7" w:rsidRPr="00A47266">
        <w:rPr>
          <w:lang w:val="fr-FR"/>
        </w:rPr>
        <w:t>de</w:t>
      </w:r>
      <w:r w:rsidR="00834135">
        <w:rPr>
          <w:lang w:val="fr-FR"/>
        </w:rPr>
        <w:t xml:space="preserve"> </w:t>
      </w:r>
      <w:r w:rsidR="00A170B7" w:rsidRPr="00A47266">
        <w:rPr>
          <w:lang w:val="fr-FR"/>
        </w:rPr>
        <w:t>l’annexe</w:t>
      </w:r>
      <w:r w:rsidR="00834135">
        <w:rPr>
          <w:lang w:val="fr-FR"/>
        </w:rPr>
        <w:t xml:space="preserve"> </w:t>
      </w:r>
      <w:r w:rsidR="00A170B7" w:rsidRPr="00A47266">
        <w:rPr>
          <w:lang w:val="fr-FR"/>
        </w:rPr>
        <w:t>1</w:t>
      </w:r>
      <w:r w:rsidR="00834135">
        <w:rPr>
          <w:lang w:val="fr-FR"/>
        </w:rPr>
        <w:t xml:space="preserve"> </w:t>
      </w:r>
      <w:r w:rsidR="00A170B7" w:rsidRPr="00A47266">
        <w:rPr>
          <w:lang w:val="fr-FR"/>
        </w:rPr>
        <w:t>de</w:t>
      </w:r>
      <w:r w:rsidR="00834135">
        <w:rPr>
          <w:lang w:val="fr-FR"/>
        </w:rPr>
        <w:t xml:space="preserve"> </w:t>
      </w:r>
      <w:r w:rsidR="00A170B7" w:rsidRPr="00A47266">
        <w:rPr>
          <w:lang w:val="fr-FR"/>
        </w:rPr>
        <w:t>l’ATP)</w:t>
      </w:r>
      <w:r w:rsidRPr="00A47266">
        <w:tab/>
      </w:r>
      <w:r w:rsidR="00A47266" w:rsidRPr="00A47266">
        <w:tab/>
      </w:r>
      <w:r w:rsidRPr="00A47266">
        <w:t>66</w:t>
      </w:r>
      <w:r w:rsidRPr="00A47266">
        <w:tab/>
      </w:r>
      <w:r w:rsidR="00FB7F7F">
        <w:t>13</w:t>
      </w:r>
    </w:p>
    <w:p w14:paraId="4684E2CF" w14:textId="276761C7" w:rsidR="00FB1683" w:rsidRPr="00A47266" w:rsidRDefault="00FB1683" w:rsidP="00FB1683">
      <w:pPr>
        <w:tabs>
          <w:tab w:val="right" w:leader="dot" w:pos="7654"/>
          <w:tab w:val="right" w:pos="8929"/>
          <w:tab w:val="right" w:pos="9638"/>
        </w:tabs>
        <w:spacing w:after="120"/>
        <w:ind w:left="1984" w:hanging="425"/>
        <w:rPr>
          <w:szCs w:val="24"/>
        </w:rPr>
      </w:pPr>
      <w:r w:rsidRPr="00A47266">
        <w:t>10.</w:t>
      </w:r>
      <w:r w:rsidRPr="00A47266">
        <w:tab/>
      </w:r>
      <w:r w:rsidR="00A170B7" w:rsidRPr="00A47266">
        <w:rPr>
          <w:lang w:val="fr-FR"/>
        </w:rPr>
        <w:t>Amendement</w:t>
      </w:r>
      <w:r w:rsidR="00834135">
        <w:rPr>
          <w:lang w:val="fr-FR"/>
        </w:rPr>
        <w:t xml:space="preserve"> </w:t>
      </w:r>
      <w:r w:rsidR="00A170B7" w:rsidRPr="00A47266">
        <w:rPr>
          <w:lang w:val="fr-FR"/>
        </w:rPr>
        <w:t>au</w:t>
      </w:r>
      <w:r w:rsidR="00834135">
        <w:rPr>
          <w:lang w:val="fr-FR"/>
        </w:rPr>
        <w:t xml:space="preserve"> </w:t>
      </w:r>
      <w:r w:rsidR="00A170B7" w:rsidRPr="00A47266">
        <w:rPr>
          <w:lang w:val="fr-FR"/>
        </w:rPr>
        <w:t>paragraphe</w:t>
      </w:r>
      <w:r w:rsidR="00834135">
        <w:rPr>
          <w:lang w:val="fr-FR"/>
        </w:rPr>
        <w:t xml:space="preserve"> </w:t>
      </w:r>
      <w:r w:rsidR="00A170B7" w:rsidRPr="00A47266">
        <w:rPr>
          <w:lang w:val="fr-FR"/>
        </w:rPr>
        <w:t>6</w:t>
      </w:r>
      <w:r w:rsidR="00834135">
        <w:rPr>
          <w:lang w:val="fr-FR"/>
        </w:rPr>
        <w:t xml:space="preserve"> </w:t>
      </w:r>
      <w:r w:rsidR="00A170B7" w:rsidRPr="00A47266">
        <w:rPr>
          <w:lang w:val="fr-FR"/>
        </w:rPr>
        <w:t>c)</w:t>
      </w:r>
      <w:r w:rsidR="00834135">
        <w:rPr>
          <w:lang w:val="fr-FR"/>
        </w:rPr>
        <w:t xml:space="preserve"> </w:t>
      </w:r>
      <w:r w:rsidR="00A170B7" w:rsidRPr="00A47266">
        <w:rPr>
          <w:lang w:val="fr-FR"/>
        </w:rPr>
        <w:t>iii)</w:t>
      </w:r>
      <w:r w:rsidR="00834135">
        <w:rPr>
          <w:lang w:val="fr-FR"/>
        </w:rPr>
        <w:t xml:space="preserve"> </w:t>
      </w:r>
      <w:r w:rsidR="00A170B7" w:rsidRPr="00A47266">
        <w:rPr>
          <w:lang w:val="fr-FR"/>
        </w:rPr>
        <w:t>b)</w:t>
      </w:r>
      <w:r w:rsidR="00834135">
        <w:rPr>
          <w:lang w:val="fr-FR"/>
        </w:rPr>
        <w:t xml:space="preserve"> </w:t>
      </w:r>
      <w:r w:rsidR="00A170B7" w:rsidRPr="00A47266">
        <w:rPr>
          <w:lang w:val="fr-FR"/>
        </w:rPr>
        <w:t>de</w:t>
      </w:r>
      <w:r w:rsidR="00834135">
        <w:rPr>
          <w:lang w:val="fr-FR"/>
        </w:rPr>
        <w:t xml:space="preserve"> </w:t>
      </w:r>
      <w:r w:rsidR="00A170B7" w:rsidRPr="00A47266">
        <w:rPr>
          <w:lang w:val="fr-FR"/>
        </w:rPr>
        <w:t>l’appendice</w:t>
      </w:r>
      <w:r w:rsidR="00834135">
        <w:rPr>
          <w:lang w:val="fr-FR"/>
        </w:rPr>
        <w:t xml:space="preserve"> </w:t>
      </w:r>
      <w:r w:rsidR="00A170B7" w:rsidRPr="00A47266">
        <w:rPr>
          <w:lang w:val="fr-FR"/>
        </w:rPr>
        <w:t>1</w:t>
      </w:r>
      <w:r w:rsidR="00834135">
        <w:rPr>
          <w:lang w:val="fr-FR"/>
        </w:rPr>
        <w:t xml:space="preserve"> </w:t>
      </w:r>
      <w:r w:rsidR="00A170B7" w:rsidRPr="00A47266">
        <w:rPr>
          <w:lang w:val="fr-FR"/>
        </w:rPr>
        <w:t>de</w:t>
      </w:r>
      <w:r w:rsidR="00834135">
        <w:rPr>
          <w:lang w:val="fr-FR"/>
        </w:rPr>
        <w:t xml:space="preserve"> </w:t>
      </w:r>
      <w:r w:rsidR="00A170B7" w:rsidRPr="00A47266">
        <w:rPr>
          <w:lang w:val="fr-FR"/>
        </w:rPr>
        <w:t>l’annexe</w:t>
      </w:r>
      <w:r w:rsidR="00834135">
        <w:rPr>
          <w:lang w:val="fr-FR"/>
        </w:rPr>
        <w:t xml:space="preserve"> </w:t>
      </w:r>
      <w:r w:rsidR="00A170B7" w:rsidRPr="00A47266">
        <w:rPr>
          <w:lang w:val="fr-FR"/>
        </w:rPr>
        <w:t>1</w:t>
      </w:r>
      <w:r w:rsidRPr="00A47266">
        <w:rPr>
          <w:szCs w:val="24"/>
        </w:rPr>
        <w:tab/>
      </w:r>
      <w:r w:rsidRPr="00A47266">
        <w:rPr>
          <w:szCs w:val="24"/>
        </w:rPr>
        <w:tab/>
        <w:t>67–69</w:t>
      </w:r>
      <w:r w:rsidRPr="00A47266">
        <w:rPr>
          <w:szCs w:val="24"/>
        </w:rPr>
        <w:tab/>
      </w:r>
      <w:r w:rsidR="00FB7F7F">
        <w:rPr>
          <w:szCs w:val="24"/>
        </w:rPr>
        <w:t>13</w:t>
      </w:r>
    </w:p>
    <w:p w14:paraId="72FE0506" w14:textId="6CCC3E18" w:rsidR="00FB1683" w:rsidRPr="00A47266" w:rsidRDefault="00FB1683" w:rsidP="00FB1683">
      <w:pPr>
        <w:tabs>
          <w:tab w:val="right" w:leader="dot" w:pos="7654"/>
          <w:tab w:val="right" w:pos="8929"/>
          <w:tab w:val="right" w:pos="9638"/>
        </w:tabs>
        <w:spacing w:after="120"/>
        <w:ind w:left="1984" w:hanging="425"/>
        <w:rPr>
          <w:szCs w:val="24"/>
        </w:rPr>
      </w:pPr>
      <w:r w:rsidRPr="00A47266">
        <w:rPr>
          <w:szCs w:val="24"/>
        </w:rPr>
        <w:t>11.</w:t>
      </w:r>
      <w:r w:rsidRPr="00A47266">
        <w:rPr>
          <w:szCs w:val="24"/>
        </w:rPr>
        <w:tab/>
      </w:r>
      <w:r w:rsidR="00A170B7" w:rsidRPr="00A47266">
        <w:rPr>
          <w:lang w:val="fr-FR"/>
        </w:rPr>
        <w:t>Propositions</w:t>
      </w:r>
      <w:r w:rsidR="00834135">
        <w:rPr>
          <w:lang w:val="fr-FR"/>
        </w:rPr>
        <w:t xml:space="preserve"> </w:t>
      </w:r>
      <w:r w:rsidR="00A170B7" w:rsidRPr="00A47266">
        <w:rPr>
          <w:lang w:val="fr-FR"/>
        </w:rPr>
        <w:t>de</w:t>
      </w:r>
      <w:r w:rsidR="00834135">
        <w:rPr>
          <w:lang w:val="fr-FR"/>
        </w:rPr>
        <w:t xml:space="preserve"> </w:t>
      </w:r>
      <w:r w:rsidR="00A170B7" w:rsidRPr="00A47266">
        <w:rPr>
          <w:lang w:val="fr-FR"/>
        </w:rPr>
        <w:t>modifications</w:t>
      </w:r>
      <w:r w:rsidR="00834135">
        <w:rPr>
          <w:lang w:val="fr-FR"/>
        </w:rPr>
        <w:t xml:space="preserve"> </w:t>
      </w:r>
      <w:r w:rsidR="00A170B7" w:rsidRPr="00A47266">
        <w:rPr>
          <w:lang w:val="fr-FR"/>
        </w:rPr>
        <w:t>d’ordre</w:t>
      </w:r>
      <w:r w:rsidR="00834135">
        <w:rPr>
          <w:lang w:val="fr-FR"/>
        </w:rPr>
        <w:t xml:space="preserve"> </w:t>
      </w:r>
      <w:r w:rsidR="00A170B7" w:rsidRPr="00A47266">
        <w:rPr>
          <w:lang w:val="fr-FR"/>
        </w:rPr>
        <w:t>rédactionnelle</w:t>
      </w:r>
      <w:r w:rsidR="00834135">
        <w:rPr>
          <w:lang w:val="fr-FR"/>
        </w:rPr>
        <w:t xml:space="preserve"> </w:t>
      </w:r>
      <w:r w:rsidR="00A170B7" w:rsidRPr="00A47266">
        <w:rPr>
          <w:lang w:val="fr-FR"/>
        </w:rPr>
        <w:t>reçues</w:t>
      </w:r>
      <w:r w:rsidR="00834135">
        <w:rPr>
          <w:lang w:val="fr-FR"/>
        </w:rPr>
        <w:t xml:space="preserve"> </w:t>
      </w:r>
      <w:r w:rsidR="00834135">
        <w:rPr>
          <w:lang w:val="fr-FR"/>
        </w:rPr>
        <w:br/>
      </w:r>
      <w:r w:rsidR="00A170B7" w:rsidRPr="00A47266">
        <w:rPr>
          <w:lang w:val="fr-FR"/>
        </w:rPr>
        <w:t>par</w:t>
      </w:r>
      <w:r w:rsidR="00834135">
        <w:rPr>
          <w:lang w:val="fr-FR"/>
        </w:rPr>
        <w:t xml:space="preserve"> </w:t>
      </w:r>
      <w:r w:rsidR="00A170B7" w:rsidRPr="00A47266">
        <w:rPr>
          <w:lang w:val="fr-FR"/>
        </w:rPr>
        <w:t>le</w:t>
      </w:r>
      <w:r w:rsidR="00834135">
        <w:rPr>
          <w:lang w:val="fr-FR"/>
        </w:rPr>
        <w:t xml:space="preserve"> </w:t>
      </w:r>
      <w:r w:rsidR="00A170B7" w:rsidRPr="00A47266">
        <w:rPr>
          <w:lang w:val="fr-FR"/>
        </w:rPr>
        <w:t>secrétariat</w:t>
      </w:r>
      <w:r w:rsidR="00834135">
        <w:rPr>
          <w:lang w:val="fr-FR"/>
        </w:rPr>
        <w:t xml:space="preserve"> </w:t>
      </w:r>
      <w:r w:rsidR="00A170B7" w:rsidRPr="00A47266">
        <w:rPr>
          <w:lang w:val="fr-FR"/>
        </w:rPr>
        <w:t>de</w:t>
      </w:r>
      <w:r w:rsidR="00834135">
        <w:rPr>
          <w:lang w:val="fr-FR"/>
        </w:rPr>
        <w:t xml:space="preserve"> </w:t>
      </w:r>
      <w:r w:rsidR="00A170B7" w:rsidRPr="00A47266">
        <w:rPr>
          <w:lang w:val="fr-FR"/>
        </w:rPr>
        <w:t>la</w:t>
      </w:r>
      <w:r w:rsidR="00834135">
        <w:rPr>
          <w:lang w:val="fr-FR"/>
        </w:rPr>
        <w:t xml:space="preserve"> </w:t>
      </w:r>
      <w:r w:rsidR="00A170B7" w:rsidRPr="00A47266">
        <w:rPr>
          <w:lang w:val="fr-FR"/>
        </w:rPr>
        <w:t>part</w:t>
      </w:r>
      <w:r w:rsidR="00834135">
        <w:rPr>
          <w:lang w:val="fr-FR"/>
        </w:rPr>
        <w:t xml:space="preserve"> </w:t>
      </w:r>
      <w:r w:rsidR="00A170B7" w:rsidRPr="00A47266">
        <w:rPr>
          <w:lang w:val="fr-FR"/>
        </w:rPr>
        <w:t>des</w:t>
      </w:r>
      <w:r w:rsidR="00834135">
        <w:rPr>
          <w:lang w:val="fr-FR"/>
        </w:rPr>
        <w:t xml:space="preserve"> </w:t>
      </w:r>
      <w:r w:rsidR="00A170B7" w:rsidRPr="00A47266">
        <w:rPr>
          <w:lang w:val="fr-FR"/>
        </w:rPr>
        <w:t>Gouvernements</w:t>
      </w:r>
      <w:r w:rsidR="00834135">
        <w:rPr>
          <w:lang w:val="fr-FR"/>
        </w:rPr>
        <w:t xml:space="preserve"> </w:t>
      </w:r>
      <w:r w:rsidR="00A170B7" w:rsidRPr="00A47266">
        <w:rPr>
          <w:lang w:val="fr-FR"/>
        </w:rPr>
        <w:t>allemand</w:t>
      </w:r>
      <w:r w:rsidR="00834135">
        <w:rPr>
          <w:lang w:val="fr-FR"/>
        </w:rPr>
        <w:t xml:space="preserve"> </w:t>
      </w:r>
      <w:r w:rsidR="00A170B7" w:rsidRPr="00A47266">
        <w:rPr>
          <w:lang w:val="fr-FR"/>
        </w:rPr>
        <w:t>et</w:t>
      </w:r>
      <w:r w:rsidR="00834135">
        <w:rPr>
          <w:lang w:val="fr-FR"/>
        </w:rPr>
        <w:t xml:space="preserve"> </w:t>
      </w:r>
      <w:r w:rsidR="00A170B7" w:rsidRPr="00A47266">
        <w:rPr>
          <w:lang w:val="fr-FR"/>
        </w:rPr>
        <w:t>espagnol</w:t>
      </w:r>
      <w:r w:rsidRPr="00A47266">
        <w:rPr>
          <w:szCs w:val="24"/>
        </w:rPr>
        <w:tab/>
      </w:r>
      <w:r w:rsidRPr="00A47266">
        <w:rPr>
          <w:szCs w:val="24"/>
        </w:rPr>
        <w:tab/>
        <w:t>70</w:t>
      </w:r>
      <w:r w:rsidRPr="00A47266">
        <w:rPr>
          <w:szCs w:val="24"/>
        </w:rPr>
        <w:tab/>
      </w:r>
      <w:r w:rsidR="00FB7F7F">
        <w:rPr>
          <w:szCs w:val="24"/>
        </w:rPr>
        <w:t>13</w:t>
      </w:r>
    </w:p>
    <w:p w14:paraId="1613B19E" w14:textId="5F6E4F88" w:rsidR="00FB1683" w:rsidRPr="00A47266" w:rsidRDefault="00FB1683" w:rsidP="00FB1683">
      <w:pPr>
        <w:tabs>
          <w:tab w:val="right" w:leader="dot" w:pos="7654"/>
          <w:tab w:val="right" w:pos="8929"/>
          <w:tab w:val="right" w:pos="9638"/>
        </w:tabs>
        <w:spacing w:after="120"/>
        <w:ind w:left="1984" w:hanging="425"/>
        <w:rPr>
          <w:noProof/>
        </w:rPr>
      </w:pPr>
      <w:r w:rsidRPr="00A47266">
        <w:rPr>
          <w:szCs w:val="24"/>
        </w:rPr>
        <w:t>12.</w:t>
      </w:r>
      <w:r w:rsidRPr="00A47266">
        <w:rPr>
          <w:szCs w:val="24"/>
        </w:rPr>
        <w:tab/>
      </w:r>
      <w:r w:rsidR="00A170B7" w:rsidRPr="00A47266">
        <w:rPr>
          <w:lang w:val="fr-FR"/>
        </w:rPr>
        <w:t>Document</w:t>
      </w:r>
      <w:r w:rsidR="00834135">
        <w:rPr>
          <w:lang w:val="fr-FR"/>
        </w:rPr>
        <w:t xml:space="preserve"> </w:t>
      </w:r>
      <w:r w:rsidR="00A170B7" w:rsidRPr="00A47266">
        <w:rPr>
          <w:lang w:val="fr-FR"/>
        </w:rPr>
        <w:t>d’orientation</w:t>
      </w:r>
      <w:r w:rsidR="00834135">
        <w:rPr>
          <w:lang w:val="fr-FR"/>
        </w:rPr>
        <w:t xml:space="preserve"> </w:t>
      </w:r>
      <w:r w:rsidR="00A170B7" w:rsidRPr="00A47266">
        <w:rPr>
          <w:lang w:val="fr-FR"/>
        </w:rPr>
        <w:t>sur</w:t>
      </w:r>
      <w:r w:rsidR="00834135">
        <w:rPr>
          <w:lang w:val="fr-FR"/>
        </w:rPr>
        <w:t xml:space="preserve"> </w:t>
      </w:r>
      <w:r w:rsidR="00A170B7" w:rsidRPr="00A47266">
        <w:rPr>
          <w:lang w:val="fr-FR"/>
        </w:rPr>
        <w:t>les</w:t>
      </w:r>
      <w:r w:rsidR="00834135">
        <w:rPr>
          <w:lang w:val="fr-FR"/>
        </w:rPr>
        <w:t xml:space="preserve"> </w:t>
      </w:r>
      <w:r w:rsidR="00A170B7" w:rsidRPr="00A47266">
        <w:rPr>
          <w:lang w:val="fr-FR"/>
        </w:rPr>
        <w:t>équipements</w:t>
      </w:r>
      <w:r w:rsidR="00834135">
        <w:rPr>
          <w:lang w:val="fr-FR"/>
        </w:rPr>
        <w:t xml:space="preserve"> </w:t>
      </w:r>
      <w:r w:rsidR="00A170B7" w:rsidRPr="00A47266">
        <w:rPr>
          <w:lang w:val="fr-FR"/>
        </w:rPr>
        <w:t>à</w:t>
      </w:r>
      <w:r w:rsidR="00834135">
        <w:rPr>
          <w:lang w:val="fr-FR"/>
        </w:rPr>
        <w:t xml:space="preserve"> </w:t>
      </w:r>
      <w:r w:rsidR="00A170B7" w:rsidRPr="00A47266">
        <w:rPr>
          <w:lang w:val="fr-FR"/>
        </w:rPr>
        <w:t>entraînement</w:t>
      </w:r>
      <w:r w:rsidR="00834135">
        <w:rPr>
          <w:lang w:val="fr-FR"/>
        </w:rPr>
        <w:t xml:space="preserve"> </w:t>
      </w:r>
      <w:r w:rsidR="00A170B7" w:rsidRPr="00A47266">
        <w:rPr>
          <w:lang w:val="fr-FR"/>
        </w:rPr>
        <w:t>électrique</w:t>
      </w:r>
      <w:r w:rsidRPr="00A47266">
        <w:tab/>
      </w:r>
      <w:r w:rsidRPr="00A47266">
        <w:tab/>
        <w:t>71–73</w:t>
      </w:r>
      <w:r w:rsidRPr="00A47266">
        <w:tab/>
      </w:r>
      <w:r w:rsidR="00FB7F7F">
        <w:t>14</w:t>
      </w:r>
    </w:p>
    <w:p w14:paraId="0C91A663" w14:textId="352CE94D" w:rsidR="00FB1683" w:rsidRPr="00A47266" w:rsidRDefault="00FB1683" w:rsidP="00FB1683">
      <w:pPr>
        <w:tabs>
          <w:tab w:val="right" w:pos="850"/>
          <w:tab w:val="right" w:leader="dot" w:pos="7654"/>
          <w:tab w:val="right" w:pos="8929"/>
          <w:tab w:val="right" w:pos="9638"/>
        </w:tabs>
        <w:spacing w:after="120"/>
        <w:ind w:left="1134" w:hanging="1134"/>
        <w:rPr>
          <w:noProof/>
        </w:rPr>
      </w:pPr>
      <w:r w:rsidRPr="00A47266">
        <w:rPr>
          <w:rStyle w:val="Lienhypertexte"/>
          <w:noProof/>
          <w:color w:val="auto"/>
        </w:rPr>
        <w:tab/>
        <w:t>VII.</w:t>
      </w:r>
      <w:r w:rsidRPr="00A47266">
        <w:rPr>
          <w:noProof/>
        </w:rPr>
        <w:tab/>
      </w:r>
      <w:r w:rsidR="00A170B7" w:rsidRPr="00A47266">
        <w:rPr>
          <w:lang w:val="fr-FR"/>
        </w:rPr>
        <w:t>Manuel</w:t>
      </w:r>
      <w:r w:rsidR="00834135">
        <w:rPr>
          <w:lang w:val="fr-FR"/>
        </w:rPr>
        <w:t xml:space="preserve"> </w:t>
      </w:r>
      <w:r w:rsidR="00A170B7" w:rsidRPr="00A47266">
        <w:rPr>
          <w:lang w:val="fr-FR"/>
        </w:rPr>
        <w:t>ATP</w:t>
      </w:r>
      <w:r w:rsidR="00834135">
        <w:rPr>
          <w:lang w:val="fr-FR"/>
        </w:rPr>
        <w:t xml:space="preserve"> </w:t>
      </w:r>
      <w:r w:rsidR="00A170B7" w:rsidRPr="00A47266">
        <w:rPr>
          <w:lang w:val="fr-FR"/>
        </w:rPr>
        <w:t>(point</w:t>
      </w:r>
      <w:r w:rsidR="00834135">
        <w:rPr>
          <w:lang w:val="fr-FR"/>
        </w:rPr>
        <w:t xml:space="preserve"> </w:t>
      </w:r>
      <w:r w:rsidR="00A170B7" w:rsidRPr="00A47266">
        <w:rPr>
          <w:lang w:val="fr-FR"/>
        </w:rPr>
        <w:t>6</w:t>
      </w:r>
      <w:r w:rsidR="00834135">
        <w:rPr>
          <w:lang w:val="fr-FR"/>
        </w:rPr>
        <w:t xml:space="preserve"> </w:t>
      </w:r>
      <w:r w:rsidR="00A170B7" w:rsidRPr="00A47266">
        <w:rPr>
          <w:lang w:val="fr-FR"/>
        </w:rPr>
        <w:t>de</w:t>
      </w:r>
      <w:r w:rsidR="00834135">
        <w:rPr>
          <w:lang w:val="fr-FR"/>
        </w:rPr>
        <w:t xml:space="preserve"> </w:t>
      </w:r>
      <w:r w:rsidR="00A170B7" w:rsidRPr="00A47266">
        <w:rPr>
          <w:lang w:val="fr-FR"/>
        </w:rPr>
        <w:t>l’ordre</w:t>
      </w:r>
      <w:r w:rsidR="00834135">
        <w:rPr>
          <w:lang w:val="fr-FR"/>
        </w:rPr>
        <w:t xml:space="preserve"> </w:t>
      </w:r>
      <w:r w:rsidR="00A170B7" w:rsidRPr="00A47266">
        <w:rPr>
          <w:lang w:val="fr-FR"/>
        </w:rPr>
        <w:t>du</w:t>
      </w:r>
      <w:r w:rsidR="00834135">
        <w:rPr>
          <w:lang w:val="fr-FR"/>
        </w:rPr>
        <w:t xml:space="preserve"> </w:t>
      </w:r>
      <w:r w:rsidR="00A170B7" w:rsidRPr="00A47266">
        <w:rPr>
          <w:lang w:val="fr-FR"/>
        </w:rPr>
        <w:t>jour)</w:t>
      </w:r>
      <w:r w:rsidRPr="00A47266">
        <w:rPr>
          <w:noProof/>
          <w:webHidden/>
        </w:rPr>
        <w:tab/>
      </w:r>
      <w:r w:rsidRPr="00A47266">
        <w:rPr>
          <w:noProof/>
          <w:webHidden/>
        </w:rPr>
        <w:tab/>
        <w:t>74–75</w:t>
      </w:r>
      <w:r w:rsidRPr="00A47266">
        <w:rPr>
          <w:noProof/>
          <w:webHidden/>
        </w:rPr>
        <w:tab/>
      </w:r>
      <w:r w:rsidR="00FB7F7F">
        <w:rPr>
          <w:noProof/>
          <w:webHidden/>
        </w:rPr>
        <w:t>14</w:t>
      </w:r>
    </w:p>
    <w:p w14:paraId="4AA8C8FB" w14:textId="4D0E12C2" w:rsidR="00FB1683" w:rsidRPr="00A47266" w:rsidRDefault="00FB1683" w:rsidP="00FB1683">
      <w:pPr>
        <w:tabs>
          <w:tab w:val="right" w:pos="850"/>
          <w:tab w:val="right" w:leader="dot" w:pos="7654"/>
          <w:tab w:val="right" w:pos="8929"/>
          <w:tab w:val="right" w:pos="9638"/>
        </w:tabs>
        <w:spacing w:after="120"/>
        <w:ind w:left="1134" w:hanging="1134"/>
        <w:rPr>
          <w:noProof/>
        </w:rPr>
      </w:pPr>
      <w:r w:rsidRPr="00A47266">
        <w:rPr>
          <w:rStyle w:val="Lienhypertexte"/>
          <w:noProof/>
          <w:color w:val="auto"/>
        </w:rPr>
        <w:tab/>
        <w:t>VIII.</w:t>
      </w:r>
      <w:r w:rsidRPr="00A47266">
        <w:rPr>
          <w:noProof/>
        </w:rPr>
        <w:tab/>
      </w:r>
      <w:r w:rsidR="00A170B7" w:rsidRPr="00A47266">
        <w:rPr>
          <w:lang w:val="fr-FR"/>
        </w:rPr>
        <w:t>Rapports</w:t>
      </w:r>
      <w:r w:rsidR="00834135">
        <w:rPr>
          <w:lang w:val="fr-FR"/>
        </w:rPr>
        <w:t xml:space="preserve"> </w:t>
      </w:r>
      <w:r w:rsidR="00A170B7" w:rsidRPr="00A47266">
        <w:rPr>
          <w:lang w:val="fr-FR"/>
        </w:rPr>
        <w:t>des</w:t>
      </w:r>
      <w:r w:rsidR="00834135">
        <w:rPr>
          <w:lang w:val="fr-FR"/>
        </w:rPr>
        <w:t xml:space="preserve"> </w:t>
      </w:r>
      <w:r w:rsidR="00A170B7" w:rsidRPr="00A47266">
        <w:rPr>
          <w:lang w:val="fr-FR"/>
        </w:rPr>
        <w:t>groupes</w:t>
      </w:r>
      <w:r w:rsidR="00834135">
        <w:rPr>
          <w:lang w:val="fr-FR"/>
        </w:rPr>
        <w:t xml:space="preserve"> </w:t>
      </w:r>
      <w:r w:rsidR="00A170B7" w:rsidRPr="00A47266">
        <w:rPr>
          <w:lang w:val="fr-FR"/>
        </w:rPr>
        <w:t>de</w:t>
      </w:r>
      <w:r w:rsidR="00834135">
        <w:rPr>
          <w:lang w:val="fr-FR"/>
        </w:rPr>
        <w:t xml:space="preserve"> </w:t>
      </w:r>
      <w:r w:rsidR="00A170B7" w:rsidRPr="00A47266">
        <w:rPr>
          <w:lang w:val="fr-FR"/>
        </w:rPr>
        <w:t>travail</w:t>
      </w:r>
      <w:r w:rsidR="00834135">
        <w:rPr>
          <w:lang w:val="fr-FR"/>
        </w:rPr>
        <w:t xml:space="preserve"> </w:t>
      </w:r>
      <w:r w:rsidR="00A170B7" w:rsidRPr="00A47266">
        <w:rPr>
          <w:lang w:val="fr-FR"/>
        </w:rPr>
        <w:t>informels</w:t>
      </w:r>
      <w:r w:rsidR="00834135">
        <w:rPr>
          <w:lang w:val="fr-FR"/>
        </w:rPr>
        <w:t xml:space="preserve"> </w:t>
      </w:r>
      <w:r w:rsidR="00A170B7" w:rsidRPr="00A47266">
        <w:rPr>
          <w:lang w:val="fr-FR"/>
        </w:rPr>
        <w:t>(point</w:t>
      </w:r>
      <w:r w:rsidR="00834135">
        <w:rPr>
          <w:lang w:val="fr-FR"/>
        </w:rPr>
        <w:t xml:space="preserve"> </w:t>
      </w:r>
      <w:r w:rsidR="00A170B7" w:rsidRPr="00A47266">
        <w:rPr>
          <w:lang w:val="fr-FR"/>
        </w:rPr>
        <w:t>7</w:t>
      </w:r>
      <w:r w:rsidR="00834135">
        <w:rPr>
          <w:lang w:val="fr-FR"/>
        </w:rPr>
        <w:t xml:space="preserve"> </w:t>
      </w:r>
      <w:r w:rsidR="00A170B7" w:rsidRPr="00A47266">
        <w:rPr>
          <w:lang w:val="fr-FR"/>
        </w:rPr>
        <w:t>de</w:t>
      </w:r>
      <w:r w:rsidR="00834135">
        <w:rPr>
          <w:lang w:val="fr-FR"/>
        </w:rPr>
        <w:t xml:space="preserve"> </w:t>
      </w:r>
      <w:r w:rsidR="00A170B7" w:rsidRPr="00A47266">
        <w:rPr>
          <w:lang w:val="fr-FR"/>
        </w:rPr>
        <w:t>l’ordre</w:t>
      </w:r>
      <w:r w:rsidR="00834135">
        <w:rPr>
          <w:lang w:val="fr-FR"/>
        </w:rPr>
        <w:t xml:space="preserve"> </w:t>
      </w:r>
      <w:r w:rsidR="00A170B7" w:rsidRPr="00A47266">
        <w:rPr>
          <w:lang w:val="fr-FR"/>
        </w:rPr>
        <w:t>du</w:t>
      </w:r>
      <w:r w:rsidR="00834135">
        <w:rPr>
          <w:lang w:val="fr-FR"/>
        </w:rPr>
        <w:t xml:space="preserve"> </w:t>
      </w:r>
      <w:r w:rsidR="00A170B7" w:rsidRPr="00A47266">
        <w:rPr>
          <w:lang w:val="fr-FR"/>
        </w:rPr>
        <w:t>jour)</w:t>
      </w:r>
      <w:r w:rsidRPr="00A47266">
        <w:rPr>
          <w:noProof/>
          <w:webHidden/>
        </w:rPr>
        <w:tab/>
      </w:r>
      <w:r w:rsidRPr="00A47266">
        <w:rPr>
          <w:noProof/>
          <w:webHidden/>
        </w:rPr>
        <w:tab/>
        <w:t>76–77</w:t>
      </w:r>
      <w:r w:rsidRPr="00A47266">
        <w:rPr>
          <w:noProof/>
          <w:webHidden/>
        </w:rPr>
        <w:tab/>
      </w:r>
      <w:r w:rsidR="00FB7F7F">
        <w:rPr>
          <w:noProof/>
          <w:webHidden/>
        </w:rPr>
        <w:t>14</w:t>
      </w:r>
    </w:p>
    <w:p w14:paraId="483314AF" w14:textId="028CA04B" w:rsidR="00FB1683" w:rsidRPr="00A47266" w:rsidRDefault="00FB1683" w:rsidP="00FB1683">
      <w:pPr>
        <w:tabs>
          <w:tab w:val="right" w:pos="850"/>
          <w:tab w:val="right" w:leader="dot" w:pos="7654"/>
          <w:tab w:val="right" w:pos="8929"/>
          <w:tab w:val="right" w:pos="9638"/>
        </w:tabs>
        <w:spacing w:after="120"/>
        <w:ind w:left="1134" w:hanging="1134"/>
        <w:rPr>
          <w:noProof/>
        </w:rPr>
      </w:pPr>
      <w:r w:rsidRPr="00A47266">
        <w:rPr>
          <w:rStyle w:val="Lienhypertexte"/>
          <w:noProof/>
          <w:color w:val="auto"/>
        </w:rPr>
        <w:tab/>
        <w:t>IX.</w:t>
      </w:r>
      <w:r w:rsidRPr="00A47266">
        <w:rPr>
          <w:noProof/>
        </w:rPr>
        <w:tab/>
      </w:r>
      <w:r w:rsidR="00A170B7" w:rsidRPr="00A47266">
        <w:rPr>
          <w:lang w:val="fr-FR"/>
        </w:rPr>
        <w:t>Portée</w:t>
      </w:r>
      <w:r w:rsidR="00834135">
        <w:rPr>
          <w:lang w:val="fr-FR"/>
        </w:rPr>
        <w:t xml:space="preserve"> </w:t>
      </w:r>
      <w:r w:rsidR="00A170B7" w:rsidRPr="00A47266">
        <w:rPr>
          <w:lang w:val="fr-FR"/>
        </w:rPr>
        <w:t>de</w:t>
      </w:r>
      <w:r w:rsidR="00834135">
        <w:rPr>
          <w:lang w:val="fr-FR"/>
        </w:rPr>
        <w:t xml:space="preserve"> </w:t>
      </w:r>
      <w:r w:rsidR="00A170B7" w:rsidRPr="00A47266">
        <w:rPr>
          <w:lang w:val="fr-FR"/>
        </w:rPr>
        <w:t>l’ATP</w:t>
      </w:r>
      <w:r w:rsidR="00834135">
        <w:rPr>
          <w:lang w:val="fr-FR"/>
        </w:rPr>
        <w:t xml:space="preserve"> </w:t>
      </w:r>
      <w:r w:rsidR="00A170B7" w:rsidRPr="00A47266">
        <w:rPr>
          <w:lang w:val="fr-FR"/>
        </w:rPr>
        <w:t>(point</w:t>
      </w:r>
      <w:r w:rsidR="00834135">
        <w:rPr>
          <w:lang w:val="fr-FR"/>
        </w:rPr>
        <w:t xml:space="preserve"> </w:t>
      </w:r>
      <w:r w:rsidR="00A170B7" w:rsidRPr="00A47266">
        <w:rPr>
          <w:lang w:val="fr-FR"/>
        </w:rPr>
        <w:t>8</w:t>
      </w:r>
      <w:r w:rsidR="00834135">
        <w:rPr>
          <w:lang w:val="fr-FR"/>
        </w:rPr>
        <w:t xml:space="preserve"> </w:t>
      </w:r>
      <w:r w:rsidR="00A170B7" w:rsidRPr="00A47266">
        <w:rPr>
          <w:lang w:val="fr-FR"/>
        </w:rPr>
        <w:t>de</w:t>
      </w:r>
      <w:r w:rsidR="00834135">
        <w:rPr>
          <w:lang w:val="fr-FR"/>
        </w:rPr>
        <w:t xml:space="preserve"> </w:t>
      </w:r>
      <w:r w:rsidR="00A170B7" w:rsidRPr="00A47266">
        <w:rPr>
          <w:lang w:val="fr-FR"/>
        </w:rPr>
        <w:t>l’ordre</w:t>
      </w:r>
      <w:r w:rsidR="00834135">
        <w:rPr>
          <w:lang w:val="fr-FR"/>
        </w:rPr>
        <w:t xml:space="preserve"> </w:t>
      </w:r>
      <w:r w:rsidR="00A170B7" w:rsidRPr="00A47266">
        <w:rPr>
          <w:lang w:val="fr-FR"/>
        </w:rPr>
        <w:t>du</w:t>
      </w:r>
      <w:r w:rsidR="00834135">
        <w:rPr>
          <w:lang w:val="fr-FR"/>
        </w:rPr>
        <w:t xml:space="preserve"> </w:t>
      </w:r>
      <w:r w:rsidR="00A170B7" w:rsidRPr="00A47266">
        <w:rPr>
          <w:lang w:val="fr-FR"/>
        </w:rPr>
        <w:t>jour)</w:t>
      </w:r>
      <w:r w:rsidRPr="00A47266">
        <w:rPr>
          <w:noProof/>
          <w:webHidden/>
        </w:rPr>
        <w:tab/>
      </w:r>
      <w:r w:rsidRPr="00A47266">
        <w:rPr>
          <w:noProof/>
          <w:webHidden/>
        </w:rPr>
        <w:tab/>
        <w:t>78–86</w:t>
      </w:r>
      <w:r w:rsidRPr="00A47266">
        <w:rPr>
          <w:noProof/>
          <w:webHidden/>
        </w:rPr>
        <w:tab/>
      </w:r>
      <w:r w:rsidR="00FB7F7F">
        <w:rPr>
          <w:noProof/>
          <w:webHidden/>
        </w:rPr>
        <w:t>15</w:t>
      </w:r>
    </w:p>
    <w:p w14:paraId="6AAD4CB2" w14:textId="32B3DE81" w:rsidR="00FB1683" w:rsidRPr="00A47266" w:rsidRDefault="00FB1683" w:rsidP="00FB1683">
      <w:pPr>
        <w:tabs>
          <w:tab w:val="right" w:leader="dot" w:pos="7654"/>
          <w:tab w:val="right" w:pos="8929"/>
          <w:tab w:val="right" w:pos="9638"/>
        </w:tabs>
        <w:spacing w:after="120"/>
        <w:ind w:left="1984" w:hanging="425"/>
        <w:rPr>
          <w:noProof/>
          <w:webHidden/>
        </w:rPr>
      </w:pPr>
      <w:r w:rsidRPr="00A47266">
        <w:rPr>
          <w:rStyle w:val="Lienhypertexte"/>
          <w:noProof/>
          <w:color w:val="auto"/>
        </w:rPr>
        <w:t>1.</w:t>
      </w:r>
      <w:r w:rsidRPr="00A47266">
        <w:rPr>
          <w:rStyle w:val="Lienhypertexte"/>
          <w:noProof/>
          <w:color w:val="auto"/>
        </w:rPr>
        <w:tab/>
      </w:r>
      <w:r w:rsidR="00A170B7" w:rsidRPr="00A47266">
        <w:rPr>
          <w:lang w:val="fr-FR"/>
        </w:rPr>
        <w:t>Portée</w:t>
      </w:r>
      <w:r w:rsidR="00834135">
        <w:rPr>
          <w:lang w:val="fr-FR"/>
        </w:rPr>
        <w:t xml:space="preserve"> </w:t>
      </w:r>
      <w:r w:rsidR="00A170B7" w:rsidRPr="00A47266">
        <w:rPr>
          <w:lang w:val="fr-FR"/>
        </w:rPr>
        <w:t>de</w:t>
      </w:r>
      <w:r w:rsidR="00834135">
        <w:rPr>
          <w:lang w:val="fr-FR"/>
        </w:rPr>
        <w:t xml:space="preserve"> </w:t>
      </w:r>
      <w:r w:rsidR="00A170B7" w:rsidRPr="00A47266">
        <w:rPr>
          <w:lang w:val="fr-FR"/>
        </w:rPr>
        <w:t>l’ATP</w:t>
      </w:r>
      <w:r w:rsidRPr="00A47266">
        <w:rPr>
          <w:noProof/>
          <w:webHidden/>
        </w:rPr>
        <w:tab/>
      </w:r>
      <w:r w:rsidRPr="00A47266">
        <w:rPr>
          <w:noProof/>
          <w:webHidden/>
        </w:rPr>
        <w:tab/>
        <w:t>78–85</w:t>
      </w:r>
      <w:r w:rsidRPr="00A47266">
        <w:rPr>
          <w:noProof/>
          <w:webHidden/>
        </w:rPr>
        <w:tab/>
      </w:r>
      <w:r w:rsidR="00FB7F7F">
        <w:rPr>
          <w:noProof/>
          <w:webHidden/>
        </w:rPr>
        <w:t>15</w:t>
      </w:r>
    </w:p>
    <w:p w14:paraId="156441AD" w14:textId="7678C9D4" w:rsidR="00FB1683" w:rsidRPr="00A47266" w:rsidRDefault="00FB1683" w:rsidP="00FB1683">
      <w:pPr>
        <w:tabs>
          <w:tab w:val="right" w:leader="dot" w:pos="7654"/>
          <w:tab w:val="right" w:pos="8929"/>
          <w:tab w:val="right" w:pos="9638"/>
        </w:tabs>
        <w:spacing w:after="120"/>
        <w:ind w:left="1984" w:hanging="425"/>
        <w:rPr>
          <w:noProof/>
        </w:rPr>
      </w:pPr>
      <w:r w:rsidRPr="00A47266">
        <w:rPr>
          <w:noProof/>
          <w:webHidden/>
        </w:rPr>
        <w:t>2.</w:t>
      </w:r>
      <w:r w:rsidRPr="00A47266">
        <w:rPr>
          <w:noProof/>
          <w:webHidden/>
        </w:rPr>
        <w:tab/>
      </w:r>
      <w:r w:rsidR="00A170B7" w:rsidRPr="00A47266">
        <w:rPr>
          <w:lang w:val="fr-FR"/>
        </w:rPr>
        <w:t>L’avenir</w:t>
      </w:r>
      <w:r w:rsidR="00834135">
        <w:rPr>
          <w:lang w:val="fr-FR"/>
        </w:rPr>
        <w:t xml:space="preserve"> </w:t>
      </w:r>
      <w:r w:rsidR="00A170B7" w:rsidRPr="00A47266">
        <w:rPr>
          <w:lang w:val="fr-FR"/>
        </w:rPr>
        <w:t>de</w:t>
      </w:r>
      <w:r w:rsidR="00834135">
        <w:rPr>
          <w:lang w:val="fr-FR"/>
        </w:rPr>
        <w:t xml:space="preserve"> </w:t>
      </w:r>
      <w:r w:rsidR="00A170B7" w:rsidRPr="00A47266">
        <w:rPr>
          <w:lang w:val="fr-FR"/>
        </w:rPr>
        <w:t>l’ATP</w:t>
      </w:r>
      <w:r w:rsidRPr="00A47266">
        <w:tab/>
      </w:r>
      <w:r w:rsidRPr="00A47266">
        <w:tab/>
        <w:t>86</w:t>
      </w:r>
      <w:r w:rsidRPr="00A47266">
        <w:tab/>
      </w:r>
      <w:r w:rsidR="00FB7F7F">
        <w:t>15</w:t>
      </w:r>
    </w:p>
    <w:p w14:paraId="42384ABC" w14:textId="491C294B" w:rsidR="00FB1683" w:rsidRPr="00A47266" w:rsidRDefault="00FB1683" w:rsidP="00FB1683">
      <w:pPr>
        <w:tabs>
          <w:tab w:val="right" w:pos="850"/>
          <w:tab w:val="right" w:leader="dot" w:pos="7654"/>
          <w:tab w:val="right" w:pos="8929"/>
          <w:tab w:val="right" w:pos="9638"/>
        </w:tabs>
        <w:spacing w:after="120"/>
        <w:ind w:left="1134" w:hanging="1134"/>
        <w:rPr>
          <w:noProof/>
        </w:rPr>
      </w:pPr>
      <w:r w:rsidRPr="00A47266">
        <w:rPr>
          <w:rStyle w:val="Lienhypertexte"/>
          <w:noProof/>
          <w:color w:val="auto"/>
        </w:rPr>
        <w:tab/>
        <w:t>X.</w:t>
      </w:r>
      <w:r w:rsidRPr="00A47266">
        <w:rPr>
          <w:noProof/>
        </w:rPr>
        <w:tab/>
      </w:r>
      <w:r w:rsidR="00A170B7" w:rsidRPr="00A47266">
        <w:rPr>
          <w:lang w:val="fr-FR"/>
        </w:rPr>
        <w:t>Étiquetage</w:t>
      </w:r>
      <w:r w:rsidR="00834135">
        <w:rPr>
          <w:lang w:val="fr-FR"/>
        </w:rPr>
        <w:t xml:space="preserve"> </w:t>
      </w:r>
      <w:r w:rsidR="00A170B7" w:rsidRPr="00A47266">
        <w:rPr>
          <w:lang w:val="fr-FR"/>
        </w:rPr>
        <w:t>énergétique,</w:t>
      </w:r>
      <w:r w:rsidR="00834135">
        <w:rPr>
          <w:lang w:val="fr-FR"/>
        </w:rPr>
        <w:t xml:space="preserve"> </w:t>
      </w:r>
      <w:r w:rsidR="00A170B7" w:rsidRPr="00A47266">
        <w:rPr>
          <w:lang w:val="fr-FR"/>
        </w:rPr>
        <w:t>fluides</w:t>
      </w:r>
      <w:r w:rsidR="00834135">
        <w:rPr>
          <w:lang w:val="fr-FR"/>
        </w:rPr>
        <w:t xml:space="preserve"> </w:t>
      </w:r>
      <w:r w:rsidR="00A170B7" w:rsidRPr="00A47266">
        <w:rPr>
          <w:lang w:val="fr-FR"/>
        </w:rPr>
        <w:t>frigorigènes</w:t>
      </w:r>
      <w:r w:rsidR="00834135">
        <w:rPr>
          <w:lang w:val="fr-FR"/>
        </w:rPr>
        <w:t xml:space="preserve"> </w:t>
      </w:r>
      <w:r w:rsidR="00A170B7" w:rsidRPr="00A47266">
        <w:rPr>
          <w:lang w:val="fr-FR"/>
        </w:rPr>
        <w:t>et</w:t>
      </w:r>
      <w:r w:rsidR="00834135">
        <w:rPr>
          <w:lang w:val="fr-FR"/>
        </w:rPr>
        <w:t xml:space="preserve"> </w:t>
      </w:r>
      <w:r w:rsidR="00A170B7" w:rsidRPr="00A47266">
        <w:rPr>
          <w:lang w:val="fr-FR"/>
        </w:rPr>
        <w:t>agents</w:t>
      </w:r>
      <w:r w:rsidR="00834135">
        <w:rPr>
          <w:lang w:val="fr-FR"/>
        </w:rPr>
        <w:t xml:space="preserve"> </w:t>
      </w:r>
      <w:r w:rsidR="00A170B7" w:rsidRPr="00A47266">
        <w:rPr>
          <w:lang w:val="fr-FR"/>
        </w:rPr>
        <w:t>d’expansion</w:t>
      </w:r>
      <w:r w:rsidR="00834135">
        <w:rPr>
          <w:lang w:val="fr-FR"/>
        </w:rPr>
        <w:t xml:space="preserve"> </w:t>
      </w:r>
      <w:r w:rsidR="00834135">
        <w:rPr>
          <w:lang w:val="fr-FR"/>
        </w:rPr>
        <w:br/>
      </w:r>
      <w:r w:rsidR="00A170B7" w:rsidRPr="00A47266">
        <w:rPr>
          <w:lang w:val="fr-FR"/>
        </w:rPr>
        <w:t>(point</w:t>
      </w:r>
      <w:r w:rsidR="00834135">
        <w:rPr>
          <w:lang w:val="fr-FR"/>
        </w:rPr>
        <w:t xml:space="preserve"> </w:t>
      </w:r>
      <w:r w:rsidR="00A170B7" w:rsidRPr="00A47266">
        <w:rPr>
          <w:lang w:val="fr-FR"/>
        </w:rPr>
        <w:t>9</w:t>
      </w:r>
      <w:r w:rsidR="00834135">
        <w:rPr>
          <w:lang w:val="fr-FR"/>
        </w:rPr>
        <w:t xml:space="preserve"> </w:t>
      </w:r>
      <w:r w:rsidR="00A170B7" w:rsidRPr="00A47266">
        <w:rPr>
          <w:lang w:val="fr-FR"/>
        </w:rPr>
        <w:t>de</w:t>
      </w:r>
      <w:r w:rsidR="00834135">
        <w:rPr>
          <w:lang w:val="fr-FR"/>
        </w:rPr>
        <w:t xml:space="preserve"> </w:t>
      </w:r>
      <w:r w:rsidR="00A170B7" w:rsidRPr="00A47266">
        <w:rPr>
          <w:lang w:val="fr-FR"/>
        </w:rPr>
        <w:t>l’ordre</w:t>
      </w:r>
      <w:r w:rsidR="00834135">
        <w:rPr>
          <w:lang w:val="fr-FR"/>
        </w:rPr>
        <w:t xml:space="preserve"> </w:t>
      </w:r>
      <w:r w:rsidR="00A170B7" w:rsidRPr="00A47266">
        <w:rPr>
          <w:lang w:val="fr-FR"/>
        </w:rPr>
        <w:t>du</w:t>
      </w:r>
      <w:r w:rsidR="00834135">
        <w:rPr>
          <w:lang w:val="fr-FR"/>
        </w:rPr>
        <w:t xml:space="preserve"> </w:t>
      </w:r>
      <w:r w:rsidR="00A170B7" w:rsidRPr="00A47266">
        <w:rPr>
          <w:lang w:val="fr-FR"/>
        </w:rPr>
        <w:t>jour)</w:t>
      </w:r>
      <w:r w:rsidRPr="00A47266">
        <w:rPr>
          <w:noProof/>
          <w:webHidden/>
        </w:rPr>
        <w:tab/>
      </w:r>
      <w:r w:rsidRPr="00A47266">
        <w:rPr>
          <w:noProof/>
          <w:webHidden/>
        </w:rPr>
        <w:tab/>
        <w:t>87</w:t>
      </w:r>
      <w:r w:rsidRPr="00A47266">
        <w:rPr>
          <w:noProof/>
          <w:webHidden/>
        </w:rPr>
        <w:tab/>
      </w:r>
      <w:r w:rsidR="00FB7F7F">
        <w:rPr>
          <w:noProof/>
          <w:webHidden/>
        </w:rPr>
        <w:t>16</w:t>
      </w:r>
    </w:p>
    <w:p w14:paraId="0497F3AE" w14:textId="4E98C9CB" w:rsidR="00FB1683" w:rsidRPr="00A47266" w:rsidRDefault="00FB1683" w:rsidP="00FB1683">
      <w:pPr>
        <w:tabs>
          <w:tab w:val="right" w:pos="850"/>
          <w:tab w:val="right" w:leader="dot" w:pos="7654"/>
          <w:tab w:val="right" w:pos="8929"/>
          <w:tab w:val="right" w:pos="9638"/>
        </w:tabs>
        <w:spacing w:after="120"/>
        <w:ind w:left="1134" w:hanging="1134"/>
        <w:rPr>
          <w:noProof/>
        </w:rPr>
      </w:pPr>
      <w:r w:rsidRPr="00A47266">
        <w:rPr>
          <w:rStyle w:val="Lienhypertexte"/>
          <w:noProof/>
          <w:color w:val="auto"/>
        </w:rPr>
        <w:tab/>
        <w:t>XI.</w:t>
      </w:r>
      <w:r w:rsidRPr="00A47266">
        <w:rPr>
          <w:noProof/>
        </w:rPr>
        <w:tab/>
      </w:r>
      <w:r w:rsidR="00A170B7" w:rsidRPr="00A47266">
        <w:rPr>
          <w:lang w:val="fr-FR"/>
        </w:rPr>
        <w:t>Programme</w:t>
      </w:r>
      <w:r w:rsidR="00834135">
        <w:rPr>
          <w:lang w:val="fr-FR"/>
        </w:rPr>
        <w:t xml:space="preserve"> </w:t>
      </w:r>
      <w:r w:rsidR="00A170B7" w:rsidRPr="00A47266">
        <w:rPr>
          <w:lang w:val="fr-FR"/>
        </w:rPr>
        <w:t>de</w:t>
      </w:r>
      <w:r w:rsidR="00834135">
        <w:rPr>
          <w:lang w:val="fr-FR"/>
        </w:rPr>
        <w:t xml:space="preserve"> </w:t>
      </w:r>
      <w:r w:rsidR="00A170B7" w:rsidRPr="00A47266">
        <w:rPr>
          <w:lang w:val="fr-FR"/>
        </w:rPr>
        <w:t>travail</w:t>
      </w:r>
      <w:r w:rsidR="00834135">
        <w:rPr>
          <w:lang w:val="fr-FR"/>
        </w:rPr>
        <w:t xml:space="preserve"> </w:t>
      </w:r>
      <w:r w:rsidR="00A170B7" w:rsidRPr="00A47266">
        <w:rPr>
          <w:lang w:val="fr-FR"/>
        </w:rPr>
        <w:t>(point</w:t>
      </w:r>
      <w:r w:rsidR="00834135">
        <w:rPr>
          <w:lang w:val="fr-FR"/>
        </w:rPr>
        <w:t xml:space="preserve"> </w:t>
      </w:r>
      <w:r w:rsidR="00A170B7" w:rsidRPr="00A47266">
        <w:rPr>
          <w:lang w:val="fr-FR"/>
        </w:rPr>
        <w:t>10</w:t>
      </w:r>
      <w:r w:rsidR="00834135">
        <w:rPr>
          <w:lang w:val="fr-FR"/>
        </w:rPr>
        <w:t xml:space="preserve"> </w:t>
      </w:r>
      <w:r w:rsidR="00A170B7" w:rsidRPr="00A47266">
        <w:rPr>
          <w:lang w:val="fr-FR"/>
        </w:rPr>
        <w:t>de</w:t>
      </w:r>
      <w:r w:rsidR="00834135">
        <w:rPr>
          <w:lang w:val="fr-FR"/>
        </w:rPr>
        <w:t xml:space="preserve"> </w:t>
      </w:r>
      <w:r w:rsidR="00A170B7" w:rsidRPr="00A47266">
        <w:rPr>
          <w:lang w:val="fr-FR"/>
        </w:rPr>
        <w:t>l’ordre</w:t>
      </w:r>
      <w:r w:rsidR="00834135">
        <w:rPr>
          <w:lang w:val="fr-FR"/>
        </w:rPr>
        <w:t xml:space="preserve"> </w:t>
      </w:r>
      <w:r w:rsidR="00A170B7" w:rsidRPr="00A47266">
        <w:rPr>
          <w:lang w:val="fr-FR"/>
        </w:rPr>
        <w:t>du</w:t>
      </w:r>
      <w:r w:rsidR="00834135">
        <w:rPr>
          <w:lang w:val="fr-FR"/>
        </w:rPr>
        <w:t xml:space="preserve"> </w:t>
      </w:r>
      <w:r w:rsidR="00A170B7" w:rsidRPr="00A47266">
        <w:rPr>
          <w:lang w:val="fr-FR"/>
        </w:rPr>
        <w:t>jour)</w:t>
      </w:r>
      <w:r w:rsidRPr="00A47266">
        <w:rPr>
          <w:noProof/>
          <w:webHidden/>
        </w:rPr>
        <w:tab/>
      </w:r>
      <w:r w:rsidRPr="00A47266">
        <w:rPr>
          <w:noProof/>
          <w:webHidden/>
        </w:rPr>
        <w:tab/>
        <w:t>88</w:t>
      </w:r>
      <w:r w:rsidRPr="00A47266">
        <w:rPr>
          <w:noProof/>
          <w:webHidden/>
        </w:rPr>
        <w:tab/>
      </w:r>
      <w:r w:rsidR="00FB7F7F">
        <w:rPr>
          <w:noProof/>
          <w:webHidden/>
        </w:rPr>
        <w:t>16</w:t>
      </w:r>
    </w:p>
    <w:p w14:paraId="546C0478" w14:textId="600107D3" w:rsidR="00FB1683" w:rsidRPr="00A47266" w:rsidRDefault="00FB1683" w:rsidP="00FB1683">
      <w:pPr>
        <w:tabs>
          <w:tab w:val="right" w:pos="850"/>
          <w:tab w:val="right" w:leader="dot" w:pos="7654"/>
          <w:tab w:val="right" w:pos="8929"/>
          <w:tab w:val="right" w:pos="9638"/>
        </w:tabs>
        <w:spacing w:after="120"/>
        <w:ind w:left="1134" w:hanging="1134"/>
        <w:rPr>
          <w:noProof/>
        </w:rPr>
      </w:pPr>
      <w:r w:rsidRPr="00A47266">
        <w:rPr>
          <w:rStyle w:val="Lienhypertexte"/>
          <w:noProof/>
          <w:color w:val="auto"/>
        </w:rPr>
        <w:tab/>
        <w:t>XII.</w:t>
      </w:r>
      <w:r w:rsidRPr="00A47266">
        <w:rPr>
          <w:noProof/>
        </w:rPr>
        <w:tab/>
      </w:r>
      <w:r w:rsidR="00A170B7" w:rsidRPr="00A47266">
        <w:rPr>
          <w:lang w:val="fr-FR"/>
        </w:rPr>
        <w:t>Élection</w:t>
      </w:r>
      <w:r w:rsidR="00834135">
        <w:rPr>
          <w:lang w:val="fr-FR"/>
        </w:rPr>
        <w:t xml:space="preserve"> </w:t>
      </w:r>
      <w:r w:rsidR="00A170B7" w:rsidRPr="00A47266">
        <w:rPr>
          <w:lang w:val="fr-FR"/>
        </w:rPr>
        <w:t>du</w:t>
      </w:r>
      <w:r w:rsidR="00834135">
        <w:rPr>
          <w:lang w:val="fr-FR"/>
        </w:rPr>
        <w:t xml:space="preserve"> </w:t>
      </w:r>
      <w:r w:rsidR="00A170B7" w:rsidRPr="00A47266">
        <w:rPr>
          <w:lang w:val="fr-FR"/>
        </w:rPr>
        <w:t>Bureau</w:t>
      </w:r>
      <w:r w:rsidR="00834135">
        <w:rPr>
          <w:lang w:val="fr-FR"/>
        </w:rPr>
        <w:t xml:space="preserve"> </w:t>
      </w:r>
      <w:r w:rsidR="00A170B7" w:rsidRPr="00A47266">
        <w:rPr>
          <w:lang w:val="fr-FR"/>
        </w:rPr>
        <w:t>(point</w:t>
      </w:r>
      <w:r w:rsidR="00834135">
        <w:rPr>
          <w:lang w:val="fr-FR"/>
        </w:rPr>
        <w:t xml:space="preserve"> </w:t>
      </w:r>
      <w:r w:rsidR="00A170B7" w:rsidRPr="00A47266">
        <w:rPr>
          <w:lang w:val="fr-FR"/>
        </w:rPr>
        <w:t>11</w:t>
      </w:r>
      <w:r w:rsidR="00834135">
        <w:rPr>
          <w:lang w:val="fr-FR"/>
        </w:rPr>
        <w:t xml:space="preserve"> </w:t>
      </w:r>
      <w:r w:rsidR="00A170B7" w:rsidRPr="00A47266">
        <w:rPr>
          <w:lang w:val="fr-FR"/>
        </w:rPr>
        <w:t>de</w:t>
      </w:r>
      <w:r w:rsidR="00834135">
        <w:rPr>
          <w:lang w:val="fr-FR"/>
        </w:rPr>
        <w:t xml:space="preserve"> </w:t>
      </w:r>
      <w:r w:rsidR="00A170B7" w:rsidRPr="00A47266">
        <w:rPr>
          <w:lang w:val="fr-FR"/>
        </w:rPr>
        <w:t>l’ordre</w:t>
      </w:r>
      <w:r w:rsidR="00834135">
        <w:rPr>
          <w:lang w:val="fr-FR"/>
        </w:rPr>
        <w:t xml:space="preserve"> </w:t>
      </w:r>
      <w:r w:rsidR="00A170B7" w:rsidRPr="00A47266">
        <w:rPr>
          <w:lang w:val="fr-FR"/>
        </w:rPr>
        <w:t>du</w:t>
      </w:r>
      <w:r w:rsidR="00834135">
        <w:rPr>
          <w:lang w:val="fr-FR"/>
        </w:rPr>
        <w:t xml:space="preserve"> </w:t>
      </w:r>
      <w:r w:rsidR="00A170B7" w:rsidRPr="00A47266">
        <w:rPr>
          <w:lang w:val="fr-FR"/>
        </w:rPr>
        <w:t>jour)</w:t>
      </w:r>
      <w:r w:rsidRPr="00A47266">
        <w:rPr>
          <w:noProof/>
          <w:webHidden/>
        </w:rPr>
        <w:tab/>
      </w:r>
      <w:r w:rsidRPr="00A47266">
        <w:rPr>
          <w:noProof/>
          <w:webHidden/>
        </w:rPr>
        <w:tab/>
        <w:t>89</w:t>
      </w:r>
      <w:r w:rsidRPr="00A47266">
        <w:rPr>
          <w:noProof/>
          <w:webHidden/>
        </w:rPr>
        <w:tab/>
      </w:r>
      <w:r w:rsidR="00FB7F7F">
        <w:rPr>
          <w:noProof/>
          <w:webHidden/>
        </w:rPr>
        <w:t>16</w:t>
      </w:r>
    </w:p>
    <w:p w14:paraId="4EF45A84" w14:textId="743B3A76" w:rsidR="00FB1683" w:rsidRPr="00A47266" w:rsidRDefault="00FB1683" w:rsidP="00FB1683">
      <w:pPr>
        <w:tabs>
          <w:tab w:val="right" w:pos="850"/>
          <w:tab w:val="right" w:leader="dot" w:pos="7654"/>
          <w:tab w:val="right" w:pos="8929"/>
          <w:tab w:val="right" w:pos="9638"/>
        </w:tabs>
        <w:spacing w:after="120"/>
        <w:ind w:left="1134" w:hanging="1134"/>
        <w:rPr>
          <w:noProof/>
          <w:webHidden/>
        </w:rPr>
      </w:pPr>
      <w:r w:rsidRPr="00A47266">
        <w:rPr>
          <w:rStyle w:val="Lienhypertexte"/>
          <w:noProof/>
          <w:color w:val="auto"/>
        </w:rPr>
        <w:tab/>
        <w:t>XIII.</w:t>
      </w:r>
      <w:r w:rsidRPr="00A47266">
        <w:rPr>
          <w:noProof/>
        </w:rPr>
        <w:tab/>
      </w:r>
      <w:r w:rsidR="00A170B7" w:rsidRPr="00A47266">
        <w:rPr>
          <w:lang w:val="fr-FR"/>
        </w:rPr>
        <w:t>Questions</w:t>
      </w:r>
      <w:r w:rsidR="00834135">
        <w:rPr>
          <w:lang w:val="fr-FR"/>
        </w:rPr>
        <w:t xml:space="preserve"> </w:t>
      </w:r>
      <w:r w:rsidR="00A170B7" w:rsidRPr="00A47266">
        <w:rPr>
          <w:lang w:val="fr-FR"/>
        </w:rPr>
        <w:t>diverses</w:t>
      </w:r>
      <w:r w:rsidR="00834135">
        <w:rPr>
          <w:lang w:val="fr-FR"/>
        </w:rPr>
        <w:t xml:space="preserve"> </w:t>
      </w:r>
      <w:r w:rsidR="00A170B7" w:rsidRPr="00A47266">
        <w:rPr>
          <w:lang w:val="fr-FR"/>
        </w:rPr>
        <w:t>(point</w:t>
      </w:r>
      <w:r w:rsidR="00834135">
        <w:rPr>
          <w:lang w:val="fr-FR"/>
        </w:rPr>
        <w:t xml:space="preserve"> </w:t>
      </w:r>
      <w:r w:rsidR="00A170B7" w:rsidRPr="00A47266">
        <w:rPr>
          <w:lang w:val="fr-FR"/>
        </w:rPr>
        <w:t>12</w:t>
      </w:r>
      <w:r w:rsidR="00834135">
        <w:rPr>
          <w:lang w:val="fr-FR"/>
        </w:rPr>
        <w:t xml:space="preserve"> </w:t>
      </w:r>
      <w:r w:rsidR="00A170B7" w:rsidRPr="00A47266">
        <w:rPr>
          <w:lang w:val="fr-FR"/>
        </w:rPr>
        <w:t>de</w:t>
      </w:r>
      <w:r w:rsidR="00834135">
        <w:rPr>
          <w:lang w:val="fr-FR"/>
        </w:rPr>
        <w:t xml:space="preserve"> </w:t>
      </w:r>
      <w:r w:rsidR="00A170B7" w:rsidRPr="00A47266">
        <w:rPr>
          <w:lang w:val="fr-FR"/>
        </w:rPr>
        <w:t>l’ordre</w:t>
      </w:r>
      <w:r w:rsidR="00834135">
        <w:rPr>
          <w:lang w:val="fr-FR"/>
        </w:rPr>
        <w:t xml:space="preserve"> </w:t>
      </w:r>
      <w:r w:rsidR="00A170B7" w:rsidRPr="00A47266">
        <w:rPr>
          <w:lang w:val="fr-FR"/>
        </w:rPr>
        <w:t>du</w:t>
      </w:r>
      <w:r w:rsidR="00834135">
        <w:rPr>
          <w:lang w:val="fr-FR"/>
        </w:rPr>
        <w:t xml:space="preserve"> </w:t>
      </w:r>
      <w:r w:rsidR="00A170B7" w:rsidRPr="00A47266">
        <w:rPr>
          <w:lang w:val="fr-FR"/>
        </w:rPr>
        <w:t>jour)</w:t>
      </w:r>
      <w:r w:rsidRPr="00A47266">
        <w:rPr>
          <w:noProof/>
          <w:webHidden/>
        </w:rPr>
        <w:tab/>
      </w:r>
      <w:r w:rsidRPr="00A47266">
        <w:rPr>
          <w:noProof/>
          <w:webHidden/>
        </w:rPr>
        <w:tab/>
        <w:t>90</w:t>
      </w:r>
      <w:r w:rsidRPr="00A47266">
        <w:rPr>
          <w:noProof/>
          <w:webHidden/>
        </w:rPr>
        <w:tab/>
      </w:r>
      <w:r w:rsidR="00FB7F7F">
        <w:rPr>
          <w:noProof/>
          <w:webHidden/>
        </w:rPr>
        <w:t>16</w:t>
      </w:r>
    </w:p>
    <w:p w14:paraId="0F415B83" w14:textId="4647F84A" w:rsidR="00FB1683" w:rsidRPr="00A47266" w:rsidRDefault="00FB1683" w:rsidP="00FB1683">
      <w:pPr>
        <w:tabs>
          <w:tab w:val="right" w:pos="850"/>
          <w:tab w:val="right" w:leader="dot" w:pos="7654"/>
          <w:tab w:val="right" w:pos="8929"/>
          <w:tab w:val="right" w:pos="9638"/>
        </w:tabs>
        <w:spacing w:after="120"/>
        <w:ind w:left="1134" w:hanging="1134"/>
      </w:pPr>
      <w:r w:rsidRPr="00A47266">
        <w:rPr>
          <w:noProof/>
        </w:rPr>
        <w:tab/>
        <w:t>XIV.</w:t>
      </w:r>
      <w:r w:rsidRPr="00A47266">
        <w:rPr>
          <w:noProof/>
        </w:rPr>
        <w:tab/>
      </w:r>
      <w:r w:rsidR="00660ABA" w:rsidRPr="00A47266">
        <w:rPr>
          <w:lang w:val="fr-FR"/>
        </w:rPr>
        <w:t>Adoption</w:t>
      </w:r>
      <w:r w:rsidR="00834135">
        <w:rPr>
          <w:lang w:val="fr-FR"/>
        </w:rPr>
        <w:t xml:space="preserve"> </w:t>
      </w:r>
      <w:r w:rsidR="00660ABA" w:rsidRPr="00A47266">
        <w:rPr>
          <w:lang w:val="fr-FR"/>
        </w:rPr>
        <w:t>du</w:t>
      </w:r>
      <w:r w:rsidR="00834135">
        <w:rPr>
          <w:lang w:val="fr-FR"/>
        </w:rPr>
        <w:t xml:space="preserve"> </w:t>
      </w:r>
      <w:r w:rsidR="00660ABA" w:rsidRPr="00A47266">
        <w:rPr>
          <w:lang w:val="fr-FR"/>
        </w:rPr>
        <w:t>rapport</w:t>
      </w:r>
      <w:r w:rsidR="00834135">
        <w:rPr>
          <w:lang w:val="fr-FR"/>
        </w:rPr>
        <w:t xml:space="preserve"> </w:t>
      </w:r>
      <w:r w:rsidR="00660ABA" w:rsidRPr="00A47266">
        <w:rPr>
          <w:lang w:val="fr-FR"/>
        </w:rPr>
        <w:t>(point</w:t>
      </w:r>
      <w:r w:rsidR="00834135">
        <w:rPr>
          <w:lang w:val="fr-FR"/>
        </w:rPr>
        <w:t xml:space="preserve"> </w:t>
      </w:r>
      <w:r w:rsidR="00660ABA" w:rsidRPr="00A47266">
        <w:rPr>
          <w:lang w:val="fr-FR"/>
        </w:rPr>
        <w:t>13</w:t>
      </w:r>
      <w:r w:rsidR="00834135">
        <w:rPr>
          <w:lang w:val="fr-FR"/>
        </w:rPr>
        <w:t xml:space="preserve"> </w:t>
      </w:r>
      <w:r w:rsidR="00660ABA" w:rsidRPr="00A47266">
        <w:rPr>
          <w:lang w:val="fr-FR"/>
        </w:rPr>
        <w:t>de</w:t>
      </w:r>
      <w:r w:rsidR="00834135">
        <w:rPr>
          <w:lang w:val="fr-FR"/>
        </w:rPr>
        <w:t xml:space="preserve"> </w:t>
      </w:r>
      <w:r w:rsidR="00660ABA" w:rsidRPr="00A47266">
        <w:rPr>
          <w:lang w:val="fr-FR"/>
        </w:rPr>
        <w:t>l’ordre</w:t>
      </w:r>
      <w:r w:rsidR="00834135">
        <w:rPr>
          <w:lang w:val="fr-FR"/>
        </w:rPr>
        <w:t xml:space="preserve"> </w:t>
      </w:r>
      <w:r w:rsidR="00660ABA" w:rsidRPr="00A47266">
        <w:rPr>
          <w:lang w:val="fr-FR"/>
        </w:rPr>
        <w:t>du</w:t>
      </w:r>
      <w:r w:rsidR="00834135">
        <w:rPr>
          <w:lang w:val="fr-FR"/>
        </w:rPr>
        <w:t xml:space="preserve"> </w:t>
      </w:r>
      <w:r w:rsidR="00660ABA" w:rsidRPr="00A47266">
        <w:rPr>
          <w:lang w:val="fr-FR"/>
        </w:rPr>
        <w:t>jour)</w:t>
      </w:r>
      <w:r w:rsidRPr="00A47266">
        <w:tab/>
      </w:r>
      <w:r w:rsidRPr="00A47266">
        <w:tab/>
        <w:t>91</w:t>
      </w:r>
      <w:r w:rsidRPr="00A47266">
        <w:tab/>
      </w:r>
      <w:r w:rsidR="00FB7F7F">
        <w:t>16</w:t>
      </w:r>
    </w:p>
    <w:p w14:paraId="64C5D0FF" w14:textId="451EC25F" w:rsidR="00FB1683" w:rsidRPr="00A47266" w:rsidRDefault="00FB1683" w:rsidP="00FB1683">
      <w:pPr>
        <w:tabs>
          <w:tab w:val="right" w:pos="850"/>
        </w:tabs>
        <w:spacing w:after="120"/>
        <w:rPr>
          <w:noProof/>
        </w:rPr>
      </w:pPr>
      <w:r w:rsidRPr="00A47266">
        <w:rPr>
          <w:rStyle w:val="Lienhypertexte"/>
          <w:noProof/>
          <w:color w:val="auto"/>
        </w:rPr>
        <w:tab/>
      </w:r>
      <w:r w:rsidRPr="00A47266">
        <w:t>Annexe</w:t>
      </w:r>
      <w:r w:rsidR="00834135">
        <w:rPr>
          <w:rStyle w:val="Lienhypertexte"/>
          <w:noProof/>
          <w:color w:val="auto"/>
        </w:rPr>
        <w:t xml:space="preserve"> </w:t>
      </w:r>
      <w:r w:rsidRPr="00A47266">
        <w:rPr>
          <w:rStyle w:val="Lienhypertexte"/>
          <w:noProof/>
          <w:color w:val="auto"/>
        </w:rPr>
        <w:t>I</w:t>
      </w:r>
    </w:p>
    <w:p w14:paraId="13EFBB74" w14:textId="56A4AEF1" w:rsidR="00FB1683" w:rsidRPr="00A47266" w:rsidRDefault="00FB1683" w:rsidP="00FB1683">
      <w:pPr>
        <w:tabs>
          <w:tab w:val="right" w:pos="850"/>
          <w:tab w:val="right" w:leader="dot" w:pos="8929"/>
          <w:tab w:val="right" w:pos="9638"/>
        </w:tabs>
        <w:spacing w:after="120"/>
        <w:ind w:left="1134" w:hanging="1134"/>
        <w:rPr>
          <w:noProof/>
          <w:lang w:val="en-GB"/>
        </w:rPr>
      </w:pPr>
      <w:r w:rsidRPr="00A47266">
        <w:rPr>
          <w:rStyle w:val="Lienhypertexte"/>
          <w:noProof/>
          <w:color w:val="auto"/>
          <w:lang w:val="en-GB"/>
        </w:rPr>
        <w:tab/>
      </w:r>
      <w:r w:rsidRPr="00A47266">
        <w:rPr>
          <w:noProof/>
          <w:lang w:val="en-GB"/>
        </w:rPr>
        <w:tab/>
      </w:r>
      <w:r w:rsidR="00660ABA" w:rsidRPr="00A47266">
        <w:rPr>
          <w:lang w:val="fr-FR"/>
        </w:rPr>
        <w:t>Texte</w:t>
      </w:r>
      <w:r w:rsidR="00834135">
        <w:rPr>
          <w:lang w:val="fr-FR"/>
        </w:rPr>
        <w:t xml:space="preserve"> </w:t>
      </w:r>
      <w:r w:rsidR="00660ABA" w:rsidRPr="00A47266">
        <w:rPr>
          <w:lang w:val="fr-FR"/>
        </w:rPr>
        <w:t>intégral</w:t>
      </w:r>
      <w:r w:rsidR="00834135">
        <w:rPr>
          <w:lang w:val="fr-FR"/>
        </w:rPr>
        <w:t xml:space="preserve"> </w:t>
      </w:r>
      <w:r w:rsidR="00660ABA" w:rsidRPr="00A47266">
        <w:rPr>
          <w:lang w:val="fr-FR"/>
        </w:rPr>
        <w:t>des</w:t>
      </w:r>
      <w:r w:rsidR="00834135">
        <w:rPr>
          <w:lang w:val="fr-FR"/>
        </w:rPr>
        <w:t xml:space="preserve"> </w:t>
      </w:r>
      <w:r w:rsidR="00660ABA" w:rsidRPr="00A47266">
        <w:rPr>
          <w:lang w:val="fr-FR"/>
        </w:rPr>
        <w:t>déclarations</w:t>
      </w:r>
      <w:r w:rsidR="00834135">
        <w:rPr>
          <w:lang w:val="fr-FR"/>
        </w:rPr>
        <w:t xml:space="preserve"> </w:t>
      </w:r>
      <w:r w:rsidR="00660ABA" w:rsidRPr="00A47266">
        <w:rPr>
          <w:lang w:val="fr-FR"/>
        </w:rPr>
        <w:t>gouvernementales</w:t>
      </w:r>
      <w:r w:rsidR="00834135">
        <w:rPr>
          <w:lang w:val="fr-FR"/>
        </w:rPr>
        <w:t xml:space="preserve"> </w:t>
      </w:r>
      <w:r w:rsidR="00660ABA" w:rsidRPr="00A47266">
        <w:rPr>
          <w:lang w:val="fr-FR"/>
        </w:rPr>
        <w:t>prononcées</w:t>
      </w:r>
      <w:r w:rsidR="00834135">
        <w:rPr>
          <w:lang w:val="fr-FR"/>
        </w:rPr>
        <w:t xml:space="preserve"> </w:t>
      </w:r>
      <w:r w:rsidR="00660ABA" w:rsidRPr="00A47266">
        <w:rPr>
          <w:lang w:val="fr-FR"/>
        </w:rPr>
        <w:t>à</w:t>
      </w:r>
      <w:r w:rsidR="00834135">
        <w:rPr>
          <w:lang w:val="fr-FR"/>
        </w:rPr>
        <w:t xml:space="preserve"> </w:t>
      </w:r>
      <w:r w:rsidR="00660ABA" w:rsidRPr="00A47266">
        <w:rPr>
          <w:lang w:val="fr-FR"/>
        </w:rPr>
        <w:t>la</w:t>
      </w:r>
      <w:r w:rsidR="00834135">
        <w:rPr>
          <w:lang w:val="fr-FR"/>
        </w:rPr>
        <w:t xml:space="preserve"> </w:t>
      </w:r>
      <w:r w:rsidR="00660ABA" w:rsidRPr="00A47266">
        <w:rPr>
          <w:lang w:val="fr-FR"/>
        </w:rPr>
        <w:t>soixante-dix-neuvième</w:t>
      </w:r>
      <w:r w:rsidR="00834135">
        <w:rPr>
          <w:lang w:val="fr-FR"/>
        </w:rPr>
        <w:t xml:space="preserve"> </w:t>
      </w:r>
      <w:r w:rsidR="00834135">
        <w:rPr>
          <w:lang w:val="fr-FR"/>
        </w:rPr>
        <w:br/>
      </w:r>
      <w:r w:rsidR="00660ABA" w:rsidRPr="00A47266">
        <w:rPr>
          <w:lang w:val="fr-FR"/>
        </w:rPr>
        <w:t>session</w:t>
      </w:r>
      <w:r w:rsidR="00834135">
        <w:rPr>
          <w:lang w:val="fr-FR"/>
        </w:rPr>
        <w:t xml:space="preserve"> </w:t>
      </w:r>
      <w:r w:rsidR="00660ABA" w:rsidRPr="00A47266">
        <w:rPr>
          <w:lang w:val="fr-FR"/>
        </w:rPr>
        <w:t>du</w:t>
      </w:r>
      <w:r w:rsidR="00834135">
        <w:rPr>
          <w:lang w:val="fr-FR"/>
        </w:rPr>
        <w:t xml:space="preserve"> </w:t>
      </w:r>
      <w:r w:rsidR="00660ABA" w:rsidRPr="00A47266">
        <w:rPr>
          <w:lang w:val="fr-FR"/>
        </w:rPr>
        <w:t>Groupe</w:t>
      </w:r>
      <w:r w:rsidR="00834135">
        <w:rPr>
          <w:lang w:val="fr-FR"/>
        </w:rPr>
        <w:t xml:space="preserve"> </w:t>
      </w:r>
      <w:r w:rsidR="00660ABA" w:rsidRPr="00A47266">
        <w:rPr>
          <w:lang w:val="fr-FR"/>
        </w:rPr>
        <w:t>de</w:t>
      </w:r>
      <w:r w:rsidR="00834135">
        <w:rPr>
          <w:lang w:val="fr-FR"/>
        </w:rPr>
        <w:t xml:space="preserve"> </w:t>
      </w:r>
      <w:r w:rsidR="00660ABA" w:rsidRPr="00A47266">
        <w:rPr>
          <w:lang w:val="fr-FR"/>
        </w:rPr>
        <w:t>travail</w:t>
      </w:r>
      <w:r w:rsidR="00834135">
        <w:rPr>
          <w:lang w:val="fr-FR"/>
        </w:rPr>
        <w:t xml:space="preserve"> </w:t>
      </w:r>
      <w:r w:rsidR="00660ABA" w:rsidRPr="00A47266">
        <w:rPr>
          <w:lang w:val="fr-FR"/>
        </w:rPr>
        <w:t>du</w:t>
      </w:r>
      <w:r w:rsidR="00834135">
        <w:rPr>
          <w:lang w:val="fr-FR"/>
        </w:rPr>
        <w:t xml:space="preserve"> </w:t>
      </w:r>
      <w:r w:rsidR="00660ABA" w:rsidRPr="00A47266">
        <w:rPr>
          <w:lang w:val="fr-FR"/>
        </w:rPr>
        <w:t>transport</w:t>
      </w:r>
      <w:r w:rsidR="00834135">
        <w:rPr>
          <w:lang w:val="fr-FR"/>
        </w:rPr>
        <w:t xml:space="preserve"> </w:t>
      </w:r>
      <w:r w:rsidR="00660ABA" w:rsidRPr="00A47266">
        <w:rPr>
          <w:lang w:val="fr-FR"/>
        </w:rPr>
        <w:t>des</w:t>
      </w:r>
      <w:r w:rsidR="00834135">
        <w:rPr>
          <w:lang w:val="fr-FR"/>
        </w:rPr>
        <w:t xml:space="preserve"> </w:t>
      </w:r>
      <w:r w:rsidR="00660ABA" w:rsidRPr="00A47266">
        <w:rPr>
          <w:lang w:val="fr-FR"/>
        </w:rPr>
        <w:t>denrées</w:t>
      </w:r>
      <w:r w:rsidR="00834135">
        <w:rPr>
          <w:lang w:val="fr-FR"/>
        </w:rPr>
        <w:t xml:space="preserve"> </w:t>
      </w:r>
      <w:r w:rsidR="00660ABA" w:rsidRPr="00A47266">
        <w:rPr>
          <w:lang w:val="fr-FR"/>
        </w:rPr>
        <w:t>périssables</w:t>
      </w:r>
      <w:r w:rsidRPr="00A47266">
        <w:rPr>
          <w:noProof/>
          <w:webHidden/>
          <w:lang w:val="en-GB"/>
        </w:rPr>
        <w:tab/>
      </w:r>
      <w:r w:rsidRPr="00A47266">
        <w:rPr>
          <w:noProof/>
          <w:webHidden/>
          <w:lang w:val="en-GB"/>
        </w:rPr>
        <w:tab/>
      </w:r>
      <w:r w:rsidR="00FB7F7F">
        <w:rPr>
          <w:noProof/>
          <w:webHidden/>
          <w:lang w:val="en-GB"/>
        </w:rPr>
        <w:t>17</w:t>
      </w:r>
    </w:p>
    <w:p w14:paraId="6EF70B6F" w14:textId="3009F337" w:rsidR="00FB1683" w:rsidRPr="00A47266" w:rsidRDefault="00FB1683" w:rsidP="00FB1683">
      <w:pPr>
        <w:tabs>
          <w:tab w:val="right" w:pos="850"/>
          <w:tab w:val="right" w:leader="dot" w:pos="8929"/>
          <w:tab w:val="right" w:pos="9638"/>
        </w:tabs>
        <w:spacing w:after="120"/>
        <w:ind w:left="1134" w:hanging="1134"/>
        <w:rPr>
          <w:noProof/>
          <w:webHidden/>
          <w:lang w:val="en-GB"/>
        </w:rPr>
      </w:pPr>
      <w:r w:rsidRPr="00A47266">
        <w:rPr>
          <w:rStyle w:val="Lienhypertexte"/>
          <w:noProof/>
          <w:color w:val="auto"/>
          <w:lang w:val="en-GB"/>
        </w:rPr>
        <w:tab/>
      </w:r>
      <w:r w:rsidRPr="00A47266">
        <w:rPr>
          <w:rStyle w:val="Lienhypertexte"/>
          <w:noProof/>
          <w:color w:val="auto"/>
          <w:lang w:val="en-GB"/>
        </w:rPr>
        <w:tab/>
      </w:r>
      <w:r w:rsidR="00660ABA" w:rsidRPr="00A47266">
        <w:rPr>
          <w:lang w:val="fr-FR"/>
        </w:rPr>
        <w:t>Déclaration</w:t>
      </w:r>
      <w:r w:rsidR="00834135">
        <w:rPr>
          <w:lang w:val="fr-FR"/>
        </w:rPr>
        <w:t xml:space="preserve"> </w:t>
      </w:r>
      <w:r w:rsidR="00660ABA" w:rsidRPr="00A47266">
        <w:rPr>
          <w:lang w:val="fr-FR"/>
        </w:rPr>
        <w:t>du</w:t>
      </w:r>
      <w:r w:rsidR="00834135">
        <w:rPr>
          <w:lang w:val="fr-FR"/>
        </w:rPr>
        <w:t xml:space="preserve"> </w:t>
      </w:r>
      <w:r w:rsidR="00660ABA" w:rsidRPr="00A47266">
        <w:rPr>
          <w:lang w:val="fr-FR"/>
        </w:rPr>
        <w:t>Danemark</w:t>
      </w:r>
      <w:r w:rsidRPr="00A47266">
        <w:rPr>
          <w:noProof/>
          <w:webHidden/>
          <w:lang w:val="en-GB"/>
        </w:rPr>
        <w:tab/>
      </w:r>
      <w:r w:rsidRPr="00A47266">
        <w:rPr>
          <w:noProof/>
          <w:webHidden/>
          <w:lang w:val="en-GB"/>
        </w:rPr>
        <w:tab/>
      </w:r>
      <w:r w:rsidR="00FB7F7F">
        <w:rPr>
          <w:noProof/>
          <w:webHidden/>
          <w:lang w:val="en-GB"/>
        </w:rPr>
        <w:t>17</w:t>
      </w:r>
    </w:p>
    <w:p w14:paraId="167E874E" w14:textId="6DE42D93" w:rsidR="00FB1683" w:rsidRPr="00A47266" w:rsidRDefault="00FB1683" w:rsidP="00FB1683">
      <w:pPr>
        <w:tabs>
          <w:tab w:val="right" w:pos="850"/>
          <w:tab w:val="right" w:leader="dot" w:pos="8929"/>
          <w:tab w:val="right" w:pos="9638"/>
        </w:tabs>
        <w:spacing w:after="120"/>
        <w:ind w:left="1134" w:hanging="1134"/>
        <w:rPr>
          <w:noProof/>
          <w:lang w:val="en-GB"/>
        </w:rPr>
      </w:pPr>
      <w:r w:rsidRPr="00A47266">
        <w:rPr>
          <w:noProof/>
          <w:webHidden/>
          <w:lang w:val="en-GB"/>
        </w:rPr>
        <w:tab/>
      </w:r>
      <w:r w:rsidRPr="00A47266">
        <w:rPr>
          <w:noProof/>
          <w:webHidden/>
          <w:lang w:val="en-GB"/>
        </w:rPr>
        <w:tab/>
      </w:r>
      <w:r w:rsidR="00660ABA" w:rsidRPr="00A47266">
        <w:rPr>
          <w:lang w:val="fr-FR"/>
        </w:rPr>
        <w:t>Déclaration</w:t>
      </w:r>
      <w:r w:rsidR="00834135">
        <w:rPr>
          <w:lang w:val="fr-FR"/>
        </w:rPr>
        <w:t xml:space="preserve"> </w:t>
      </w:r>
      <w:r w:rsidR="00660ABA" w:rsidRPr="00A47266">
        <w:rPr>
          <w:lang w:val="fr-FR"/>
        </w:rPr>
        <w:t>de</w:t>
      </w:r>
      <w:r w:rsidR="00834135">
        <w:rPr>
          <w:lang w:val="fr-FR"/>
        </w:rPr>
        <w:t xml:space="preserve"> </w:t>
      </w:r>
      <w:r w:rsidR="00660ABA" w:rsidRPr="00A47266">
        <w:rPr>
          <w:lang w:val="fr-FR"/>
        </w:rPr>
        <w:t>la</w:t>
      </w:r>
      <w:r w:rsidR="00834135">
        <w:rPr>
          <w:lang w:val="fr-FR"/>
        </w:rPr>
        <w:t xml:space="preserve"> </w:t>
      </w:r>
      <w:r w:rsidR="00660ABA" w:rsidRPr="00A47266">
        <w:rPr>
          <w:lang w:val="fr-FR"/>
        </w:rPr>
        <w:t>Fédération</w:t>
      </w:r>
      <w:r w:rsidR="00834135">
        <w:rPr>
          <w:lang w:val="fr-FR"/>
        </w:rPr>
        <w:t xml:space="preserve"> </w:t>
      </w:r>
      <w:r w:rsidR="00660ABA" w:rsidRPr="00A47266">
        <w:rPr>
          <w:lang w:val="fr-FR"/>
        </w:rPr>
        <w:t>de</w:t>
      </w:r>
      <w:r w:rsidR="00834135">
        <w:rPr>
          <w:lang w:val="fr-FR"/>
        </w:rPr>
        <w:t xml:space="preserve"> </w:t>
      </w:r>
      <w:r w:rsidR="00660ABA" w:rsidRPr="00A47266">
        <w:rPr>
          <w:lang w:val="fr-FR"/>
        </w:rPr>
        <w:t>Russie</w:t>
      </w:r>
      <w:r w:rsidRPr="00A47266">
        <w:rPr>
          <w:noProof/>
          <w:webHidden/>
          <w:lang w:val="en-GB"/>
        </w:rPr>
        <w:tab/>
      </w:r>
      <w:r w:rsidRPr="00A47266">
        <w:rPr>
          <w:noProof/>
          <w:webHidden/>
          <w:lang w:val="en-GB"/>
        </w:rPr>
        <w:tab/>
      </w:r>
      <w:r w:rsidR="00FB7F7F">
        <w:rPr>
          <w:noProof/>
          <w:webHidden/>
          <w:lang w:val="en-GB"/>
        </w:rPr>
        <w:t>17</w:t>
      </w:r>
    </w:p>
    <w:p w14:paraId="0F19770F" w14:textId="6505CF6B" w:rsidR="00FB1683" w:rsidRPr="00A47266" w:rsidRDefault="00FB1683" w:rsidP="00FB1683">
      <w:pPr>
        <w:tabs>
          <w:tab w:val="right" w:pos="850"/>
        </w:tabs>
        <w:spacing w:after="120"/>
        <w:rPr>
          <w:rStyle w:val="Lienhypertexte"/>
          <w:noProof/>
          <w:color w:val="auto"/>
        </w:rPr>
      </w:pPr>
      <w:r w:rsidRPr="00A47266">
        <w:rPr>
          <w:rStyle w:val="Lienhypertexte"/>
          <w:noProof/>
          <w:color w:val="auto"/>
        </w:rPr>
        <w:tab/>
      </w:r>
      <w:r w:rsidRPr="00A47266">
        <w:t>Annexe</w:t>
      </w:r>
      <w:r w:rsidR="00834135">
        <w:rPr>
          <w:rStyle w:val="Lienhypertexte"/>
          <w:noProof/>
          <w:color w:val="auto"/>
        </w:rPr>
        <w:t xml:space="preserve"> </w:t>
      </w:r>
      <w:r w:rsidRPr="00A47266">
        <w:rPr>
          <w:rStyle w:val="Lienhypertexte"/>
          <w:noProof/>
          <w:color w:val="auto"/>
        </w:rPr>
        <w:t>II</w:t>
      </w:r>
    </w:p>
    <w:p w14:paraId="5EF92502" w14:textId="7A771715" w:rsidR="00FB1683" w:rsidRPr="00A47266" w:rsidRDefault="00FB1683" w:rsidP="00FB1683">
      <w:pPr>
        <w:tabs>
          <w:tab w:val="right" w:pos="850"/>
          <w:tab w:val="right" w:leader="dot" w:pos="8929"/>
          <w:tab w:val="right" w:pos="9638"/>
        </w:tabs>
        <w:spacing w:after="120"/>
        <w:ind w:left="1134" w:hanging="1134"/>
        <w:rPr>
          <w:noProof/>
          <w:webHidden/>
          <w:lang w:val="en-GB"/>
        </w:rPr>
      </w:pPr>
      <w:r w:rsidRPr="00A47266">
        <w:rPr>
          <w:rStyle w:val="Lienhypertexte"/>
          <w:noProof/>
          <w:color w:val="auto"/>
          <w:lang w:val="en-GB"/>
        </w:rPr>
        <w:tab/>
      </w:r>
      <w:r w:rsidRPr="00A47266">
        <w:rPr>
          <w:noProof/>
          <w:lang w:val="en-GB"/>
        </w:rPr>
        <w:tab/>
      </w:r>
      <w:r w:rsidRPr="00A47266">
        <w:rPr>
          <w:lang w:val="en-GB"/>
        </w:rPr>
        <w:t>Proposed</w:t>
      </w:r>
      <w:r w:rsidR="00834135">
        <w:rPr>
          <w:rStyle w:val="Lienhypertexte"/>
          <w:noProof/>
          <w:color w:val="auto"/>
          <w:lang w:val="en-GB"/>
        </w:rPr>
        <w:t xml:space="preserve"> </w:t>
      </w:r>
      <w:r w:rsidRPr="00A47266">
        <w:rPr>
          <w:rStyle w:val="Lienhypertexte"/>
          <w:noProof/>
          <w:color w:val="auto"/>
          <w:lang w:val="en-GB"/>
        </w:rPr>
        <w:t>amendments</w:t>
      </w:r>
      <w:r w:rsidR="00834135">
        <w:rPr>
          <w:rStyle w:val="Lienhypertexte"/>
          <w:noProof/>
          <w:color w:val="auto"/>
          <w:lang w:val="en-GB"/>
        </w:rPr>
        <w:t xml:space="preserve"> </w:t>
      </w:r>
      <w:r w:rsidRPr="00A47266">
        <w:rPr>
          <w:rStyle w:val="Lienhypertexte"/>
          <w:noProof/>
          <w:color w:val="auto"/>
          <w:lang w:val="en-GB"/>
        </w:rPr>
        <w:t>to</w:t>
      </w:r>
      <w:r w:rsidR="00834135">
        <w:rPr>
          <w:rStyle w:val="Lienhypertexte"/>
          <w:noProof/>
          <w:color w:val="auto"/>
          <w:lang w:val="en-GB"/>
        </w:rPr>
        <w:t xml:space="preserve"> </w:t>
      </w:r>
      <w:r w:rsidRPr="00A47266">
        <w:rPr>
          <w:rStyle w:val="Lienhypertexte"/>
          <w:noProof/>
          <w:color w:val="auto"/>
          <w:lang w:val="en-GB"/>
        </w:rPr>
        <w:t>the</w:t>
      </w:r>
      <w:r w:rsidR="00834135">
        <w:rPr>
          <w:rStyle w:val="Lienhypertexte"/>
          <w:noProof/>
          <w:color w:val="auto"/>
          <w:lang w:val="en-GB"/>
        </w:rPr>
        <w:t xml:space="preserve"> </w:t>
      </w:r>
      <w:r w:rsidRPr="00A47266">
        <w:rPr>
          <w:rStyle w:val="Lienhypertexte"/>
          <w:noProof/>
          <w:color w:val="auto"/>
          <w:lang w:val="en-GB"/>
        </w:rPr>
        <w:t>ATP</w:t>
      </w:r>
      <w:r w:rsidRPr="00A47266">
        <w:rPr>
          <w:noProof/>
          <w:webHidden/>
          <w:lang w:val="en-GB"/>
        </w:rPr>
        <w:tab/>
      </w:r>
      <w:r w:rsidRPr="00A47266">
        <w:rPr>
          <w:noProof/>
          <w:webHidden/>
          <w:lang w:val="en-GB"/>
        </w:rPr>
        <w:tab/>
      </w:r>
      <w:r w:rsidR="00FB7F7F">
        <w:rPr>
          <w:noProof/>
          <w:webHidden/>
          <w:lang w:val="en-GB"/>
        </w:rPr>
        <w:t>18</w:t>
      </w:r>
    </w:p>
    <w:p w14:paraId="170D9E29" w14:textId="62A16985" w:rsidR="00FB1683" w:rsidRPr="00A47266" w:rsidRDefault="00FB1683" w:rsidP="00FB1683">
      <w:pPr>
        <w:tabs>
          <w:tab w:val="right" w:pos="850"/>
        </w:tabs>
        <w:spacing w:after="120"/>
        <w:rPr>
          <w:noProof/>
          <w:webHidden/>
        </w:rPr>
      </w:pPr>
      <w:r w:rsidRPr="00A47266">
        <w:rPr>
          <w:noProof/>
          <w:webHidden/>
        </w:rPr>
        <w:tab/>
      </w:r>
      <w:r w:rsidRPr="00A47266">
        <w:rPr>
          <w:webHidden/>
        </w:rPr>
        <w:t>Annexe</w:t>
      </w:r>
      <w:r w:rsidR="00834135">
        <w:rPr>
          <w:noProof/>
          <w:webHidden/>
        </w:rPr>
        <w:t xml:space="preserve"> </w:t>
      </w:r>
      <w:r w:rsidRPr="00A47266">
        <w:rPr>
          <w:noProof/>
          <w:webHidden/>
        </w:rPr>
        <w:t>III</w:t>
      </w:r>
    </w:p>
    <w:p w14:paraId="00795BF9" w14:textId="6DD5E705" w:rsidR="00FB1683" w:rsidRPr="00A47266" w:rsidRDefault="00FB1683" w:rsidP="00FB1683">
      <w:pPr>
        <w:tabs>
          <w:tab w:val="right" w:pos="850"/>
          <w:tab w:val="right" w:leader="dot" w:pos="8929"/>
          <w:tab w:val="right" w:pos="9638"/>
        </w:tabs>
        <w:spacing w:after="120"/>
        <w:ind w:left="1134" w:hanging="1134"/>
        <w:rPr>
          <w:noProof/>
          <w:lang w:val="en-GB"/>
        </w:rPr>
      </w:pPr>
      <w:r w:rsidRPr="00A47266">
        <w:rPr>
          <w:noProof/>
          <w:webHidden/>
          <w:lang w:val="en-GB"/>
        </w:rPr>
        <w:tab/>
      </w:r>
      <w:r w:rsidRPr="00A47266">
        <w:rPr>
          <w:noProof/>
          <w:webHidden/>
          <w:lang w:val="en-GB"/>
        </w:rPr>
        <w:tab/>
      </w:r>
      <w:r w:rsidRPr="00A47266">
        <w:rPr>
          <w:lang w:val="en-GB"/>
        </w:rPr>
        <w:t>Additions</w:t>
      </w:r>
      <w:r w:rsidR="00834135">
        <w:rPr>
          <w:noProof/>
          <w:lang w:val="en-GB"/>
        </w:rPr>
        <w:t xml:space="preserve"> </w:t>
      </w:r>
      <w:r w:rsidRPr="00A47266">
        <w:rPr>
          <w:noProof/>
          <w:lang w:val="en-GB"/>
        </w:rPr>
        <w:t>to</w:t>
      </w:r>
      <w:r w:rsidR="00834135">
        <w:rPr>
          <w:noProof/>
          <w:lang w:val="en-GB"/>
        </w:rPr>
        <w:t xml:space="preserve"> </w:t>
      </w:r>
      <w:r w:rsidRPr="00A47266">
        <w:rPr>
          <w:noProof/>
          <w:lang w:val="en-GB"/>
        </w:rPr>
        <w:t>the</w:t>
      </w:r>
      <w:r w:rsidR="00834135">
        <w:rPr>
          <w:noProof/>
          <w:lang w:val="en-GB"/>
        </w:rPr>
        <w:t xml:space="preserve"> </w:t>
      </w:r>
      <w:r w:rsidRPr="00A47266">
        <w:rPr>
          <w:noProof/>
          <w:lang w:val="en-GB"/>
        </w:rPr>
        <w:t>ATP</w:t>
      </w:r>
      <w:r w:rsidR="00834135">
        <w:rPr>
          <w:noProof/>
          <w:lang w:val="en-GB"/>
        </w:rPr>
        <w:t xml:space="preserve"> </w:t>
      </w:r>
      <w:r w:rsidRPr="00A47266">
        <w:rPr>
          <w:noProof/>
          <w:lang w:val="en-GB"/>
        </w:rPr>
        <w:t>Handbook</w:t>
      </w:r>
      <w:r w:rsidRPr="00A47266">
        <w:rPr>
          <w:noProof/>
          <w:lang w:val="en-GB"/>
        </w:rPr>
        <w:tab/>
      </w:r>
      <w:r w:rsidRPr="00A47266">
        <w:rPr>
          <w:noProof/>
          <w:lang w:val="en-GB"/>
        </w:rPr>
        <w:tab/>
      </w:r>
      <w:r w:rsidR="00FB7F7F">
        <w:rPr>
          <w:noProof/>
          <w:lang w:val="en-GB"/>
        </w:rPr>
        <w:t>21</w:t>
      </w:r>
    </w:p>
    <w:p w14:paraId="7E59FBA4" w14:textId="77777777" w:rsidR="00BC189E" w:rsidRPr="00A47266" w:rsidRDefault="00BC189E" w:rsidP="00A47266">
      <w:pPr>
        <w:pStyle w:val="SingleTxtG"/>
        <w:rPr>
          <w:highlight w:val="yellow"/>
          <w:lang w:val="fr-FR"/>
        </w:rPr>
      </w:pPr>
      <w:r w:rsidRPr="00A47266">
        <w:rPr>
          <w:highlight w:val="yellow"/>
          <w:lang w:val="fr-FR"/>
        </w:rPr>
        <w:br w:type="page"/>
      </w:r>
    </w:p>
    <w:p w14:paraId="5D17C973" w14:textId="77777777" w:rsidR="00BC189E" w:rsidRPr="00A47266" w:rsidRDefault="00BC189E" w:rsidP="00A47266">
      <w:pPr>
        <w:pStyle w:val="HChG"/>
        <w:rPr>
          <w:szCs w:val="24"/>
          <w:lang w:val="fr-FR"/>
        </w:rPr>
      </w:pPr>
      <w:r w:rsidRPr="00A47266">
        <w:rPr>
          <w:lang w:val="fr-FR"/>
        </w:rPr>
        <w:lastRenderedPageBreak/>
        <w:tab/>
        <w:t>I.</w:t>
      </w:r>
      <w:r w:rsidRPr="00A47266">
        <w:rPr>
          <w:lang w:val="fr-FR"/>
        </w:rPr>
        <w:tab/>
        <w:t>Participation</w:t>
      </w:r>
      <w:bookmarkStart w:id="1" w:name="_Toc401568633"/>
      <w:bookmarkEnd w:id="1"/>
    </w:p>
    <w:p w14:paraId="749818D1" w14:textId="483AAD5D" w:rsidR="00BC189E" w:rsidRPr="00A47266" w:rsidRDefault="00BC189E" w:rsidP="00A47266">
      <w:pPr>
        <w:pStyle w:val="SingleTxtG"/>
        <w:rPr>
          <w:spacing w:val="-2"/>
          <w:szCs w:val="24"/>
          <w:lang w:val="fr-FR"/>
        </w:rPr>
      </w:pPr>
      <w:r w:rsidRPr="00A47266">
        <w:rPr>
          <w:spacing w:val="-2"/>
          <w:lang w:val="fr-FR"/>
        </w:rPr>
        <w:t>1.</w:t>
      </w:r>
      <w:r w:rsidRPr="00A47266">
        <w:rPr>
          <w:spacing w:val="-2"/>
          <w:lang w:val="fr-FR"/>
        </w:rPr>
        <w:tab/>
        <w:t>Le Groupe de travail du transport des denrées périssables (WP.11) de la Commission économique pour l’Europe (CEE) a tenu sa quatre-vingtième session du 24 au 27</w:t>
      </w:r>
      <w:r w:rsidR="00A47266" w:rsidRPr="00A47266">
        <w:rPr>
          <w:spacing w:val="-2"/>
          <w:lang w:val="fr-FR"/>
        </w:rPr>
        <w:t> </w:t>
      </w:r>
      <w:r w:rsidRPr="00A47266">
        <w:rPr>
          <w:spacing w:val="-2"/>
          <w:lang w:val="fr-FR"/>
        </w:rPr>
        <w:t>octobre 2023, sous la présidence de M.</w:t>
      </w:r>
      <w:r w:rsidR="00A47266" w:rsidRPr="00A47266">
        <w:rPr>
          <w:spacing w:val="-2"/>
          <w:lang w:val="fr-FR"/>
        </w:rPr>
        <w:t> </w:t>
      </w:r>
      <w:r w:rsidRPr="00A47266">
        <w:rPr>
          <w:spacing w:val="-2"/>
          <w:lang w:val="fr-FR"/>
        </w:rPr>
        <w:t>K. de</w:t>
      </w:r>
      <w:r w:rsidR="00A47266" w:rsidRPr="00A47266">
        <w:rPr>
          <w:spacing w:val="-2"/>
          <w:lang w:val="fr-FR"/>
        </w:rPr>
        <w:t> </w:t>
      </w:r>
      <w:r w:rsidRPr="00A47266">
        <w:rPr>
          <w:spacing w:val="-2"/>
          <w:lang w:val="fr-FR"/>
        </w:rPr>
        <w:t>Putter (Pays-Bas) et la vice-présidence de M.</w:t>
      </w:r>
      <w:r w:rsidR="00A47266" w:rsidRPr="00A47266">
        <w:rPr>
          <w:spacing w:val="-2"/>
          <w:lang w:val="fr-FR"/>
        </w:rPr>
        <w:t> </w:t>
      </w:r>
      <w:r w:rsidRPr="00A47266">
        <w:rPr>
          <w:spacing w:val="-2"/>
          <w:lang w:val="fr-FR"/>
        </w:rPr>
        <w:t>O. Valet (France).</w:t>
      </w:r>
    </w:p>
    <w:p w14:paraId="09FCF42E" w14:textId="5CAC59CF" w:rsidR="00BC189E" w:rsidRPr="00A47266" w:rsidRDefault="00BC189E" w:rsidP="00BC189E">
      <w:pPr>
        <w:pStyle w:val="SingleTxtG"/>
        <w:rPr>
          <w:lang w:val="fr-FR"/>
        </w:rPr>
      </w:pPr>
      <w:r w:rsidRPr="00A47266">
        <w:rPr>
          <w:lang w:val="fr-FR"/>
        </w:rPr>
        <w:t>2.</w:t>
      </w:r>
      <w:r w:rsidRPr="00A47266">
        <w:rPr>
          <w:lang w:val="fr-FR"/>
        </w:rPr>
        <w:tab/>
        <w:t>Ont participé à cette session des représentants des pays suivants : Allemagne, Danemark, Espagne, États-Unis d’Amérique, Fédération de Russie, Finlande, France, Italie, Luxembourg, Pays-Bas, Pologne, Portugal, Royaume-Uni de Grande-Bretagne et d’Irlande du Nord, Slovénie, Tchéquie et Türkiye.</w:t>
      </w:r>
    </w:p>
    <w:p w14:paraId="48302BB4" w14:textId="77777777" w:rsidR="00BC189E" w:rsidRPr="00A47266" w:rsidRDefault="00BC189E" w:rsidP="00BC189E">
      <w:pPr>
        <w:pStyle w:val="SingleTxtG"/>
        <w:rPr>
          <w:lang w:val="fr-FR"/>
        </w:rPr>
      </w:pPr>
      <w:r w:rsidRPr="00A47266">
        <w:rPr>
          <w:lang w:val="fr-FR"/>
        </w:rPr>
        <w:t>3.</w:t>
      </w:r>
      <w:r w:rsidRPr="00A47266">
        <w:rPr>
          <w:lang w:val="fr-FR"/>
        </w:rPr>
        <w:tab/>
        <w:t>Étaient représentées à la session une organisation intergouvernementale, l’Institut international du froid (IIF), ainsi que deux organisations non gouvernementales, l’Association internationale de la construction de carrosseries et de remorques (CLCCR) et Transfrigoroute International.</w:t>
      </w:r>
    </w:p>
    <w:p w14:paraId="7B096B8F" w14:textId="77777777" w:rsidR="00BC189E" w:rsidRPr="00A47266" w:rsidRDefault="00BC189E" w:rsidP="00A47266">
      <w:pPr>
        <w:pStyle w:val="HChG"/>
        <w:rPr>
          <w:caps/>
          <w:lang w:val="fr-FR"/>
        </w:rPr>
      </w:pPr>
      <w:r w:rsidRPr="00A47266">
        <w:rPr>
          <w:lang w:val="fr-FR"/>
        </w:rPr>
        <w:tab/>
        <w:t>II.</w:t>
      </w:r>
      <w:r w:rsidRPr="00A47266">
        <w:rPr>
          <w:lang w:val="fr-FR"/>
        </w:rPr>
        <w:tab/>
        <w:t>Adoption de l’ordre du jour (point 1 de l’ordre du jour)</w:t>
      </w:r>
      <w:bookmarkStart w:id="2" w:name="_Toc401568230"/>
      <w:bookmarkStart w:id="3" w:name="_Toc401568635"/>
      <w:bookmarkEnd w:id="2"/>
      <w:bookmarkEnd w:id="3"/>
    </w:p>
    <w:p w14:paraId="6D3BD7EA" w14:textId="2F19DF1F" w:rsidR="00BC189E" w:rsidRPr="00A47266" w:rsidRDefault="00BC189E" w:rsidP="00A47266">
      <w:pPr>
        <w:pStyle w:val="SingleTxtG"/>
        <w:ind w:left="2552" w:hanging="1418"/>
        <w:jc w:val="left"/>
        <w:rPr>
          <w:lang w:val="fr-FR"/>
        </w:rPr>
      </w:pPr>
      <w:r w:rsidRPr="00A47266">
        <w:rPr>
          <w:i/>
          <w:iCs/>
          <w:lang w:val="fr-FR"/>
        </w:rPr>
        <w:t>Document</w:t>
      </w:r>
      <w:r w:rsidR="00D8338B">
        <w:rPr>
          <w:i/>
          <w:iCs/>
          <w:lang w:val="fr-FR"/>
        </w:rPr>
        <w:t>(s)</w:t>
      </w:r>
      <w:r w:rsidRPr="00A47266">
        <w:rPr>
          <w:lang w:val="fr-FR"/>
        </w:rPr>
        <w:t> :</w:t>
      </w:r>
      <w:r w:rsidRPr="00A47266">
        <w:rPr>
          <w:lang w:val="fr-FR"/>
        </w:rPr>
        <w:tab/>
      </w:r>
      <w:hyperlink r:id="rId8" w:history="1">
        <w:r w:rsidRPr="00A47266">
          <w:rPr>
            <w:rStyle w:val="Lienhypertexte"/>
            <w:color w:val="auto"/>
            <w:lang w:val="fr-FR"/>
          </w:rPr>
          <w:t>ECE/TRANS/WP.11/250</w:t>
        </w:r>
      </w:hyperlink>
      <w:r w:rsidR="00A47266" w:rsidRPr="00A47266">
        <w:rPr>
          <w:rStyle w:val="Lienhypertexte"/>
          <w:color w:val="auto"/>
          <w:lang w:val="fr-FR"/>
        </w:rPr>
        <w:br/>
      </w:r>
      <w:hyperlink r:id="rId9" w:history="1">
        <w:r w:rsidRPr="00A47266">
          <w:rPr>
            <w:rStyle w:val="Lienhypertexte"/>
            <w:color w:val="auto"/>
            <w:lang w:val="fr-FR"/>
          </w:rPr>
          <w:t>ECE/TRANS/WP.11/250/Add.1</w:t>
        </w:r>
      </w:hyperlink>
      <w:r w:rsidR="00A47266" w:rsidRPr="00A47266">
        <w:rPr>
          <w:rStyle w:val="Lienhypertexte"/>
          <w:color w:val="auto"/>
          <w:lang w:val="fr-FR"/>
        </w:rPr>
        <w:br/>
      </w:r>
      <w:r w:rsidRPr="00A47266">
        <w:rPr>
          <w:lang w:val="fr-FR"/>
        </w:rPr>
        <w:t>Document informel INF.1 (secrétariat)</w:t>
      </w:r>
      <w:r w:rsidR="00A47266" w:rsidRPr="00A47266">
        <w:rPr>
          <w:lang w:val="fr-FR"/>
        </w:rPr>
        <w:br/>
      </w:r>
      <w:r w:rsidRPr="00A47266">
        <w:rPr>
          <w:lang w:val="fr-FR"/>
        </w:rPr>
        <w:t>Document informel INF.4 (secrétariat)</w:t>
      </w:r>
    </w:p>
    <w:p w14:paraId="2BD71728" w14:textId="2BC1A758" w:rsidR="00BC189E" w:rsidRPr="00A47266" w:rsidRDefault="00BC189E" w:rsidP="00BC189E">
      <w:pPr>
        <w:pStyle w:val="SingleTxtG"/>
        <w:rPr>
          <w:lang w:val="fr-FR"/>
        </w:rPr>
      </w:pPr>
      <w:r w:rsidRPr="00A47266">
        <w:rPr>
          <w:lang w:val="fr-FR"/>
        </w:rPr>
        <w:t>4.</w:t>
      </w:r>
      <w:r w:rsidRPr="00A47266">
        <w:rPr>
          <w:lang w:val="fr-FR"/>
        </w:rPr>
        <w:tab/>
        <w:t>L’ordre du jour provisoire (</w:t>
      </w:r>
      <w:hyperlink r:id="rId10" w:history="1">
        <w:r w:rsidRPr="00A47266">
          <w:rPr>
            <w:rStyle w:val="Lienhypertexte"/>
            <w:color w:val="auto"/>
            <w:lang w:val="fr-FR"/>
          </w:rPr>
          <w:t>ECE/TRANS/WP.11/250</w:t>
        </w:r>
      </w:hyperlink>
      <w:r w:rsidRPr="00A47266">
        <w:rPr>
          <w:lang w:val="fr-FR"/>
        </w:rPr>
        <w:t xml:space="preserve"> et </w:t>
      </w:r>
      <w:hyperlink r:id="rId11" w:history="1">
        <w:r w:rsidRPr="00A47266">
          <w:rPr>
            <w:rStyle w:val="Lienhypertexte"/>
            <w:color w:val="auto"/>
            <w:lang w:val="fr-FR"/>
          </w:rPr>
          <w:t>Add.1</w:t>
        </w:r>
      </w:hyperlink>
      <w:r w:rsidRPr="00A47266">
        <w:rPr>
          <w:lang w:val="fr-FR"/>
        </w:rPr>
        <w:t>) a été adopté tel que modifié par le document informel INF.1 afin de tenir compte des documents informels INF.1 à INF.19.</w:t>
      </w:r>
    </w:p>
    <w:p w14:paraId="75A029C7" w14:textId="77777777" w:rsidR="00BC189E" w:rsidRPr="00A47266" w:rsidRDefault="00BC189E" w:rsidP="00BC189E">
      <w:pPr>
        <w:pStyle w:val="HChG"/>
        <w:rPr>
          <w:lang w:val="fr-FR"/>
        </w:rPr>
      </w:pPr>
      <w:r w:rsidRPr="00A47266">
        <w:rPr>
          <w:lang w:val="fr-FR"/>
        </w:rPr>
        <w:tab/>
        <w:t>III.</w:t>
      </w:r>
      <w:r w:rsidRPr="00A47266">
        <w:rPr>
          <w:lang w:val="fr-FR"/>
        </w:rPr>
        <w:tab/>
        <w:t xml:space="preserve">Activités des organes de la CEE présentant un intérêt </w:t>
      </w:r>
      <w:r w:rsidRPr="00A47266">
        <w:rPr>
          <w:lang w:val="fr-FR"/>
        </w:rPr>
        <w:br/>
        <w:t>pour le Groupe de travail (point 2 de l’ordre du jour)</w:t>
      </w:r>
    </w:p>
    <w:p w14:paraId="1C6FA5BD" w14:textId="77777777" w:rsidR="00BC189E" w:rsidRPr="00A47266" w:rsidRDefault="00BC189E" w:rsidP="00BC189E">
      <w:pPr>
        <w:pStyle w:val="H1G"/>
        <w:rPr>
          <w:lang w:val="fr-FR"/>
        </w:rPr>
      </w:pPr>
      <w:r w:rsidRPr="00A47266">
        <w:rPr>
          <w:bCs/>
          <w:lang w:val="fr-FR"/>
        </w:rPr>
        <w:tab/>
        <w:t>A.</w:t>
      </w:r>
      <w:r w:rsidRPr="00A47266">
        <w:rPr>
          <w:lang w:val="fr-FR"/>
        </w:rPr>
        <w:tab/>
      </w:r>
      <w:r w:rsidRPr="00A47266">
        <w:rPr>
          <w:bCs/>
          <w:lang w:val="fr-FR"/>
        </w:rPr>
        <w:t>Comité des transports intérieurs</w:t>
      </w:r>
    </w:p>
    <w:p w14:paraId="0236139D" w14:textId="074233B4" w:rsidR="00BC189E" w:rsidRPr="00A47266" w:rsidRDefault="00BC189E" w:rsidP="00BC189E">
      <w:pPr>
        <w:pStyle w:val="SingleTxtG"/>
        <w:rPr>
          <w:lang w:val="fr-FR"/>
        </w:rPr>
      </w:pPr>
      <w:r w:rsidRPr="00A47266">
        <w:rPr>
          <w:lang w:val="fr-FR"/>
        </w:rPr>
        <w:t>5.</w:t>
      </w:r>
      <w:r w:rsidRPr="00A47266">
        <w:rPr>
          <w:lang w:val="fr-FR"/>
        </w:rPr>
        <w:tab/>
        <w:t>Le Groupe de travail a pris note des paragraphes</w:t>
      </w:r>
      <w:r w:rsidR="00D8338B">
        <w:rPr>
          <w:lang w:val="fr-FR"/>
        </w:rPr>
        <w:t xml:space="preserve"> </w:t>
      </w:r>
      <w:r w:rsidRPr="00A47266">
        <w:rPr>
          <w:lang w:val="fr-FR"/>
        </w:rPr>
        <w:t>118 à 120 du rapport du Comité des transports intérieurs (CTI) sur sa quatre-vingt-cinquième session (21</w:t>
      </w:r>
      <w:r w:rsidRPr="00A47266">
        <w:rPr>
          <w:lang w:val="fr-FR"/>
        </w:rPr>
        <w:noBreakHyphen/>
        <w:t>24 février 2023) (</w:t>
      </w:r>
      <w:hyperlink r:id="rId12" w:history="1">
        <w:r w:rsidRPr="00A47266">
          <w:rPr>
            <w:rStyle w:val="Lienhypertexte"/>
            <w:color w:val="auto"/>
            <w:lang w:val="fr-FR"/>
          </w:rPr>
          <w:t>ECE/TRANS/328</w:t>
        </w:r>
      </w:hyperlink>
      <w:r w:rsidRPr="00A47266">
        <w:rPr>
          <w:lang w:val="fr-FR"/>
        </w:rPr>
        <w:t>).</w:t>
      </w:r>
    </w:p>
    <w:p w14:paraId="6F9B1A3E" w14:textId="7BEE9B3F" w:rsidR="00BC189E" w:rsidRPr="00A47266" w:rsidRDefault="00BC189E" w:rsidP="00BC189E">
      <w:pPr>
        <w:pStyle w:val="SingleTxtG"/>
        <w:rPr>
          <w:lang w:val="fr-FR"/>
        </w:rPr>
      </w:pPr>
      <w:r w:rsidRPr="00A47266">
        <w:rPr>
          <w:lang w:val="fr-FR"/>
        </w:rPr>
        <w:t>6.</w:t>
      </w:r>
      <w:r w:rsidRPr="00A47266">
        <w:rPr>
          <w:lang w:val="fr-FR"/>
        </w:rPr>
        <w:tab/>
        <w:t>Il a également pris note de l’annexe</w:t>
      </w:r>
      <w:r w:rsidR="00D8338B">
        <w:rPr>
          <w:lang w:val="fr-FR"/>
        </w:rPr>
        <w:t xml:space="preserve"> </w:t>
      </w:r>
      <w:r w:rsidRPr="00A47266">
        <w:rPr>
          <w:lang w:val="fr-FR"/>
        </w:rPr>
        <w:t xml:space="preserve">I du document </w:t>
      </w:r>
      <w:hyperlink r:id="rId13" w:history="1">
        <w:r w:rsidRPr="00A47266">
          <w:rPr>
            <w:rStyle w:val="Lienhypertexte"/>
            <w:color w:val="auto"/>
            <w:lang w:val="fr-FR"/>
          </w:rPr>
          <w:t>ECE/TRANS/328</w:t>
        </w:r>
      </w:hyperlink>
      <w:r w:rsidRPr="00A47266">
        <w:rPr>
          <w:lang w:val="fr-FR"/>
        </w:rPr>
        <w:t>, où figure une déclaration ministérielle intitulée « Tirer le meilleur parti des solutions de transport intérieur dans la lutte mondiale contre les changements climatiques ».</w:t>
      </w:r>
    </w:p>
    <w:p w14:paraId="2C4A9CCF" w14:textId="7E95777D" w:rsidR="00BC189E" w:rsidRPr="00A47266" w:rsidRDefault="00BC189E" w:rsidP="00BC189E">
      <w:pPr>
        <w:pStyle w:val="SingleTxtG"/>
        <w:rPr>
          <w:lang w:val="fr-FR"/>
        </w:rPr>
      </w:pPr>
      <w:r w:rsidRPr="00A47266">
        <w:rPr>
          <w:lang w:val="fr-FR"/>
        </w:rPr>
        <w:t>7.</w:t>
      </w:r>
      <w:r w:rsidRPr="00A47266">
        <w:rPr>
          <w:lang w:val="fr-FR"/>
        </w:rPr>
        <w:tab/>
        <w:t>Le CTI a adopté les rapports de ses organes subsidiaires, y compris les rapports du WP.11 sur ses soixante-dix-huitième (</w:t>
      </w:r>
      <w:hyperlink r:id="rId14" w:history="1">
        <w:r w:rsidRPr="00A47266">
          <w:rPr>
            <w:rStyle w:val="Lienhypertexte"/>
            <w:color w:val="auto"/>
            <w:lang w:val="fr-FR"/>
          </w:rPr>
          <w:t>ECE/TRANS/WP.11/247</w:t>
        </w:r>
      </w:hyperlink>
      <w:r w:rsidRPr="00A47266">
        <w:rPr>
          <w:lang w:val="fr-FR"/>
        </w:rPr>
        <w:t>) et soixante-dix-neuvième (</w:t>
      </w:r>
      <w:hyperlink r:id="rId15" w:history="1">
        <w:r w:rsidRPr="00A47266">
          <w:rPr>
            <w:rStyle w:val="Lienhypertexte"/>
            <w:color w:val="auto"/>
            <w:lang w:val="fr-FR"/>
          </w:rPr>
          <w:t>ECE/TRANS/WP.11/249</w:t>
        </w:r>
      </w:hyperlink>
      <w:r w:rsidRPr="00A47266">
        <w:rPr>
          <w:lang w:val="fr-FR"/>
        </w:rPr>
        <w:t>) sessions (</w:t>
      </w:r>
      <w:hyperlink r:id="rId16" w:history="1">
        <w:r w:rsidRPr="00A47266">
          <w:rPr>
            <w:rStyle w:val="Lienhypertexte"/>
            <w:color w:val="auto"/>
            <w:lang w:val="fr-FR"/>
          </w:rPr>
          <w:t>ECE/TRANS/328</w:t>
        </w:r>
      </w:hyperlink>
      <w:r w:rsidRPr="00A47266">
        <w:rPr>
          <w:lang w:val="fr-FR"/>
        </w:rPr>
        <w:t>, par. 149).</w:t>
      </w:r>
    </w:p>
    <w:p w14:paraId="456E8B57" w14:textId="6450B241" w:rsidR="00BC189E" w:rsidRPr="00A47266" w:rsidRDefault="00BC189E" w:rsidP="00BC189E">
      <w:pPr>
        <w:pStyle w:val="H23G"/>
        <w:rPr>
          <w:lang w:val="fr-FR"/>
        </w:rPr>
      </w:pPr>
      <w:r w:rsidRPr="00A47266">
        <w:rPr>
          <w:lang w:val="fr-FR"/>
        </w:rPr>
        <w:tab/>
        <w:t>1.</w:t>
      </w:r>
      <w:r w:rsidRPr="00A47266">
        <w:rPr>
          <w:lang w:val="fr-FR"/>
        </w:rPr>
        <w:tab/>
        <w:t xml:space="preserve">Élaboration de la stratégie du CTI pour la réduction des émissions de gaz à effet </w:t>
      </w:r>
      <w:r w:rsidR="00D8338B">
        <w:rPr>
          <w:lang w:val="fr-FR"/>
        </w:rPr>
        <w:br/>
      </w:r>
      <w:r w:rsidRPr="00A47266">
        <w:rPr>
          <w:lang w:val="fr-FR"/>
        </w:rPr>
        <w:t>de serre dans les transports intérieurs</w:t>
      </w:r>
    </w:p>
    <w:p w14:paraId="3CE44FCA" w14:textId="68BE4D87" w:rsidR="00BC189E" w:rsidRPr="00A47266" w:rsidRDefault="00BC189E" w:rsidP="00A47266">
      <w:pPr>
        <w:pStyle w:val="SingleTxtG"/>
        <w:ind w:left="2552" w:hanging="1418"/>
        <w:jc w:val="left"/>
        <w:rPr>
          <w:lang w:val="fr-FR"/>
        </w:rPr>
      </w:pPr>
      <w:r w:rsidRPr="00A47266">
        <w:rPr>
          <w:i/>
          <w:iCs/>
          <w:lang w:val="fr-FR"/>
        </w:rPr>
        <w:t>Document</w:t>
      </w:r>
      <w:r w:rsidR="00D8338B">
        <w:rPr>
          <w:i/>
          <w:iCs/>
          <w:lang w:val="fr-FR"/>
        </w:rPr>
        <w:t>(s)</w:t>
      </w:r>
      <w:r w:rsidRPr="00A47266">
        <w:rPr>
          <w:i/>
          <w:iCs/>
          <w:lang w:val="fr-FR"/>
        </w:rPr>
        <w:t> </w:t>
      </w:r>
      <w:r w:rsidRPr="00D8338B">
        <w:rPr>
          <w:lang w:val="fr-FR"/>
        </w:rPr>
        <w:t>:</w:t>
      </w:r>
      <w:r w:rsidRPr="00A47266">
        <w:rPr>
          <w:lang w:val="fr-FR"/>
        </w:rPr>
        <w:tab/>
      </w:r>
      <w:r w:rsidRPr="00A47266">
        <w:rPr>
          <w:rStyle w:val="Lienhypertexte"/>
          <w:color w:val="auto"/>
          <w:lang w:val="fr-FR"/>
        </w:rPr>
        <w:t>Document</w:t>
      </w:r>
      <w:r w:rsidRPr="00A47266">
        <w:rPr>
          <w:lang w:val="fr-FR"/>
        </w:rPr>
        <w:t xml:space="preserve"> informel INF.3 (secrétariat)</w:t>
      </w:r>
    </w:p>
    <w:p w14:paraId="1DD5C14A" w14:textId="133CB16D" w:rsidR="00BC189E" w:rsidRPr="00A47266" w:rsidRDefault="00BC189E" w:rsidP="00BC189E">
      <w:pPr>
        <w:pStyle w:val="SingleTxtG"/>
        <w:rPr>
          <w:lang w:val="fr-FR"/>
        </w:rPr>
      </w:pPr>
      <w:r w:rsidRPr="00A47266">
        <w:rPr>
          <w:lang w:val="fr-FR"/>
        </w:rPr>
        <w:t>8.</w:t>
      </w:r>
      <w:r w:rsidRPr="00A47266">
        <w:rPr>
          <w:lang w:val="fr-FR"/>
        </w:rPr>
        <w:tab/>
        <w:t>Le WP.11 a pris note de la poursuite des travaux relatifs à la mise en œuvre de la Stratégie du CTI à l’horizon</w:t>
      </w:r>
      <w:r w:rsidR="00D8338B">
        <w:rPr>
          <w:lang w:val="fr-FR"/>
        </w:rPr>
        <w:t xml:space="preserve"> </w:t>
      </w:r>
      <w:r w:rsidRPr="00A47266">
        <w:rPr>
          <w:lang w:val="fr-FR"/>
        </w:rPr>
        <w:t xml:space="preserve">2030 et de la liste des prochaines étapes figurant dans le document </w:t>
      </w:r>
      <w:hyperlink r:id="rId17" w:history="1">
        <w:r w:rsidRPr="00A47266">
          <w:rPr>
            <w:rStyle w:val="Lienhypertexte"/>
            <w:color w:val="auto"/>
            <w:lang w:val="fr-FR"/>
          </w:rPr>
          <w:t>ECE/TRANS/2023/3</w:t>
        </w:r>
      </w:hyperlink>
      <w:r w:rsidRPr="00A47266">
        <w:rPr>
          <w:lang w:val="fr-FR"/>
        </w:rPr>
        <w:t>.</w:t>
      </w:r>
    </w:p>
    <w:p w14:paraId="2C65039C" w14:textId="620E9E0E" w:rsidR="00BC189E" w:rsidRPr="00A47266" w:rsidRDefault="00BC189E" w:rsidP="00BC189E">
      <w:pPr>
        <w:pStyle w:val="SingleTxtG"/>
        <w:rPr>
          <w:lang w:val="fr-FR"/>
        </w:rPr>
      </w:pPr>
      <w:r w:rsidRPr="00A47266">
        <w:rPr>
          <w:lang w:val="fr-FR"/>
        </w:rPr>
        <w:t>9.</w:t>
      </w:r>
      <w:r w:rsidRPr="00A47266">
        <w:rPr>
          <w:lang w:val="fr-FR"/>
        </w:rPr>
        <w:tab/>
        <w:t xml:space="preserve">Il a trouvé utile l’exposé concernant l’élaboration de la stratégie du CTI pour la réduction des émissions de gaz à effet de serre dans les transports intérieurs (document informel INF.3). Il a pris note avec intérêt des objectifs stratégiques et du plan d’action fondés sur les instruments juridiques administrés par le CTI ainsi que de la liste des étapes à franchir et des priorités à respecter pour aider à atteindre les objectifs climatiques et contribuer aux mesures d’atténuation et d’adaptation prises pour lutter contre les changements climatiques, comme indiqué dans le document </w:t>
      </w:r>
      <w:hyperlink r:id="rId18" w:history="1">
        <w:r w:rsidRPr="00A47266">
          <w:rPr>
            <w:rStyle w:val="Lienhypertexte"/>
            <w:color w:val="auto"/>
            <w:lang w:val="fr-FR"/>
          </w:rPr>
          <w:t>ECE/TRANS/2023/21</w:t>
        </w:r>
      </w:hyperlink>
      <w:r w:rsidRPr="00A47266">
        <w:rPr>
          <w:lang w:val="fr-FR"/>
        </w:rPr>
        <w:t>.</w:t>
      </w:r>
    </w:p>
    <w:p w14:paraId="3A483557" w14:textId="50F2E956" w:rsidR="00BC189E" w:rsidRPr="00A47266" w:rsidRDefault="00BC189E" w:rsidP="00BC189E">
      <w:pPr>
        <w:pStyle w:val="H23G"/>
        <w:rPr>
          <w:lang w:val="fr-FR"/>
        </w:rPr>
      </w:pPr>
      <w:r w:rsidRPr="00A47266">
        <w:rPr>
          <w:lang w:val="fr-FR"/>
        </w:rPr>
        <w:lastRenderedPageBreak/>
        <w:tab/>
        <w:t>2.</w:t>
      </w:r>
      <w:r w:rsidRPr="00A47266">
        <w:rPr>
          <w:lang w:val="fr-FR"/>
        </w:rPr>
        <w:tab/>
        <w:t xml:space="preserve">Stratégie du CTI pour l’atténuation des changements climatiques : </w:t>
      </w:r>
      <w:r w:rsidRPr="00A47266">
        <w:rPr>
          <w:lang w:val="fr-FR"/>
        </w:rPr>
        <w:br/>
        <w:t>projet de contribution</w:t>
      </w:r>
    </w:p>
    <w:p w14:paraId="7F3310E2" w14:textId="1FF9E9C7" w:rsidR="00BC189E" w:rsidRPr="00A47266" w:rsidRDefault="00BC189E" w:rsidP="00A47266">
      <w:pPr>
        <w:pStyle w:val="SingleTxtG"/>
        <w:ind w:left="2552" w:hanging="1418"/>
        <w:jc w:val="left"/>
        <w:rPr>
          <w:lang w:val="fr-FR"/>
        </w:rPr>
      </w:pPr>
      <w:r w:rsidRPr="00A47266">
        <w:rPr>
          <w:i/>
          <w:iCs/>
          <w:lang w:val="fr-FR"/>
        </w:rPr>
        <w:t>Document</w:t>
      </w:r>
      <w:r w:rsidR="00D8338B">
        <w:rPr>
          <w:i/>
          <w:iCs/>
          <w:lang w:val="fr-FR"/>
        </w:rPr>
        <w:t>(s)</w:t>
      </w:r>
      <w:r w:rsidRPr="00A47266">
        <w:rPr>
          <w:i/>
          <w:iCs/>
          <w:lang w:val="fr-FR"/>
        </w:rPr>
        <w:t> </w:t>
      </w:r>
      <w:r w:rsidRPr="00D8338B">
        <w:rPr>
          <w:lang w:val="fr-FR"/>
        </w:rPr>
        <w:t>:</w:t>
      </w:r>
      <w:r w:rsidRPr="00A47266">
        <w:rPr>
          <w:lang w:val="fr-FR"/>
        </w:rPr>
        <w:tab/>
      </w:r>
      <w:r w:rsidRPr="00A47266">
        <w:rPr>
          <w:rStyle w:val="Lienhypertexte"/>
          <w:color w:val="auto"/>
          <w:lang w:val="fr-FR"/>
        </w:rPr>
        <w:t>Document</w:t>
      </w:r>
      <w:r w:rsidRPr="00A47266">
        <w:rPr>
          <w:lang w:val="fr-FR"/>
        </w:rPr>
        <w:t xml:space="preserve"> informel INF.5 (secrétariat en collaboration avec le Bureau du</w:t>
      </w:r>
      <w:r w:rsidR="00D8338B">
        <w:rPr>
          <w:lang w:val="fr-FR"/>
        </w:rPr>
        <w:t> </w:t>
      </w:r>
      <w:r w:rsidRPr="00A47266">
        <w:rPr>
          <w:lang w:val="fr-FR"/>
        </w:rPr>
        <w:t>WP.11)</w:t>
      </w:r>
    </w:p>
    <w:p w14:paraId="651BBCD7" w14:textId="7A56C117" w:rsidR="00BC189E" w:rsidRPr="00A47266" w:rsidRDefault="00BC189E" w:rsidP="00BC189E">
      <w:pPr>
        <w:pStyle w:val="SingleTxtG"/>
        <w:keepNext/>
        <w:rPr>
          <w:lang w:val="fr-FR"/>
        </w:rPr>
      </w:pPr>
      <w:r w:rsidRPr="00A47266">
        <w:rPr>
          <w:lang w:val="fr-FR"/>
        </w:rPr>
        <w:t>10.</w:t>
      </w:r>
      <w:r w:rsidRPr="00A47266">
        <w:rPr>
          <w:lang w:val="fr-FR"/>
        </w:rPr>
        <w:tab/>
        <w:t>Le Groupe de travail a estimé qu’il devait mener les activités ci-après, susceptibles de contribuer à l’atténuation des changements climatiques :</w:t>
      </w:r>
    </w:p>
    <w:p w14:paraId="74285EFE" w14:textId="20AA0A62" w:rsidR="00BC189E" w:rsidRPr="00A47266" w:rsidRDefault="00BC189E" w:rsidP="00BC189E">
      <w:pPr>
        <w:tabs>
          <w:tab w:val="left" w:pos="1701"/>
          <w:tab w:val="left" w:pos="2268"/>
        </w:tabs>
        <w:spacing w:after="120"/>
        <w:ind w:left="1134" w:right="1134" w:firstLine="567"/>
        <w:jc w:val="both"/>
        <w:rPr>
          <w:lang w:val="fr-FR"/>
        </w:rPr>
      </w:pPr>
      <w:r w:rsidRPr="00A47266">
        <w:rPr>
          <w:lang w:val="fr-FR"/>
        </w:rPr>
        <w:t>a)</w:t>
      </w:r>
      <w:r w:rsidRPr="00A47266">
        <w:rPr>
          <w:lang w:val="fr-FR"/>
        </w:rPr>
        <w:tab/>
        <w:t>S’agissant de rendre plus écologiques les véhicules transportant des denrées périssables, définir le champ d’application de l’Accord relatif aux transports internationaux de denrées périssables et aux engins spéciaux à utiliser pour ces transports (ATP), l’objectif étant d’ajouter des dispositions permettant le recours à des sources d’énergie de remplacement pour la propulsion et la réfrigération ainsi que l’utilisation de véhicules électriques (travaux en cours) ;</w:t>
      </w:r>
    </w:p>
    <w:p w14:paraId="4BD11CC6" w14:textId="69CDDF60" w:rsidR="00BC189E" w:rsidRPr="00A47266" w:rsidRDefault="00BC189E" w:rsidP="00BC189E">
      <w:pPr>
        <w:tabs>
          <w:tab w:val="left" w:pos="1701"/>
          <w:tab w:val="left" w:pos="2268"/>
        </w:tabs>
        <w:spacing w:after="120"/>
        <w:ind w:left="1134" w:right="1134" w:firstLine="567"/>
        <w:jc w:val="both"/>
        <w:rPr>
          <w:rFonts w:asciiTheme="majorBidi" w:hAnsiTheme="majorBidi" w:cstheme="majorBidi"/>
          <w:lang w:val="fr-FR"/>
        </w:rPr>
      </w:pPr>
      <w:r w:rsidRPr="00A47266">
        <w:rPr>
          <w:lang w:val="fr-FR"/>
        </w:rPr>
        <w:t>b)</w:t>
      </w:r>
      <w:r w:rsidRPr="00A47266">
        <w:rPr>
          <w:lang w:val="fr-FR"/>
        </w:rPr>
        <w:tab/>
        <w:t>Adopter des dispositions visant à rationaliser le remplacement des fluides frigorigènes par d’autres dont le potentiel de réchauffement planétaire est plus faible, sur la base du chapitre</w:t>
      </w:r>
      <w:r w:rsidR="00074962">
        <w:rPr>
          <w:lang w:val="fr-FR"/>
        </w:rPr>
        <w:t xml:space="preserve"> </w:t>
      </w:r>
      <w:r w:rsidRPr="00A47266">
        <w:rPr>
          <w:lang w:val="fr-FR"/>
        </w:rPr>
        <w:t xml:space="preserve">6 du rapport d’évaluation de 2022 du Comité des choix techniques pour la réfrigération, la climatisation et les pompes à chaleur (voir </w:t>
      </w:r>
      <w:hyperlink r:id="rId19" w:history="1">
        <w:r w:rsidR="00D8338B" w:rsidRPr="008C1FA1">
          <w:rPr>
            <w:rStyle w:val="Lienhypertexte"/>
            <w:lang w:val="fr-FR"/>
          </w:rPr>
          <w:t>https://ozone.unep.org/system/ files/documents/RTOC-assessment%20-report-2022.pdf</w:t>
        </w:r>
      </w:hyperlink>
      <w:r w:rsidRPr="00A47266">
        <w:rPr>
          <w:lang w:val="fr-FR"/>
        </w:rPr>
        <w:t>) ;</w:t>
      </w:r>
    </w:p>
    <w:p w14:paraId="3049C45A" w14:textId="3B56E59A" w:rsidR="00BC189E" w:rsidRPr="00A47266" w:rsidRDefault="00BC189E" w:rsidP="00BC189E">
      <w:pPr>
        <w:tabs>
          <w:tab w:val="left" w:pos="1701"/>
          <w:tab w:val="left" w:pos="2268"/>
        </w:tabs>
        <w:spacing w:after="120"/>
        <w:ind w:left="1134" w:right="1134" w:firstLine="567"/>
        <w:jc w:val="both"/>
        <w:rPr>
          <w:lang w:val="fr-FR"/>
        </w:rPr>
      </w:pPr>
      <w:r w:rsidRPr="00A47266">
        <w:rPr>
          <w:lang w:val="fr-FR"/>
        </w:rPr>
        <w:t>c)</w:t>
      </w:r>
      <w:r w:rsidRPr="00A47266">
        <w:rPr>
          <w:lang w:val="fr-FR"/>
        </w:rPr>
        <w:tab/>
        <w:t>Encourager la bonne utilisation des engins sous température dirigée pour le transport des denrées périssables, de façon à réduire le gaspillage alimentaire ;</w:t>
      </w:r>
    </w:p>
    <w:p w14:paraId="18FE842B" w14:textId="61FF213D" w:rsidR="00BC189E" w:rsidRPr="00A47266" w:rsidRDefault="00BC189E" w:rsidP="00BC189E">
      <w:pPr>
        <w:tabs>
          <w:tab w:val="left" w:pos="1701"/>
          <w:tab w:val="left" w:pos="2268"/>
        </w:tabs>
        <w:spacing w:after="120"/>
        <w:ind w:left="1134" w:right="1134" w:firstLine="567"/>
        <w:jc w:val="both"/>
        <w:rPr>
          <w:lang w:val="fr-FR"/>
        </w:rPr>
      </w:pPr>
      <w:r w:rsidRPr="00A47266">
        <w:rPr>
          <w:lang w:val="fr-FR"/>
        </w:rPr>
        <w:t>d)</w:t>
      </w:r>
      <w:r w:rsidRPr="00A47266">
        <w:rPr>
          <w:lang w:val="fr-FR"/>
        </w:rPr>
        <w:tab/>
        <w:t>Suivre étroitement les travaux des organismes de normalisation concernant les conteneurs frigorifiques ou isothermes utilisés pour les livraisons du dernier kilomètre ;</w:t>
      </w:r>
    </w:p>
    <w:p w14:paraId="7721266E" w14:textId="2351CAD1" w:rsidR="00BC189E" w:rsidRPr="00A47266" w:rsidRDefault="00BC189E" w:rsidP="00BC189E">
      <w:pPr>
        <w:tabs>
          <w:tab w:val="left" w:pos="1701"/>
          <w:tab w:val="left" w:pos="2268"/>
        </w:tabs>
        <w:spacing w:after="120"/>
        <w:ind w:left="1134" w:right="1134" w:firstLine="567"/>
        <w:jc w:val="both"/>
        <w:rPr>
          <w:lang w:val="fr-FR"/>
        </w:rPr>
      </w:pPr>
      <w:r w:rsidRPr="00A47266">
        <w:rPr>
          <w:lang w:val="fr-FR"/>
        </w:rPr>
        <w:t>e)</w:t>
      </w:r>
      <w:r w:rsidRPr="00A47266">
        <w:rPr>
          <w:lang w:val="fr-FR"/>
        </w:rPr>
        <w:tab/>
        <w:t>Suivre les travaux de l’ISO concernant les conteneurs maritimes ;</w:t>
      </w:r>
    </w:p>
    <w:p w14:paraId="4DCC4EBC" w14:textId="5AFD14DE" w:rsidR="00BC189E" w:rsidRPr="00A47266" w:rsidRDefault="00BC189E" w:rsidP="00BC189E">
      <w:pPr>
        <w:tabs>
          <w:tab w:val="left" w:pos="1701"/>
          <w:tab w:val="left" w:pos="2268"/>
        </w:tabs>
        <w:spacing w:after="120"/>
        <w:ind w:left="1134" w:right="1134" w:firstLine="567"/>
        <w:jc w:val="both"/>
        <w:rPr>
          <w:lang w:val="fr-FR"/>
        </w:rPr>
      </w:pPr>
      <w:r w:rsidRPr="00A47266">
        <w:rPr>
          <w:lang w:val="fr-FR"/>
        </w:rPr>
        <w:t>f)</w:t>
      </w:r>
      <w:r w:rsidRPr="00A47266">
        <w:rPr>
          <w:lang w:val="fr-FR"/>
        </w:rPr>
        <w:tab/>
        <w:t>Mener des travaux aux fins de la dématérialisation des documents ;</w:t>
      </w:r>
    </w:p>
    <w:p w14:paraId="31F5570B" w14:textId="087C7F32" w:rsidR="00BC189E" w:rsidRPr="00A47266" w:rsidRDefault="00BC189E" w:rsidP="00BC189E">
      <w:pPr>
        <w:tabs>
          <w:tab w:val="left" w:pos="1701"/>
          <w:tab w:val="left" w:pos="2268"/>
        </w:tabs>
        <w:spacing w:after="120"/>
        <w:ind w:left="1134" w:right="1134" w:firstLine="567"/>
        <w:jc w:val="both"/>
        <w:rPr>
          <w:lang w:val="fr-FR"/>
        </w:rPr>
      </w:pPr>
      <w:r w:rsidRPr="00A47266">
        <w:rPr>
          <w:lang w:val="fr-FR"/>
        </w:rPr>
        <w:t>g)</w:t>
      </w:r>
      <w:r w:rsidRPr="00A47266">
        <w:rPr>
          <w:lang w:val="fr-FR"/>
        </w:rPr>
        <w:tab/>
        <w:t>Élaborer des documents d’orientation relatifs au transport des denrées périssables non visées par l’ATP et mettre en commun les pratiques de référence applicables au transport de toutes les denrées périssables, ce qui était particulièrement utile aux fins de la prévention du gaspillage alimentaire et des émissions de CO</w:t>
      </w:r>
      <w:r w:rsidRPr="00A47266">
        <w:rPr>
          <w:vertAlign w:val="subscript"/>
          <w:lang w:val="fr-FR"/>
        </w:rPr>
        <w:t>2</w:t>
      </w:r>
      <w:r w:rsidRPr="00A47266">
        <w:rPr>
          <w:lang w:val="fr-FR"/>
        </w:rPr>
        <w:t xml:space="preserve"> en découlant ;</w:t>
      </w:r>
    </w:p>
    <w:p w14:paraId="2C19052F" w14:textId="47C4EC69" w:rsidR="00BC189E" w:rsidRPr="00A47266" w:rsidRDefault="00BC189E" w:rsidP="00BC189E">
      <w:pPr>
        <w:tabs>
          <w:tab w:val="left" w:pos="1701"/>
          <w:tab w:val="left" w:pos="2268"/>
        </w:tabs>
        <w:spacing w:after="120"/>
        <w:ind w:left="1134" w:right="1134" w:firstLine="567"/>
        <w:jc w:val="both"/>
        <w:rPr>
          <w:lang w:val="fr-FR"/>
        </w:rPr>
      </w:pPr>
      <w:r w:rsidRPr="00A47266">
        <w:rPr>
          <w:lang w:val="fr-FR"/>
        </w:rPr>
        <w:t>h)</w:t>
      </w:r>
      <w:r w:rsidRPr="00A47266">
        <w:rPr>
          <w:lang w:val="fr-FR"/>
        </w:rPr>
        <w:tab/>
        <w:t>Éventuellement, envisager le recours à d’autres modes de transport des denrées périssables (travaux futurs). Pour l’heure, seuls le transport routier et le transport ferroviaire étaient visés par l’ATP ;</w:t>
      </w:r>
    </w:p>
    <w:p w14:paraId="56E89ACA" w14:textId="77777777" w:rsidR="00BC189E" w:rsidRPr="00A47266" w:rsidRDefault="00BC189E" w:rsidP="00BC189E">
      <w:pPr>
        <w:tabs>
          <w:tab w:val="left" w:pos="1701"/>
          <w:tab w:val="left" w:pos="2268"/>
        </w:tabs>
        <w:spacing w:after="120"/>
        <w:ind w:left="1134" w:right="1134" w:firstLine="567"/>
        <w:jc w:val="both"/>
        <w:rPr>
          <w:lang w:val="fr-FR"/>
        </w:rPr>
      </w:pPr>
      <w:r w:rsidRPr="00A47266">
        <w:rPr>
          <w:lang w:val="fr-FR"/>
        </w:rPr>
        <w:t>i)</w:t>
      </w:r>
      <w:r w:rsidRPr="00A47266">
        <w:rPr>
          <w:lang w:val="fr-FR"/>
        </w:rPr>
        <w:tab/>
        <w:t xml:space="preserve">Sur le plan organisationnel, envisager de tirer parti de l’occasion offerte par l’élaboration de la stratégie du CTI pour mettre en place un cadre qui, </w:t>
      </w:r>
      <w:r w:rsidRPr="00A47266">
        <w:rPr>
          <w:u w:val="single"/>
          <w:lang w:val="fr-FR"/>
        </w:rPr>
        <w:t>en encourageant les réunions hybrides</w:t>
      </w:r>
      <w:r w:rsidRPr="00A47266">
        <w:rPr>
          <w:lang w:val="fr-FR"/>
        </w:rPr>
        <w:t>, permettrait à tous les organes subsidiaires du CTI de fonctionner d’une manière plus neutre pour le climat.</w:t>
      </w:r>
    </w:p>
    <w:p w14:paraId="3487127F" w14:textId="77777777" w:rsidR="00BC189E" w:rsidRPr="00A47266" w:rsidRDefault="00BC189E" w:rsidP="00D8338B">
      <w:pPr>
        <w:pStyle w:val="H23G"/>
        <w:rPr>
          <w:lang w:val="fr-FR"/>
        </w:rPr>
      </w:pPr>
      <w:r w:rsidRPr="00A47266">
        <w:rPr>
          <w:lang w:val="fr-FR"/>
        </w:rPr>
        <w:tab/>
        <w:t>3.</w:t>
      </w:r>
      <w:r w:rsidRPr="00A47266">
        <w:rPr>
          <w:lang w:val="fr-FR"/>
        </w:rPr>
        <w:tab/>
        <w:t>Informations recommandées pour l’examen des groupes de travail du CTI</w:t>
      </w:r>
    </w:p>
    <w:p w14:paraId="3CDD672E" w14:textId="568FF343" w:rsidR="00BC189E" w:rsidRPr="00A47266" w:rsidRDefault="00BC189E" w:rsidP="00A47266">
      <w:pPr>
        <w:pStyle w:val="SingleTxtG"/>
        <w:ind w:left="2552" w:hanging="1418"/>
        <w:jc w:val="left"/>
        <w:rPr>
          <w:lang w:val="fr-FR"/>
        </w:rPr>
      </w:pPr>
      <w:r w:rsidRPr="00A47266">
        <w:rPr>
          <w:i/>
          <w:iCs/>
          <w:lang w:val="fr-FR"/>
        </w:rPr>
        <w:t>Document</w:t>
      </w:r>
      <w:r w:rsidR="007C1423">
        <w:rPr>
          <w:i/>
          <w:iCs/>
          <w:lang w:val="fr-FR"/>
        </w:rPr>
        <w:t>(s)</w:t>
      </w:r>
      <w:r w:rsidRPr="00A47266">
        <w:rPr>
          <w:i/>
          <w:iCs/>
          <w:lang w:val="fr-FR"/>
        </w:rPr>
        <w:t> </w:t>
      </w:r>
      <w:r w:rsidRPr="007C1423">
        <w:rPr>
          <w:lang w:val="fr-FR"/>
        </w:rPr>
        <w:t>:</w:t>
      </w:r>
      <w:r w:rsidRPr="00A47266">
        <w:rPr>
          <w:lang w:val="fr-FR"/>
        </w:rPr>
        <w:tab/>
      </w:r>
      <w:r w:rsidRPr="00A47266">
        <w:rPr>
          <w:rStyle w:val="Lienhypertexte"/>
          <w:color w:val="auto"/>
          <w:lang w:val="fr-FR"/>
        </w:rPr>
        <w:t>Document</w:t>
      </w:r>
      <w:r w:rsidRPr="00A47266">
        <w:rPr>
          <w:lang w:val="fr-FR"/>
        </w:rPr>
        <w:t xml:space="preserve"> informel INF.6 (Bureau du WP.11 avec la contribution du</w:t>
      </w:r>
      <w:r w:rsidR="007C1423">
        <w:rPr>
          <w:lang w:val="fr-FR"/>
        </w:rPr>
        <w:t> </w:t>
      </w:r>
      <w:r w:rsidRPr="00A47266">
        <w:rPr>
          <w:lang w:val="fr-FR"/>
        </w:rPr>
        <w:t>secrétariat)</w:t>
      </w:r>
    </w:p>
    <w:p w14:paraId="14CC2FC6" w14:textId="77777777" w:rsidR="00BC189E" w:rsidRPr="00A47266" w:rsidRDefault="00BC189E" w:rsidP="00BC189E">
      <w:pPr>
        <w:pStyle w:val="SingleTxtG"/>
        <w:rPr>
          <w:lang w:val="fr-FR"/>
        </w:rPr>
      </w:pPr>
      <w:r w:rsidRPr="00A47266">
        <w:rPr>
          <w:lang w:val="fr-FR"/>
        </w:rPr>
        <w:t>11.</w:t>
      </w:r>
      <w:r w:rsidRPr="00A47266">
        <w:rPr>
          <w:lang w:val="fr-FR"/>
        </w:rPr>
        <w:tab/>
        <w:t>Le Groupe de travail a pris note des informations communiquées dans le document informel et quelque peu modifié le libellé. Les modifications apportées seraient prises en compte lors de l’établissement de la version définitive.</w:t>
      </w:r>
    </w:p>
    <w:p w14:paraId="78516D28" w14:textId="77777777" w:rsidR="00BC189E" w:rsidRPr="00A47266" w:rsidRDefault="00BC189E" w:rsidP="00BC189E">
      <w:pPr>
        <w:pStyle w:val="H1G"/>
        <w:rPr>
          <w:lang w:val="fr-FR"/>
        </w:rPr>
      </w:pPr>
      <w:r w:rsidRPr="00A47266">
        <w:rPr>
          <w:bCs/>
          <w:lang w:val="fr-FR"/>
        </w:rPr>
        <w:tab/>
        <w:t>B.</w:t>
      </w:r>
      <w:r w:rsidRPr="00A47266">
        <w:rPr>
          <w:lang w:val="fr-FR"/>
        </w:rPr>
        <w:tab/>
        <w:t>Groupe de travail des normes de qualité des produits agricoles</w:t>
      </w:r>
    </w:p>
    <w:p w14:paraId="66D59A81" w14:textId="283D93F1" w:rsidR="00BC189E" w:rsidRPr="00A47266" w:rsidRDefault="00BC189E" w:rsidP="00BC189E">
      <w:pPr>
        <w:pStyle w:val="SingleTxtG"/>
        <w:rPr>
          <w:lang w:val="fr-FR"/>
        </w:rPr>
      </w:pPr>
      <w:r w:rsidRPr="00A47266">
        <w:rPr>
          <w:lang w:val="fr-FR"/>
        </w:rPr>
        <w:t>12.</w:t>
      </w:r>
      <w:r w:rsidRPr="00A47266">
        <w:rPr>
          <w:lang w:val="fr-FR"/>
        </w:rPr>
        <w:tab/>
        <w:t>Les activités du Groupe de travail des normes de qualité des produits agricoles (WP.7) présentant un intérêt pour le WP.11 sont les suivantes :</w:t>
      </w:r>
    </w:p>
    <w:p w14:paraId="2B95342F" w14:textId="02BCE006" w:rsidR="00BC189E" w:rsidRPr="00A47266" w:rsidRDefault="00BC189E" w:rsidP="007C1423">
      <w:pPr>
        <w:pStyle w:val="Bullet1G"/>
        <w:rPr>
          <w:lang w:val="fr-FR"/>
        </w:rPr>
      </w:pPr>
      <w:r w:rsidRPr="00A47266">
        <w:rPr>
          <w:lang w:val="fr-FR"/>
        </w:rPr>
        <w:t xml:space="preserve">Trente et unième session de la Section </w:t>
      </w:r>
      <w:r w:rsidRPr="007C1423">
        <w:t>spécialisée</w:t>
      </w:r>
      <w:r w:rsidRPr="00A47266">
        <w:rPr>
          <w:lang w:val="fr-FR"/>
        </w:rPr>
        <w:t xml:space="preserve"> de la normalisation de la viande (GE.11), les 28 et 29 août 2023 à Genève ;</w:t>
      </w:r>
    </w:p>
    <w:p w14:paraId="15FFC971" w14:textId="77777777" w:rsidR="00BC189E" w:rsidRPr="00A47266" w:rsidRDefault="00BC189E" w:rsidP="00BC189E">
      <w:pPr>
        <w:pStyle w:val="Bullet1G"/>
        <w:numPr>
          <w:ilvl w:val="0"/>
          <w:numId w:val="1"/>
        </w:numPr>
        <w:rPr>
          <w:lang w:val="fr-FR"/>
        </w:rPr>
      </w:pPr>
      <w:r w:rsidRPr="00A47266">
        <w:rPr>
          <w:lang w:val="fr-FR"/>
        </w:rPr>
        <w:t>Soixante-dix-huitième session du WP.7, du 13 au 15 novembre 2023 à Genève.</w:t>
      </w:r>
    </w:p>
    <w:p w14:paraId="10DFA9C7" w14:textId="3295A535" w:rsidR="00BC189E" w:rsidRPr="00A47266" w:rsidRDefault="00BC189E" w:rsidP="00BC189E">
      <w:pPr>
        <w:pStyle w:val="SingleTxtG"/>
        <w:rPr>
          <w:spacing w:val="-3"/>
          <w:lang w:val="fr-FR"/>
        </w:rPr>
      </w:pPr>
      <w:r w:rsidRPr="00A47266">
        <w:rPr>
          <w:lang w:val="fr-FR"/>
        </w:rPr>
        <w:lastRenderedPageBreak/>
        <w:t>13.</w:t>
      </w:r>
      <w:r w:rsidRPr="00A47266">
        <w:rPr>
          <w:lang w:val="fr-FR"/>
        </w:rPr>
        <w:tab/>
        <w:t xml:space="preserve">Le dernier des outils conçus par la CEE pour lutter contre les pertes et le gaspillage de denrées alimentaires est disponible à l’adresse suivante : </w:t>
      </w:r>
      <w:hyperlink r:id="rId20" w:history="1">
        <w:r w:rsidR="007C1423" w:rsidRPr="008C1FA1">
          <w:rPr>
            <w:rStyle w:val="Lienhypertexte"/>
            <w:lang w:val="fr-FR"/>
          </w:rPr>
          <w:t>https://unece.org/trade/wp7/ food-loss-and-waste</w:t>
        </w:r>
      </w:hyperlink>
      <w:r w:rsidRPr="00A47266">
        <w:rPr>
          <w:lang w:val="fr-FR"/>
        </w:rPr>
        <w:t>.</w:t>
      </w:r>
    </w:p>
    <w:p w14:paraId="6F80F3D5" w14:textId="3EA38441" w:rsidR="00BC189E" w:rsidRPr="00A47266" w:rsidRDefault="00BC189E" w:rsidP="00BC189E">
      <w:pPr>
        <w:pStyle w:val="SingleTxtG"/>
        <w:rPr>
          <w:lang w:val="fr-FR"/>
        </w:rPr>
      </w:pPr>
      <w:r w:rsidRPr="00A47266">
        <w:rPr>
          <w:lang w:val="fr-FR"/>
        </w:rPr>
        <w:t>14.</w:t>
      </w:r>
      <w:r w:rsidRPr="00A47266">
        <w:rPr>
          <w:lang w:val="fr-FR"/>
        </w:rPr>
        <w:tab/>
        <w:t xml:space="preserve">On trouvera de plus amples informations concernant ces activités et d’autres sur le site Web du WP.7, à l’adresse suivante : </w:t>
      </w:r>
      <w:hyperlink r:id="rId21" w:history="1">
        <w:r w:rsidR="007C1423" w:rsidRPr="008C1FA1">
          <w:rPr>
            <w:rStyle w:val="Lienhypertexte"/>
            <w:lang w:val="fr-FR"/>
          </w:rPr>
          <w:t>https://unece.org/trade/working-party-agricultural-quality-standards-wp7</w:t>
        </w:r>
      </w:hyperlink>
      <w:r w:rsidRPr="00A47266">
        <w:rPr>
          <w:lang w:val="fr-FR"/>
        </w:rPr>
        <w:t>.</w:t>
      </w:r>
    </w:p>
    <w:p w14:paraId="41172997" w14:textId="77777777" w:rsidR="00BC189E" w:rsidRPr="00A47266" w:rsidRDefault="00BC189E" w:rsidP="00BC189E">
      <w:pPr>
        <w:pStyle w:val="H1G"/>
        <w:tabs>
          <w:tab w:val="left" w:pos="1134"/>
          <w:tab w:val="left" w:pos="1701"/>
          <w:tab w:val="left" w:pos="2268"/>
          <w:tab w:val="left" w:pos="2835"/>
          <w:tab w:val="left" w:pos="3402"/>
          <w:tab w:val="left" w:pos="3969"/>
          <w:tab w:val="left" w:pos="6063"/>
        </w:tabs>
        <w:rPr>
          <w:lang w:val="fr-FR"/>
        </w:rPr>
      </w:pPr>
      <w:r w:rsidRPr="00A47266">
        <w:rPr>
          <w:lang w:val="fr-FR"/>
        </w:rPr>
        <w:tab/>
        <w:t>C.</w:t>
      </w:r>
      <w:r w:rsidRPr="00A47266">
        <w:rPr>
          <w:lang w:val="fr-FR"/>
        </w:rPr>
        <w:tab/>
        <w:t>Organisations de normalisation</w:t>
      </w:r>
    </w:p>
    <w:p w14:paraId="30A35F65" w14:textId="77777777" w:rsidR="00BC189E" w:rsidRPr="00A47266" w:rsidRDefault="00BC189E" w:rsidP="00BC189E">
      <w:pPr>
        <w:pStyle w:val="SingleTxtG"/>
        <w:rPr>
          <w:lang w:val="fr-FR"/>
        </w:rPr>
      </w:pPr>
      <w:r w:rsidRPr="00A47266">
        <w:rPr>
          <w:lang w:val="fr-FR"/>
        </w:rPr>
        <w:t>15.</w:t>
      </w:r>
      <w:r w:rsidRPr="00A47266">
        <w:rPr>
          <w:lang w:val="fr-FR"/>
        </w:rPr>
        <w:tab/>
        <w:t>Les délégations participant aux travaux des organisations de normalisation ont été invitées à informer le Groupe de travail de l’état d’avancement des travaux d’élaboration de normes relatives au transport sous température dirigée, ainsi que des incidences que ces normes étaient censées avoir sur l’ATP.</w:t>
      </w:r>
    </w:p>
    <w:p w14:paraId="068F81DB" w14:textId="77777777" w:rsidR="00BC189E" w:rsidRPr="00A47266" w:rsidRDefault="00BC189E" w:rsidP="00BC189E">
      <w:pPr>
        <w:pStyle w:val="H23G"/>
        <w:rPr>
          <w:lang w:val="fr-FR"/>
        </w:rPr>
      </w:pPr>
      <w:r w:rsidRPr="00A47266">
        <w:rPr>
          <w:lang w:val="fr-FR"/>
        </w:rPr>
        <w:tab/>
      </w:r>
      <w:r w:rsidRPr="00A47266">
        <w:rPr>
          <w:lang w:val="fr-FR"/>
        </w:rPr>
        <w:tab/>
        <w:t>Normes EN</w:t>
      </w:r>
      <w:bookmarkStart w:id="4" w:name="_Toc528146968"/>
      <w:bookmarkEnd w:id="4"/>
    </w:p>
    <w:p w14:paraId="4A757212" w14:textId="77777777" w:rsidR="00BC189E" w:rsidRPr="00A47266" w:rsidRDefault="00BC189E" w:rsidP="00BC189E">
      <w:pPr>
        <w:pStyle w:val="H23G"/>
        <w:rPr>
          <w:lang w:val="fr-FR"/>
        </w:rPr>
      </w:pPr>
      <w:r w:rsidRPr="00A47266">
        <w:rPr>
          <w:lang w:val="fr-FR"/>
        </w:rPr>
        <w:tab/>
        <w:t>1.</w:t>
      </w:r>
      <w:r w:rsidRPr="00A47266">
        <w:rPr>
          <w:lang w:val="fr-FR"/>
        </w:rPr>
        <w:tab/>
        <w:t>Groupe de travail 2 du comité technique CEN/TC 413</w:t>
      </w:r>
      <w:bookmarkStart w:id="5" w:name="_Toc528146969"/>
      <w:bookmarkEnd w:id="5"/>
    </w:p>
    <w:p w14:paraId="16A5E945" w14:textId="5B68F941" w:rsidR="00BC189E" w:rsidRPr="00A47266" w:rsidRDefault="00BC189E" w:rsidP="00BC189E">
      <w:pPr>
        <w:pStyle w:val="SingleTxtG"/>
        <w:rPr>
          <w:lang w:val="fr-FR"/>
        </w:rPr>
      </w:pPr>
      <w:r w:rsidRPr="00A47266">
        <w:rPr>
          <w:lang w:val="fr-FR"/>
        </w:rPr>
        <w:t>16.</w:t>
      </w:r>
      <w:r w:rsidRPr="00A47266">
        <w:rPr>
          <w:lang w:val="fr-FR"/>
        </w:rPr>
        <w:tab/>
        <w:t xml:space="preserve">EN 16440-1:2015-01 : Méthodes d’essai des appareils de réfrigération pour moyens de transport isothermes − Partie 1 : Systèmes de réfrigération mécanique avec évaporateur à circulation d’air forcée ou convection et dispositifs de chauffage optionnels. </w:t>
      </w:r>
      <w:r w:rsidRPr="00A47266">
        <w:rPr>
          <w:i/>
          <w:iCs/>
          <w:lang w:val="fr-FR"/>
        </w:rPr>
        <w:t>La version finale a été publiée en janvier 2015.</w:t>
      </w:r>
    </w:p>
    <w:p w14:paraId="75F2AF8A" w14:textId="4EFEA93C" w:rsidR="00BC189E" w:rsidRPr="00A47266" w:rsidRDefault="00BC189E" w:rsidP="00BC189E">
      <w:pPr>
        <w:pStyle w:val="SingleTxtG"/>
        <w:rPr>
          <w:lang w:val="fr-FR"/>
        </w:rPr>
      </w:pPr>
      <w:r w:rsidRPr="00A47266">
        <w:rPr>
          <w:lang w:val="fr-FR"/>
        </w:rPr>
        <w:t>17.</w:t>
      </w:r>
      <w:r w:rsidRPr="00A47266">
        <w:rPr>
          <w:lang w:val="fr-FR"/>
        </w:rPr>
        <w:tab/>
        <w:t>La version définitive du projet de norme FprEN 16440-2</w:t>
      </w:r>
      <w:r w:rsidR="00C840E1">
        <w:rPr>
          <w:lang w:val="fr-FR"/>
        </w:rPr>
        <w:t>:2</w:t>
      </w:r>
      <w:r w:rsidRPr="00A47266">
        <w:rPr>
          <w:lang w:val="fr-FR"/>
        </w:rPr>
        <w:t>023 était encore en cours de préparation en vue d’un vote final au niveau du CEN :</w:t>
      </w:r>
    </w:p>
    <w:p w14:paraId="7A45392A" w14:textId="43A2F0F5" w:rsidR="00BC189E" w:rsidRPr="00A47266" w:rsidRDefault="00BC189E" w:rsidP="00BC189E">
      <w:pPr>
        <w:pStyle w:val="Bullet1G"/>
        <w:numPr>
          <w:ilvl w:val="0"/>
          <w:numId w:val="1"/>
        </w:numPr>
        <w:rPr>
          <w:lang w:val="fr-FR"/>
        </w:rPr>
      </w:pPr>
      <w:r w:rsidRPr="00A47266">
        <w:rPr>
          <w:lang w:val="fr-FR"/>
        </w:rPr>
        <w:t>Partie 2 : Systèmes eutectiques. Le projet actuel sera soumis au vote final dans les prochaines semaines. Les prescriptions d’essai relatives aux capacités de refroidissement et à la consommation des nouveaux dispositifs équipés de systèmes eutectiques ainsi que des dispositifs en mode de fonctionnement quotidien ont été</w:t>
      </w:r>
      <w:r w:rsidR="00C840E1">
        <w:rPr>
          <w:lang w:val="fr-FR"/>
        </w:rPr>
        <w:t> </w:t>
      </w:r>
      <w:r w:rsidRPr="00A47266">
        <w:rPr>
          <w:lang w:val="fr-FR"/>
        </w:rPr>
        <w:t>adoptées.</w:t>
      </w:r>
    </w:p>
    <w:p w14:paraId="4CAF0029" w14:textId="77777777" w:rsidR="00BC189E" w:rsidRPr="00A47266" w:rsidRDefault="00BC189E" w:rsidP="00BC189E">
      <w:pPr>
        <w:pStyle w:val="H23G"/>
        <w:rPr>
          <w:lang w:val="fr-FR"/>
        </w:rPr>
      </w:pPr>
      <w:r w:rsidRPr="00A47266">
        <w:rPr>
          <w:lang w:val="fr-FR"/>
        </w:rPr>
        <w:tab/>
        <w:t>2.</w:t>
      </w:r>
      <w:r w:rsidRPr="00A47266">
        <w:rPr>
          <w:lang w:val="fr-FR"/>
        </w:rPr>
        <w:tab/>
        <w:t>Groupe de travail 1 du comité technique CEN/TC 413</w:t>
      </w:r>
      <w:bookmarkStart w:id="6" w:name="_Toc528146970"/>
      <w:bookmarkEnd w:id="6"/>
    </w:p>
    <w:p w14:paraId="70A60121" w14:textId="4F9C2C0D" w:rsidR="00BC189E" w:rsidRPr="00A47266" w:rsidRDefault="00BC189E" w:rsidP="00C840E1">
      <w:pPr>
        <w:pStyle w:val="Bullet1G"/>
        <w:rPr>
          <w:lang w:val="fr-FR"/>
        </w:rPr>
      </w:pPr>
      <w:r w:rsidRPr="00A47266">
        <w:rPr>
          <w:lang w:val="fr-FR"/>
        </w:rPr>
        <w:t xml:space="preserve">EN </w:t>
      </w:r>
      <w:r w:rsidRPr="00C840E1">
        <w:t>17066</w:t>
      </w:r>
      <w:r w:rsidRPr="00A47266">
        <w:rPr>
          <w:lang w:val="fr-FR"/>
        </w:rPr>
        <w:t xml:space="preserve"> − Partie 1 : Conteneur − Moyens de transport isothermes pour les marchandises sensibles à la température − Prescriptions et essais. Y seraient définies la terminologie, les dispositions particulières, les dispositions relatives aux essais, ainsi que les dimensions des caisses isothermes en tenant compte de la valeur</w:t>
      </w:r>
      <w:r w:rsidR="00C840E1">
        <w:rPr>
          <w:lang w:val="fr-FR"/>
        </w:rPr>
        <w:t xml:space="preserve"> </w:t>
      </w:r>
      <w:r w:rsidRPr="00A47266">
        <w:rPr>
          <w:lang w:val="fr-FR"/>
        </w:rPr>
        <w:t xml:space="preserve">k. </w:t>
      </w:r>
      <w:r w:rsidRPr="00A47266">
        <w:rPr>
          <w:i/>
          <w:iCs/>
          <w:lang w:val="fr-FR"/>
        </w:rPr>
        <w:t>La version finale a été publiée en octobre 2019.</w:t>
      </w:r>
    </w:p>
    <w:p w14:paraId="2B863FD5" w14:textId="713159FA" w:rsidR="00BC189E" w:rsidRPr="00A47266" w:rsidRDefault="00BC189E" w:rsidP="00BC189E">
      <w:pPr>
        <w:pStyle w:val="Bullet1G"/>
        <w:numPr>
          <w:ilvl w:val="0"/>
          <w:numId w:val="1"/>
        </w:numPr>
        <w:rPr>
          <w:lang w:val="fr-FR"/>
        </w:rPr>
      </w:pPr>
      <w:r w:rsidRPr="00A47266">
        <w:rPr>
          <w:lang w:val="fr-FR"/>
        </w:rPr>
        <w:t xml:space="preserve">FprEN 17066 − Partie 2 : Matériel − Combinaison des caisses isothermes et de leurs dispositifs de chauffage ou de refroidissement, y compris la vérification des capacités de refroidissement et de chauffage pour le transport à longue distance ainsi que la distribution. </w:t>
      </w:r>
      <w:r w:rsidRPr="00A47266">
        <w:rPr>
          <w:i/>
          <w:iCs/>
          <w:lang w:val="fr-FR"/>
        </w:rPr>
        <w:t>La version définitive du projet sera soumise au vote final en mai 2024, une fois que les traductions en français et en allemand seront prêtes.</w:t>
      </w:r>
    </w:p>
    <w:p w14:paraId="584B9722" w14:textId="2C0B7BC3" w:rsidR="00BC189E" w:rsidRPr="00A47266" w:rsidRDefault="00BC189E" w:rsidP="00BC189E">
      <w:pPr>
        <w:pStyle w:val="Bullet1G"/>
        <w:numPr>
          <w:ilvl w:val="0"/>
          <w:numId w:val="1"/>
        </w:numPr>
        <w:rPr>
          <w:lang w:val="fr-FR"/>
        </w:rPr>
      </w:pPr>
      <w:r w:rsidRPr="00A47266">
        <w:rPr>
          <w:lang w:val="fr-FR"/>
        </w:rPr>
        <w:t>prEN17066 − Partie 3 : Petites cellules isothermes à usages multiples, de volume intérieur ne dépassant pas 2 m</w:t>
      </w:r>
      <w:r w:rsidRPr="00A47266">
        <w:rPr>
          <w:vertAlign w:val="superscript"/>
          <w:lang w:val="fr-FR"/>
        </w:rPr>
        <w:t>3</w:t>
      </w:r>
      <w:r w:rsidRPr="00A47266">
        <w:rPr>
          <w:lang w:val="fr-FR"/>
        </w:rPr>
        <w:t xml:space="preserve"> − Combinaison spéciale des caisses isothermes de plus petite taille et de leurs dispositifs de refroidissement ou de chauffage, y compris la vérification des capacités de refroidissement et de chauffage. </w:t>
      </w:r>
      <w:r w:rsidRPr="00A47266">
        <w:rPr>
          <w:i/>
          <w:iCs/>
          <w:lang w:val="fr-FR"/>
        </w:rPr>
        <w:t>Le projet n’a pas pu être activé au stade de l’enquête du CEN, en janvier 2023, parce qu’au moins cinq pays n’ont pas confirmé leur participation. Ce projet est actuellement en suspens. Les parties intéressées sont invitées à participer à la réactivation de ce projet</w:t>
      </w:r>
      <w:r w:rsidRPr="00A47266">
        <w:rPr>
          <w:lang w:val="fr-FR"/>
        </w:rPr>
        <w:t>.</w:t>
      </w:r>
      <w:bookmarkStart w:id="7" w:name="_Hlk102462313"/>
    </w:p>
    <w:p w14:paraId="66F1DB80" w14:textId="2A5906CA" w:rsidR="00BC189E" w:rsidRPr="00A47266" w:rsidRDefault="00BC189E" w:rsidP="00BC189E">
      <w:pPr>
        <w:pStyle w:val="Bullet1G"/>
        <w:numPr>
          <w:ilvl w:val="0"/>
          <w:numId w:val="1"/>
        </w:numPr>
        <w:rPr>
          <w:lang w:val="fr-FR"/>
        </w:rPr>
      </w:pPr>
      <w:r w:rsidRPr="00A47266">
        <w:rPr>
          <w:lang w:val="fr-FR"/>
        </w:rPr>
        <w:t>FprEN 17893</w:t>
      </w:r>
      <w:r w:rsidR="00C840E1">
        <w:rPr>
          <w:lang w:val="fr-FR"/>
        </w:rPr>
        <w:t>:2</w:t>
      </w:r>
      <w:r w:rsidRPr="00A47266">
        <w:rPr>
          <w:lang w:val="fr-FR"/>
        </w:rPr>
        <w:t xml:space="preserve">023 : Véhicules routiers réfrigérés − Norme de sécurité applicable aux systèmes sous contrôle de température utilisant des fluides frigorigènes inflammables pour le transport de marchandises − Exigences. </w:t>
      </w:r>
      <w:r w:rsidRPr="00A47266">
        <w:rPr>
          <w:i/>
          <w:iCs/>
          <w:lang w:val="fr-FR"/>
        </w:rPr>
        <w:t>La version définitive du projet sera soumise au vote final à partir du 9 novembre 2023</w:t>
      </w:r>
      <w:r w:rsidRPr="00A47266">
        <w:rPr>
          <w:lang w:val="fr-FR"/>
        </w:rPr>
        <w:t>.</w:t>
      </w:r>
    </w:p>
    <w:bookmarkEnd w:id="7"/>
    <w:p w14:paraId="677EA9C5" w14:textId="77777777" w:rsidR="00BC189E" w:rsidRPr="00A47266" w:rsidRDefault="00BC189E" w:rsidP="00BC189E">
      <w:pPr>
        <w:pStyle w:val="H23G"/>
        <w:rPr>
          <w:lang w:val="fr-FR"/>
        </w:rPr>
      </w:pPr>
      <w:r w:rsidRPr="00A47266">
        <w:rPr>
          <w:lang w:val="fr-FR"/>
        </w:rPr>
        <w:lastRenderedPageBreak/>
        <w:tab/>
        <w:t>3.</w:t>
      </w:r>
      <w:r w:rsidRPr="00A47266">
        <w:rPr>
          <w:lang w:val="fr-FR"/>
        </w:rPr>
        <w:tab/>
        <w:t>Comité technique CEN/TC 423</w:t>
      </w:r>
    </w:p>
    <w:p w14:paraId="0143D678" w14:textId="77777777" w:rsidR="00BC189E" w:rsidRPr="00A47266" w:rsidRDefault="00BC189E" w:rsidP="00C840E1">
      <w:pPr>
        <w:pStyle w:val="H4G"/>
        <w:rPr>
          <w:lang w:val="fr-FR"/>
        </w:rPr>
      </w:pPr>
      <w:r w:rsidRPr="00A47266">
        <w:rPr>
          <w:lang w:val="fr-FR"/>
        </w:rPr>
        <w:tab/>
      </w:r>
      <w:r w:rsidRPr="00A47266">
        <w:rPr>
          <w:lang w:val="fr-FR"/>
        </w:rPr>
        <w:tab/>
        <w:t>Révision de la norme EN 12830</w:t>
      </w:r>
      <w:bookmarkStart w:id="8" w:name="_Toc528146971"/>
      <w:bookmarkEnd w:id="8"/>
    </w:p>
    <w:p w14:paraId="22875C4A" w14:textId="64B5240D" w:rsidR="00BC189E" w:rsidRPr="00A47266" w:rsidRDefault="00BC189E" w:rsidP="00BC189E">
      <w:pPr>
        <w:pStyle w:val="SingleTxtG"/>
        <w:rPr>
          <w:lang w:val="fr-FR"/>
        </w:rPr>
      </w:pPr>
      <w:r w:rsidRPr="00A47266">
        <w:rPr>
          <w:lang w:val="fr-FR"/>
        </w:rPr>
        <w:t>18.</w:t>
      </w:r>
      <w:r w:rsidRPr="00A47266">
        <w:rPr>
          <w:lang w:val="fr-FR"/>
        </w:rPr>
        <w:tab/>
        <w:t>EN 12830</w:t>
      </w:r>
      <w:r w:rsidR="00C840E1">
        <w:rPr>
          <w:lang w:val="fr-FR"/>
        </w:rPr>
        <w:t>:2</w:t>
      </w:r>
      <w:r w:rsidRPr="00A47266">
        <w:rPr>
          <w:lang w:val="fr-FR"/>
        </w:rPr>
        <w:t xml:space="preserve">018-10 : Enregistreurs de température pour le transport, le stockage et la distribution des marchandises thermosensibles − Essais, performance, aptitude à l’emploi. </w:t>
      </w:r>
      <w:r w:rsidRPr="00A47266">
        <w:rPr>
          <w:i/>
          <w:iCs/>
          <w:lang w:val="fr-FR"/>
        </w:rPr>
        <w:t>La version finale a été publiée en octobre 2018.</w:t>
      </w:r>
      <w:r w:rsidRPr="00A47266">
        <w:rPr>
          <w:lang w:val="fr-FR"/>
        </w:rPr>
        <w:t xml:space="preserve"> </w:t>
      </w:r>
      <w:r w:rsidRPr="00A47266">
        <w:rPr>
          <w:i/>
          <w:iCs/>
          <w:lang w:val="fr-FR"/>
        </w:rPr>
        <w:t>Une enquête est en cours en vue du lancement d’une nouvelle révision.</w:t>
      </w:r>
    </w:p>
    <w:p w14:paraId="3DEC3A2E" w14:textId="3087F349" w:rsidR="00BC189E" w:rsidRPr="00A47266" w:rsidRDefault="00C840E1" w:rsidP="00C840E1">
      <w:pPr>
        <w:pStyle w:val="H4G"/>
        <w:rPr>
          <w:lang w:val="fr-FR"/>
        </w:rPr>
      </w:pPr>
      <w:r>
        <w:rPr>
          <w:lang w:val="fr-FR"/>
        </w:rPr>
        <w:tab/>
      </w:r>
      <w:r>
        <w:rPr>
          <w:lang w:val="fr-FR"/>
        </w:rPr>
        <w:tab/>
      </w:r>
      <w:r w:rsidR="00BC189E" w:rsidRPr="00A47266">
        <w:rPr>
          <w:lang w:val="fr-FR"/>
        </w:rPr>
        <w:tab/>
        <w:t>Révision des normes EN 13485 et EN 13486</w:t>
      </w:r>
      <w:bookmarkStart w:id="9" w:name="_Toc528146972"/>
      <w:bookmarkEnd w:id="9"/>
    </w:p>
    <w:p w14:paraId="2A80DE00" w14:textId="4D890F9C" w:rsidR="00BC189E" w:rsidRPr="00A47266" w:rsidRDefault="00BC189E" w:rsidP="00BC189E">
      <w:pPr>
        <w:pStyle w:val="Bullet1G"/>
        <w:numPr>
          <w:ilvl w:val="0"/>
          <w:numId w:val="1"/>
        </w:numPr>
        <w:rPr>
          <w:lang w:val="fr-FR"/>
        </w:rPr>
      </w:pPr>
      <w:r w:rsidRPr="00A47266">
        <w:rPr>
          <w:lang w:val="fr-FR"/>
        </w:rPr>
        <w:t>FprEN 13485</w:t>
      </w:r>
      <w:r w:rsidR="00C840E1">
        <w:rPr>
          <w:lang w:val="fr-FR"/>
        </w:rPr>
        <w:t>:2</w:t>
      </w:r>
      <w:r w:rsidRPr="00A47266">
        <w:rPr>
          <w:lang w:val="fr-FR"/>
        </w:rPr>
        <w:t xml:space="preserve">002 : Thermomètres pour le mesurage de la température de l’air et des produits pour le transport, l’entreposage et la distribution des denrées alimentaires réfrigérées, congelées et surgelées et des crèmes glacées − Essais, performance, aptitude à l’emploi. </w:t>
      </w:r>
      <w:r w:rsidRPr="00A47266">
        <w:rPr>
          <w:i/>
          <w:iCs/>
          <w:lang w:val="fr-FR"/>
        </w:rPr>
        <w:t>L’enquête finale du CEN s’est terminée le 20 octobre 2023. Les résultats seront publiés dans les prochains jours</w:t>
      </w:r>
      <w:r w:rsidRPr="00A47266">
        <w:rPr>
          <w:lang w:val="fr-FR"/>
        </w:rPr>
        <w:t>.</w:t>
      </w:r>
    </w:p>
    <w:p w14:paraId="2CD17BB8" w14:textId="1BE8517E" w:rsidR="00BC189E" w:rsidRPr="00A47266" w:rsidRDefault="00BC189E" w:rsidP="00BC189E">
      <w:pPr>
        <w:pStyle w:val="Bullet1G"/>
        <w:numPr>
          <w:ilvl w:val="0"/>
          <w:numId w:val="1"/>
        </w:numPr>
        <w:rPr>
          <w:spacing w:val="-2"/>
          <w:lang w:val="fr-FR"/>
        </w:rPr>
      </w:pPr>
      <w:r w:rsidRPr="00A47266">
        <w:rPr>
          <w:spacing w:val="-2"/>
          <w:lang w:val="fr-FR"/>
        </w:rPr>
        <w:t>EN 13486</w:t>
      </w:r>
      <w:r w:rsidR="00C840E1">
        <w:rPr>
          <w:spacing w:val="-2"/>
          <w:lang w:val="fr-FR"/>
        </w:rPr>
        <w:t>:2</w:t>
      </w:r>
      <w:r w:rsidRPr="00A47266">
        <w:rPr>
          <w:spacing w:val="-2"/>
          <w:lang w:val="fr-FR"/>
        </w:rPr>
        <w:t xml:space="preserve">002 : Enregistreurs de température et thermomètres pour le transport, l’entreposage et la distribution des denrées alimentaires réfrigérées, congelées et surgelées et des crèmes glacées − Vérification périodique. </w:t>
      </w:r>
      <w:r w:rsidRPr="00A47266">
        <w:rPr>
          <w:i/>
          <w:iCs/>
          <w:spacing w:val="-2"/>
          <w:lang w:val="fr-FR"/>
        </w:rPr>
        <w:t>L’enquête finale du CEN s’est terminée le 20 octobre 2023. Les résultats seront publiés dans les prochains jours</w:t>
      </w:r>
      <w:r w:rsidRPr="00A47266">
        <w:rPr>
          <w:spacing w:val="-2"/>
          <w:lang w:val="fr-FR"/>
        </w:rPr>
        <w:t>.</w:t>
      </w:r>
    </w:p>
    <w:p w14:paraId="7B8413E3" w14:textId="77777777" w:rsidR="00BC189E" w:rsidRPr="00A47266" w:rsidRDefault="00BC189E" w:rsidP="00C840E1">
      <w:pPr>
        <w:pStyle w:val="H23G"/>
        <w:rPr>
          <w:lang w:val="fr-FR"/>
        </w:rPr>
      </w:pPr>
      <w:r w:rsidRPr="00A47266">
        <w:rPr>
          <w:lang w:val="fr-FR"/>
        </w:rPr>
        <w:tab/>
      </w:r>
      <w:r w:rsidRPr="00A47266">
        <w:rPr>
          <w:lang w:val="fr-FR"/>
        </w:rPr>
        <w:tab/>
        <w:t>Normes ISO</w:t>
      </w:r>
      <w:bookmarkStart w:id="10" w:name="_Toc528146973"/>
      <w:bookmarkEnd w:id="10"/>
    </w:p>
    <w:p w14:paraId="14FBE7B3" w14:textId="77777777" w:rsidR="00BC189E" w:rsidRPr="00A47266" w:rsidRDefault="00BC189E" w:rsidP="00BC189E">
      <w:pPr>
        <w:pStyle w:val="SingleTxtG"/>
        <w:rPr>
          <w:lang w:val="fr-FR"/>
        </w:rPr>
      </w:pPr>
      <w:r w:rsidRPr="00A47266">
        <w:rPr>
          <w:lang w:val="fr-FR"/>
        </w:rPr>
        <w:t>19.</w:t>
      </w:r>
      <w:r w:rsidRPr="00A47266">
        <w:rPr>
          <w:lang w:val="fr-FR"/>
        </w:rPr>
        <w:tab/>
        <w:t>Le comité technique TC104 est responsable des normes relatives aux conteneurs maritimes. Le Président du TC104 tente actuellement de redynamiser ce comité. La norme ISO 1496-2 sur les conteneurs isolés et réfrigérés, qui relève de ce comité, doit faire l’objet d’une révision systématique.</w:t>
      </w:r>
    </w:p>
    <w:p w14:paraId="1EF477CD" w14:textId="77777777" w:rsidR="00BC189E" w:rsidRPr="00A47266" w:rsidRDefault="00BC189E" w:rsidP="00BC189E">
      <w:pPr>
        <w:pStyle w:val="H23G"/>
        <w:rPr>
          <w:lang w:val="fr-FR"/>
        </w:rPr>
      </w:pPr>
      <w:r w:rsidRPr="00A47266">
        <w:rPr>
          <w:lang w:val="fr-FR"/>
        </w:rPr>
        <w:tab/>
      </w:r>
      <w:r w:rsidRPr="00A47266">
        <w:rPr>
          <w:lang w:val="fr-FR"/>
        </w:rPr>
        <w:tab/>
        <w:t>Autres activités de normalisation intéressant le WP.11</w:t>
      </w:r>
      <w:bookmarkStart w:id="11" w:name="_Toc528146975"/>
      <w:bookmarkEnd w:id="11"/>
    </w:p>
    <w:p w14:paraId="23A4A8AC" w14:textId="5A558DD7" w:rsidR="00BC189E" w:rsidRPr="00A47266" w:rsidRDefault="00BC189E" w:rsidP="00BC189E">
      <w:pPr>
        <w:pStyle w:val="SingleTxtG"/>
        <w:rPr>
          <w:lang w:val="fr-FR"/>
        </w:rPr>
      </w:pPr>
      <w:r w:rsidRPr="00A47266">
        <w:rPr>
          <w:lang w:val="fr-FR"/>
        </w:rPr>
        <w:t>20.</w:t>
      </w:r>
      <w:r w:rsidRPr="00A47266">
        <w:rPr>
          <w:lang w:val="fr-FR"/>
        </w:rPr>
        <w:tab/>
        <w:t>Les deux projets coréens menés dans le cadre du groupe de travail 16 du comité technique ISO/TC 122 (Emballages de transport à température contrôlée) ont été publiés :</w:t>
      </w:r>
    </w:p>
    <w:p w14:paraId="7EE7A6F9" w14:textId="0634D123" w:rsidR="00BC189E" w:rsidRPr="00A47266" w:rsidRDefault="00BC189E" w:rsidP="00BC189E">
      <w:pPr>
        <w:pStyle w:val="Bullet1G"/>
        <w:numPr>
          <w:ilvl w:val="0"/>
          <w:numId w:val="1"/>
        </w:numPr>
        <w:rPr>
          <w:lang w:val="fr-FR"/>
        </w:rPr>
      </w:pPr>
      <w:r w:rsidRPr="00A47266">
        <w:rPr>
          <w:lang w:val="fr-FR"/>
        </w:rPr>
        <w:t>ISO 22982-1</w:t>
      </w:r>
      <w:r w:rsidR="00C840E1">
        <w:rPr>
          <w:lang w:val="fr-FR"/>
        </w:rPr>
        <w:t>:2</w:t>
      </w:r>
      <w:r w:rsidRPr="00A47266">
        <w:rPr>
          <w:lang w:val="fr-FR"/>
        </w:rPr>
        <w:t>021-03 : Conditionnement pour le transport − Emballages de transport à température dirigée pour le transport de colis − Partie 1 : Prescriptions générales ;</w:t>
      </w:r>
    </w:p>
    <w:p w14:paraId="17FD8C28" w14:textId="652AE4EA" w:rsidR="00BC189E" w:rsidRPr="00A47266" w:rsidRDefault="00BC189E" w:rsidP="00BC189E">
      <w:pPr>
        <w:pStyle w:val="Bullet1G"/>
        <w:numPr>
          <w:ilvl w:val="0"/>
          <w:numId w:val="1"/>
        </w:numPr>
        <w:rPr>
          <w:lang w:val="fr-FR"/>
        </w:rPr>
      </w:pPr>
      <w:r w:rsidRPr="00A47266">
        <w:rPr>
          <w:lang w:val="fr-FR"/>
        </w:rPr>
        <w:t>ISO 22982-2</w:t>
      </w:r>
      <w:r w:rsidR="00C840E1">
        <w:rPr>
          <w:lang w:val="fr-FR"/>
        </w:rPr>
        <w:t>:2</w:t>
      </w:r>
      <w:r w:rsidRPr="00A47266">
        <w:rPr>
          <w:lang w:val="fr-FR"/>
        </w:rPr>
        <w:t>021-03 : Conditionnement pour le transport − Emballages de transport à température dirigée pour le transport de colis − Partie 2 : Prescriptions générales pour les essais.</w:t>
      </w:r>
    </w:p>
    <w:p w14:paraId="74F68B02" w14:textId="77777777" w:rsidR="00BC189E" w:rsidRPr="00A47266" w:rsidRDefault="00BC189E" w:rsidP="00BC189E">
      <w:pPr>
        <w:pStyle w:val="H23G"/>
        <w:rPr>
          <w:lang w:val="fr-FR"/>
        </w:rPr>
      </w:pPr>
      <w:r w:rsidRPr="00A47266">
        <w:rPr>
          <w:lang w:val="fr-FR"/>
        </w:rPr>
        <w:tab/>
      </w:r>
      <w:r w:rsidRPr="00A47266">
        <w:rPr>
          <w:lang w:val="fr-FR"/>
        </w:rPr>
        <w:tab/>
        <w:t>Comité technique ISO/TC 315 (Logistique de la chaîne du froid)</w:t>
      </w:r>
    </w:p>
    <w:p w14:paraId="313FB993" w14:textId="2505F0C6" w:rsidR="00BC189E" w:rsidRPr="00A47266" w:rsidRDefault="00BC189E" w:rsidP="00A47266">
      <w:pPr>
        <w:pStyle w:val="SingleTxtG"/>
        <w:ind w:left="2552" w:hanging="1418"/>
        <w:jc w:val="left"/>
        <w:rPr>
          <w:lang w:val="fr-FR"/>
        </w:rPr>
      </w:pPr>
      <w:r w:rsidRPr="00A47266">
        <w:rPr>
          <w:i/>
          <w:iCs/>
          <w:lang w:val="fr-FR"/>
        </w:rPr>
        <w:t>Document</w:t>
      </w:r>
      <w:r w:rsidR="00C840E1">
        <w:rPr>
          <w:i/>
          <w:iCs/>
          <w:lang w:val="fr-FR"/>
        </w:rPr>
        <w:t>(s)</w:t>
      </w:r>
      <w:r w:rsidRPr="00A47266">
        <w:rPr>
          <w:lang w:val="fr-FR"/>
        </w:rPr>
        <w:t> :</w:t>
      </w:r>
      <w:r w:rsidRPr="00A47266">
        <w:rPr>
          <w:lang w:val="fr-FR"/>
        </w:rPr>
        <w:tab/>
      </w:r>
      <w:r w:rsidRPr="00A47266">
        <w:rPr>
          <w:rStyle w:val="Lienhypertexte"/>
          <w:color w:val="auto"/>
          <w:lang w:val="fr-FR"/>
        </w:rPr>
        <w:t>Document</w:t>
      </w:r>
      <w:r w:rsidRPr="00A47266">
        <w:rPr>
          <w:lang w:val="fr-FR"/>
        </w:rPr>
        <w:t xml:space="preserve"> informel INF.10 (Transfrigoroute International, au nom des</w:t>
      </w:r>
      <w:r w:rsidR="00C840E1">
        <w:rPr>
          <w:lang w:val="fr-FR"/>
        </w:rPr>
        <w:t> </w:t>
      </w:r>
      <w:r w:rsidRPr="00A47266">
        <w:rPr>
          <w:lang w:val="fr-FR"/>
        </w:rPr>
        <w:t>représentants chargés de la liaison avec l’ISO)</w:t>
      </w:r>
    </w:p>
    <w:p w14:paraId="74BEFAF7" w14:textId="77777777" w:rsidR="00BC189E" w:rsidRPr="00A47266" w:rsidRDefault="00BC189E" w:rsidP="00BC189E">
      <w:pPr>
        <w:pStyle w:val="SingleTxtG"/>
        <w:rPr>
          <w:lang w:val="fr-FR"/>
        </w:rPr>
      </w:pPr>
      <w:r w:rsidRPr="00A47266">
        <w:rPr>
          <w:lang w:val="fr-FR"/>
        </w:rPr>
        <w:t>21.</w:t>
      </w:r>
      <w:r w:rsidRPr="00A47266">
        <w:rPr>
          <w:lang w:val="fr-FR"/>
        </w:rPr>
        <w:tab/>
        <w:t>Le représentant de Transfrigoroute International a informé le WP.11 de la dernière réunion plénière du comité et des réunions de ses groupes de travail qui s’étaient tenues à Paris, du 18 au 22 septembre 2022, selon des modalités hybrides.</w:t>
      </w:r>
    </w:p>
    <w:p w14:paraId="5DAEC945" w14:textId="77777777" w:rsidR="00BC189E" w:rsidRPr="00A47266" w:rsidRDefault="00BC189E" w:rsidP="00BC189E">
      <w:pPr>
        <w:pStyle w:val="SingleTxtG"/>
        <w:rPr>
          <w:lang w:val="fr-FR"/>
        </w:rPr>
      </w:pPr>
      <w:r w:rsidRPr="00A47266">
        <w:rPr>
          <w:lang w:val="fr-FR"/>
        </w:rPr>
        <w:t>22.</w:t>
      </w:r>
      <w:r w:rsidRPr="00A47266">
        <w:rPr>
          <w:lang w:val="fr-FR"/>
        </w:rPr>
        <w:tab/>
        <w:t>On trouvera de plus amples informations sur les groupes de travail, la structure du comité technique ISO/TC 315 et le calendrier des réunions à venir dans le document informel INF.10.</w:t>
      </w:r>
    </w:p>
    <w:p w14:paraId="156C3981" w14:textId="77777777" w:rsidR="00BC189E" w:rsidRPr="00A47266" w:rsidRDefault="00BC189E" w:rsidP="00BC189E">
      <w:pPr>
        <w:pStyle w:val="HChG"/>
        <w:rPr>
          <w:lang w:val="fr-FR"/>
        </w:rPr>
      </w:pPr>
      <w:r w:rsidRPr="00A47266">
        <w:rPr>
          <w:bCs/>
          <w:lang w:val="fr-FR"/>
        </w:rPr>
        <w:lastRenderedPageBreak/>
        <w:tab/>
        <w:t>IV.</w:t>
      </w:r>
      <w:r w:rsidRPr="00A47266">
        <w:rPr>
          <w:lang w:val="fr-FR"/>
        </w:rPr>
        <w:tab/>
      </w:r>
      <w:r w:rsidRPr="00A47266">
        <w:rPr>
          <w:bCs/>
          <w:spacing w:val="-2"/>
          <w:lang w:val="fr-FR"/>
        </w:rPr>
        <w:t>Activités d’autres organisations internationales qui s’occupent</w:t>
      </w:r>
      <w:r w:rsidRPr="00A47266">
        <w:rPr>
          <w:bCs/>
          <w:lang w:val="fr-FR"/>
        </w:rPr>
        <w:t xml:space="preserve"> de questions intéressant le Groupe de travail (point 3 de l’ordre du jour)</w:t>
      </w:r>
    </w:p>
    <w:p w14:paraId="73E6D0BE" w14:textId="77777777" w:rsidR="00BC189E" w:rsidRPr="00A47266" w:rsidRDefault="00BC189E" w:rsidP="00BC189E">
      <w:pPr>
        <w:pStyle w:val="H1G"/>
        <w:numPr>
          <w:ilvl w:val="0"/>
          <w:numId w:val="18"/>
        </w:numPr>
        <w:rPr>
          <w:bCs/>
          <w:lang w:val="fr-FR"/>
        </w:rPr>
      </w:pPr>
      <w:r w:rsidRPr="00A47266">
        <w:rPr>
          <w:bCs/>
          <w:lang w:val="fr-FR"/>
        </w:rPr>
        <w:t>Institut international du froid (IIF)</w:t>
      </w:r>
    </w:p>
    <w:p w14:paraId="78E302C7" w14:textId="49784B0E" w:rsidR="00BC189E" w:rsidRPr="00A47266" w:rsidRDefault="00BC189E" w:rsidP="00C840E1">
      <w:pPr>
        <w:pStyle w:val="SingleTxtG"/>
        <w:keepNext/>
        <w:ind w:left="2552" w:hanging="1418"/>
        <w:jc w:val="left"/>
        <w:rPr>
          <w:lang w:val="fr-FR"/>
        </w:rPr>
      </w:pPr>
      <w:r w:rsidRPr="00A47266">
        <w:rPr>
          <w:i/>
          <w:iCs/>
          <w:lang w:val="fr-FR"/>
        </w:rPr>
        <w:t>Document</w:t>
      </w:r>
      <w:r w:rsidR="00C840E1">
        <w:rPr>
          <w:i/>
          <w:iCs/>
          <w:lang w:val="fr-FR"/>
        </w:rPr>
        <w:t>(s)</w:t>
      </w:r>
      <w:r w:rsidRPr="00C840E1">
        <w:rPr>
          <w:lang w:val="fr-FR"/>
        </w:rPr>
        <w:t> :</w:t>
      </w:r>
      <w:r w:rsidRPr="00A47266">
        <w:rPr>
          <w:lang w:val="fr-FR"/>
        </w:rPr>
        <w:tab/>
        <w:t xml:space="preserve">Document </w:t>
      </w:r>
      <w:r w:rsidRPr="00A47266">
        <w:rPr>
          <w:rStyle w:val="Lienhypertexte"/>
          <w:color w:val="auto"/>
          <w:lang w:val="fr-FR"/>
        </w:rPr>
        <w:t>informel</w:t>
      </w:r>
      <w:r w:rsidRPr="00A47266">
        <w:rPr>
          <w:lang w:val="fr-FR"/>
        </w:rPr>
        <w:t xml:space="preserve"> INF.2 (Institut international du froid)</w:t>
      </w:r>
    </w:p>
    <w:p w14:paraId="37EE92F1" w14:textId="77777777" w:rsidR="00BC189E" w:rsidRPr="00A47266" w:rsidRDefault="00BC189E" w:rsidP="00BC189E">
      <w:pPr>
        <w:pStyle w:val="SingleTxtG"/>
        <w:rPr>
          <w:lang w:val="fr-FR"/>
        </w:rPr>
      </w:pPr>
      <w:r w:rsidRPr="00A47266">
        <w:rPr>
          <w:lang w:val="fr-FR"/>
        </w:rPr>
        <w:t>23.</w:t>
      </w:r>
      <w:r w:rsidRPr="00A47266">
        <w:rPr>
          <w:lang w:val="fr-FR"/>
        </w:rPr>
        <w:tab/>
        <w:t>Le Groupe de travail a été informé des résultats de la réunion de la sous-commission du transport frigorifique (CERTE) de l’IIF, organisée par LOTRIČ Metrology Ltd, à Selca (Slovénie), les 18 et 19 avril 2023 (voir le document informel INF.2).</w:t>
      </w:r>
    </w:p>
    <w:p w14:paraId="5687EAC3" w14:textId="1A1D1121" w:rsidR="00BC189E" w:rsidRPr="00A47266" w:rsidRDefault="00BC189E" w:rsidP="00BC189E">
      <w:pPr>
        <w:pStyle w:val="SingleTxtG"/>
        <w:keepNext/>
        <w:rPr>
          <w:lang w:val="fr-FR"/>
        </w:rPr>
      </w:pPr>
      <w:r w:rsidRPr="00A47266">
        <w:rPr>
          <w:lang w:val="fr-FR"/>
        </w:rPr>
        <w:t>24.</w:t>
      </w:r>
      <w:r w:rsidRPr="00A47266">
        <w:rPr>
          <w:lang w:val="fr-FR"/>
        </w:rPr>
        <w:tab/>
        <w:t>Le WP.11 a demandé des éclaircissements au sujet des questions suivantes, qui seraient examinées au titre du point</w:t>
      </w:r>
      <w:r w:rsidR="00C840E1">
        <w:rPr>
          <w:lang w:val="fr-FR"/>
        </w:rPr>
        <w:t xml:space="preserve"> </w:t>
      </w:r>
      <w:r w:rsidRPr="00A47266">
        <w:rPr>
          <w:lang w:val="fr-FR"/>
        </w:rPr>
        <w:t>5 de l’ordre du jour :</w:t>
      </w:r>
    </w:p>
    <w:p w14:paraId="3746120F" w14:textId="2B0736CD" w:rsidR="00BC189E" w:rsidRPr="00A47266" w:rsidRDefault="00BC189E" w:rsidP="00BC189E">
      <w:pPr>
        <w:tabs>
          <w:tab w:val="left" w:pos="1701"/>
          <w:tab w:val="left" w:pos="2268"/>
        </w:tabs>
        <w:spacing w:after="120"/>
        <w:ind w:left="1134" w:right="1134" w:firstLine="567"/>
        <w:jc w:val="both"/>
        <w:rPr>
          <w:lang w:val="fr-FR"/>
        </w:rPr>
      </w:pPr>
      <w:r w:rsidRPr="00A47266">
        <w:rPr>
          <w:lang w:val="fr-FR"/>
        </w:rPr>
        <w:t>a)</w:t>
      </w:r>
      <w:r w:rsidRPr="00A47266">
        <w:rPr>
          <w:lang w:val="fr-FR"/>
        </w:rPr>
        <w:tab/>
        <w:t>L’alinéa</w:t>
      </w:r>
      <w:r w:rsidR="00C840E1">
        <w:rPr>
          <w:lang w:val="fr-FR"/>
        </w:rPr>
        <w:t xml:space="preserve"> </w:t>
      </w:r>
      <w:r w:rsidRPr="00A47266">
        <w:rPr>
          <w:lang w:val="fr-FR"/>
        </w:rPr>
        <w:t>b) de la section</w:t>
      </w:r>
      <w:r w:rsidR="00C840E1">
        <w:rPr>
          <w:lang w:val="fr-FR"/>
        </w:rPr>
        <w:t xml:space="preserve"> </w:t>
      </w:r>
      <w:r w:rsidRPr="00A47266">
        <w:rPr>
          <w:lang w:val="fr-FR"/>
        </w:rPr>
        <w:t>4.3.1 dispose que le premier essai doit être effectué pendant au moins quatre heures à chaque niveau de température en régime thermostaté : quelle doit être alors la tolérance applicable à la température du thermostat ?</w:t>
      </w:r>
    </w:p>
    <w:p w14:paraId="162F8D69" w14:textId="75661001" w:rsidR="00BC189E" w:rsidRPr="00A47266" w:rsidRDefault="00BC189E" w:rsidP="00BC189E">
      <w:pPr>
        <w:tabs>
          <w:tab w:val="left" w:pos="1701"/>
          <w:tab w:val="left" w:pos="2268"/>
        </w:tabs>
        <w:spacing w:after="120"/>
        <w:ind w:left="1134" w:right="1134" w:firstLine="567"/>
        <w:jc w:val="both"/>
        <w:rPr>
          <w:lang w:val="fr-FR"/>
        </w:rPr>
      </w:pPr>
      <w:r w:rsidRPr="00A47266">
        <w:rPr>
          <w:lang w:val="fr-FR"/>
        </w:rPr>
        <w:t>b)</w:t>
      </w:r>
      <w:r w:rsidRPr="00A47266">
        <w:rPr>
          <w:lang w:val="fr-FR"/>
        </w:rPr>
        <w:tab/>
        <w:t>Même s’il est précisé que la procédure d’essai visée par la section</w:t>
      </w:r>
      <w:r w:rsidR="00C840E1">
        <w:rPr>
          <w:lang w:val="fr-FR"/>
        </w:rPr>
        <w:t xml:space="preserve"> </w:t>
      </w:r>
      <w:r w:rsidRPr="00A47266">
        <w:rPr>
          <w:lang w:val="fr-FR"/>
        </w:rPr>
        <w:t>7.2.1 doit être conforme à celle qui est présentée à la section</w:t>
      </w:r>
      <w:r w:rsidR="00ED2664">
        <w:rPr>
          <w:lang w:val="fr-FR"/>
        </w:rPr>
        <w:t xml:space="preserve"> </w:t>
      </w:r>
      <w:r w:rsidRPr="00A47266">
        <w:rPr>
          <w:lang w:val="fr-FR"/>
        </w:rPr>
        <w:t>4, les essais relatifs à la puissance frigorifique décrits à la section</w:t>
      </w:r>
      <w:r w:rsidR="00C840E1">
        <w:rPr>
          <w:lang w:val="fr-FR"/>
        </w:rPr>
        <w:t xml:space="preserve"> </w:t>
      </w:r>
      <w:r w:rsidRPr="00A47266">
        <w:rPr>
          <w:lang w:val="fr-FR"/>
        </w:rPr>
        <w:t>7.2.1 sont uniquement réalisés à -20 °C et à 0 °C (puissance frigorifique nominale et puissance frigorifique individuelle), alors qu’à la section</w:t>
      </w:r>
      <w:r w:rsidR="00C840E1">
        <w:rPr>
          <w:lang w:val="fr-FR"/>
        </w:rPr>
        <w:t xml:space="preserve"> </w:t>
      </w:r>
      <w:r w:rsidRPr="00A47266">
        <w:rPr>
          <w:lang w:val="fr-FR"/>
        </w:rPr>
        <w:t>4.2.3, trois niveaux de température sont prescrits.</w:t>
      </w:r>
    </w:p>
    <w:p w14:paraId="3950C552" w14:textId="77777777" w:rsidR="00BC189E" w:rsidRPr="00A47266" w:rsidRDefault="00BC189E" w:rsidP="00BC189E">
      <w:pPr>
        <w:pStyle w:val="SingleTxtG"/>
        <w:rPr>
          <w:lang w:val="fr-FR"/>
        </w:rPr>
      </w:pPr>
      <w:r w:rsidRPr="00A47266">
        <w:rPr>
          <w:lang w:val="fr-FR"/>
        </w:rPr>
        <w:t>25.</w:t>
      </w:r>
      <w:r w:rsidRPr="00A47266">
        <w:rPr>
          <w:lang w:val="fr-FR"/>
        </w:rPr>
        <w:tab/>
        <w:t>La réunion suivante de la sous-commission aurait lieu les 16 et 17 avril 2024.</w:t>
      </w:r>
    </w:p>
    <w:p w14:paraId="6AAE9BE6" w14:textId="77777777" w:rsidR="00BC189E" w:rsidRPr="00A47266" w:rsidRDefault="00BC189E" w:rsidP="00BC189E">
      <w:pPr>
        <w:pStyle w:val="H1G"/>
        <w:rPr>
          <w:lang w:val="fr-FR"/>
        </w:rPr>
      </w:pPr>
      <w:r w:rsidRPr="00A47266">
        <w:rPr>
          <w:lang w:val="fr-FR"/>
        </w:rPr>
        <w:tab/>
        <w:t>B.</w:t>
      </w:r>
      <w:r w:rsidRPr="00A47266">
        <w:rPr>
          <w:lang w:val="fr-FR"/>
        </w:rPr>
        <w:tab/>
        <w:t>Transfrigoroute International</w:t>
      </w:r>
    </w:p>
    <w:p w14:paraId="479FC0D6" w14:textId="145B3F15" w:rsidR="00BC189E" w:rsidRPr="00A47266" w:rsidRDefault="00BC189E" w:rsidP="00A47266">
      <w:pPr>
        <w:pStyle w:val="SingleTxtG"/>
        <w:ind w:left="2552" w:hanging="1418"/>
        <w:jc w:val="left"/>
        <w:rPr>
          <w:lang w:val="fr-FR"/>
        </w:rPr>
      </w:pPr>
      <w:r w:rsidRPr="00A47266">
        <w:rPr>
          <w:i/>
          <w:iCs/>
          <w:lang w:val="fr-FR"/>
        </w:rPr>
        <w:t>Document</w:t>
      </w:r>
      <w:r w:rsidR="00C840E1">
        <w:rPr>
          <w:i/>
          <w:iCs/>
          <w:lang w:val="fr-FR"/>
        </w:rPr>
        <w:t>(s)</w:t>
      </w:r>
      <w:r w:rsidRPr="00A47266">
        <w:rPr>
          <w:i/>
          <w:iCs/>
          <w:lang w:val="fr-FR"/>
        </w:rPr>
        <w:t> </w:t>
      </w:r>
      <w:r w:rsidRPr="00C840E1">
        <w:rPr>
          <w:lang w:val="fr-FR"/>
        </w:rPr>
        <w:t>:</w:t>
      </w:r>
      <w:r w:rsidRPr="00A47266">
        <w:rPr>
          <w:lang w:val="fr-FR"/>
        </w:rPr>
        <w:tab/>
      </w:r>
      <w:r w:rsidRPr="00A47266">
        <w:rPr>
          <w:rStyle w:val="Lienhypertexte"/>
          <w:color w:val="auto"/>
          <w:lang w:val="fr-FR"/>
        </w:rPr>
        <w:t>Document</w:t>
      </w:r>
      <w:r w:rsidRPr="00A47266">
        <w:rPr>
          <w:lang w:val="fr-FR"/>
        </w:rPr>
        <w:t xml:space="preserve"> informel INF.14 (Transfrigoroute International)</w:t>
      </w:r>
    </w:p>
    <w:p w14:paraId="56B5BC5D" w14:textId="77777777" w:rsidR="00BC189E" w:rsidRPr="00A47266" w:rsidRDefault="00BC189E" w:rsidP="00BC189E">
      <w:pPr>
        <w:pStyle w:val="SingleTxtG"/>
        <w:rPr>
          <w:lang w:val="fr-FR"/>
        </w:rPr>
      </w:pPr>
      <w:r w:rsidRPr="00A47266">
        <w:rPr>
          <w:lang w:val="fr-FR"/>
        </w:rPr>
        <w:t>26.</w:t>
      </w:r>
      <w:r w:rsidRPr="00A47266">
        <w:rPr>
          <w:lang w:val="fr-FR"/>
        </w:rPr>
        <w:tab/>
        <w:t>Le représentant de Transfrigoroute International a fait savoir au Groupe de travail que le transport et la logistique, y compris tous les fournisseurs du secteur (sociétés de transport, sociétés de location, équipementiers, carrossiers, fabricants d’engins, etc.), continuaient de pâtir de la récente succession de crises (COVID, conflit entre l’Ukraine et la Russie) et de toutes les répercussions de ces crises.</w:t>
      </w:r>
    </w:p>
    <w:p w14:paraId="150827D6" w14:textId="4BC5A433" w:rsidR="00BC189E" w:rsidRPr="00A47266" w:rsidRDefault="00BC189E" w:rsidP="00BC189E">
      <w:pPr>
        <w:pStyle w:val="SingleTxtG"/>
        <w:rPr>
          <w:lang w:val="fr-FR"/>
        </w:rPr>
      </w:pPr>
      <w:r w:rsidRPr="00A47266">
        <w:rPr>
          <w:lang w:val="fr-FR"/>
        </w:rPr>
        <w:t>27.</w:t>
      </w:r>
      <w:r w:rsidRPr="00A47266">
        <w:rPr>
          <w:lang w:val="fr-FR"/>
        </w:rPr>
        <w:tab/>
        <w:t>Il a également été indiqué que le secteur du transport frigorifique était à la croisée de deux révolutions : la décarbonisation de tous les segments du transport, visant à contribuer aux objectifs mondiaux, européens et nationaux de réduction des émissions, mais aussi la transition vers des fluides frigorigènes plus durables dans les opérations de transport.</w:t>
      </w:r>
    </w:p>
    <w:p w14:paraId="74ECED5E" w14:textId="77777777" w:rsidR="00BC189E" w:rsidRPr="00A47266" w:rsidRDefault="00BC189E" w:rsidP="00BC189E">
      <w:pPr>
        <w:pStyle w:val="SingleTxtG"/>
        <w:rPr>
          <w:lang w:val="fr-FR"/>
        </w:rPr>
      </w:pPr>
      <w:r w:rsidRPr="00A47266">
        <w:rPr>
          <w:lang w:val="fr-FR"/>
        </w:rPr>
        <w:t>28.</w:t>
      </w:r>
      <w:r w:rsidRPr="00A47266">
        <w:rPr>
          <w:lang w:val="fr-FR"/>
        </w:rPr>
        <w:tab/>
        <w:t>Il a été noté que le 5 avril 2022, la Commission européenne avait présenté une proposition visant à mettre à jour le règlement (UE) n</w:t>
      </w:r>
      <w:r w:rsidRPr="00A47266">
        <w:rPr>
          <w:vertAlign w:val="superscript"/>
          <w:lang w:val="fr-FR"/>
        </w:rPr>
        <w:t>o</w:t>
      </w:r>
      <w:r w:rsidRPr="00A47266">
        <w:rPr>
          <w:lang w:val="fr-FR"/>
        </w:rPr>
        <w:t> 517/2014 (règlement sur les gaz fluorés). La proposition faisait l’objet de pourparlers entre les colégislateurs du Parlement européen et du Conseil. La révision du texte revêtait une importance capitale, la plupart des dispositifs thermiques utilisés dans le transport frigorifique fonctionnant grâce aux gaz fluorés. Le texte révisé était attendu pour la fin du mois d’octobre 2023.</w:t>
      </w:r>
    </w:p>
    <w:p w14:paraId="405B2AEE" w14:textId="24192A84" w:rsidR="00BC189E" w:rsidRPr="00A47266" w:rsidRDefault="00BC189E" w:rsidP="00BC189E">
      <w:pPr>
        <w:pStyle w:val="HChG"/>
        <w:rPr>
          <w:lang w:val="fr-FR"/>
        </w:rPr>
      </w:pPr>
      <w:r w:rsidRPr="00A47266">
        <w:rPr>
          <w:lang w:val="fr-FR"/>
        </w:rPr>
        <w:tab/>
        <w:t>V.</w:t>
      </w:r>
      <w:r w:rsidRPr="00A47266">
        <w:rPr>
          <w:lang w:val="fr-FR"/>
        </w:rPr>
        <w:tab/>
        <w:t>État et mise en œuvre de l’Accord relatif aux transports internationaux de denrées périssables et aux engins spéciaux à utiliser pour ces transports (ATP) (point 4 de l’ordre du</w:t>
      </w:r>
      <w:r w:rsidR="00C840E1">
        <w:rPr>
          <w:lang w:val="fr-FR"/>
        </w:rPr>
        <w:t> </w:t>
      </w:r>
      <w:r w:rsidRPr="00A47266">
        <w:rPr>
          <w:lang w:val="fr-FR"/>
        </w:rPr>
        <w:t>jour)</w:t>
      </w:r>
    </w:p>
    <w:p w14:paraId="048AC900" w14:textId="77777777" w:rsidR="00BC189E" w:rsidRPr="00A47266" w:rsidRDefault="00BC189E" w:rsidP="00BC189E">
      <w:pPr>
        <w:pStyle w:val="H1G"/>
        <w:rPr>
          <w:lang w:val="fr-FR"/>
        </w:rPr>
      </w:pPr>
      <w:r w:rsidRPr="00A47266">
        <w:rPr>
          <w:lang w:val="fr-FR"/>
        </w:rPr>
        <w:tab/>
        <w:t>A.</w:t>
      </w:r>
      <w:r w:rsidRPr="00A47266">
        <w:rPr>
          <w:lang w:val="fr-FR"/>
        </w:rPr>
        <w:tab/>
        <w:t>État de l’Accord</w:t>
      </w:r>
    </w:p>
    <w:p w14:paraId="5B4DC4FD" w14:textId="5277D502" w:rsidR="00BC189E" w:rsidRPr="00A47266" w:rsidRDefault="00BC189E" w:rsidP="00BC189E">
      <w:pPr>
        <w:pStyle w:val="SingleTxtG"/>
        <w:rPr>
          <w:lang w:val="fr-FR"/>
        </w:rPr>
      </w:pPr>
      <w:r w:rsidRPr="00A47266">
        <w:rPr>
          <w:lang w:val="fr-FR"/>
        </w:rPr>
        <w:t>29.</w:t>
      </w:r>
      <w:r w:rsidRPr="00A47266">
        <w:rPr>
          <w:lang w:val="fr-FR"/>
        </w:rPr>
        <w:tab/>
        <w:t>Aucune adhésion nouvelle à l’ATP n’est à signaler depuis la dernière session ; le nombre de Parties contractantes reste donc de 52.</w:t>
      </w:r>
    </w:p>
    <w:p w14:paraId="518AFC65" w14:textId="77777777" w:rsidR="00BC189E" w:rsidRPr="00A47266" w:rsidRDefault="00BC189E" w:rsidP="00BC189E">
      <w:pPr>
        <w:pStyle w:val="H1G"/>
        <w:rPr>
          <w:lang w:val="fr-FR"/>
        </w:rPr>
      </w:pPr>
      <w:r w:rsidRPr="00A47266">
        <w:rPr>
          <w:lang w:val="fr-FR"/>
        </w:rPr>
        <w:lastRenderedPageBreak/>
        <w:tab/>
        <w:t>B.</w:t>
      </w:r>
      <w:r w:rsidRPr="00A47266">
        <w:rPr>
          <w:lang w:val="fr-FR"/>
        </w:rPr>
        <w:tab/>
        <w:t>État des amendements</w:t>
      </w:r>
    </w:p>
    <w:p w14:paraId="5C018A67" w14:textId="7B1355A5" w:rsidR="00BC189E" w:rsidRPr="00A47266" w:rsidRDefault="00BC189E" w:rsidP="00BC189E">
      <w:pPr>
        <w:pStyle w:val="SingleTxtG"/>
        <w:rPr>
          <w:lang w:val="fr-FR"/>
        </w:rPr>
      </w:pPr>
      <w:r w:rsidRPr="00A47266">
        <w:rPr>
          <w:lang w:val="fr-FR"/>
        </w:rPr>
        <w:t>30.</w:t>
      </w:r>
      <w:r w:rsidRPr="00A47266">
        <w:rPr>
          <w:lang w:val="fr-FR"/>
        </w:rPr>
        <w:tab/>
        <w:t xml:space="preserve">Les propositions d’amendements à l’ATP adoptées par le Groupe de travail à ses soixante-dix-septième, soixante-dix-huitième et soixante-dix-neuvième sessions, tenues à Genève respectivement du 26 au 29 octobre 2021, du 3 au 6 mai 2022 et du 25 au 28 octobre </w:t>
      </w:r>
      <w:r w:rsidRPr="00A47266">
        <w:rPr>
          <w:spacing w:val="-2"/>
          <w:lang w:val="fr-FR"/>
        </w:rPr>
        <w:t>2022, qui sont reproduites respectivement à l’annexe du rapport ECE/TRANS/WP.11/245, à l’annexe</w:t>
      </w:r>
      <w:r w:rsidR="00C840E1">
        <w:rPr>
          <w:spacing w:val="-2"/>
          <w:lang w:val="fr-FR"/>
        </w:rPr>
        <w:t xml:space="preserve"> </w:t>
      </w:r>
      <w:r w:rsidRPr="00A47266">
        <w:rPr>
          <w:spacing w:val="-2"/>
          <w:lang w:val="fr-FR"/>
        </w:rPr>
        <w:t>II du rapport ECE/TRANS/WP.11/247 et à l’annexe</w:t>
      </w:r>
      <w:r w:rsidR="00C840E1">
        <w:rPr>
          <w:spacing w:val="-2"/>
          <w:lang w:val="fr-FR"/>
        </w:rPr>
        <w:t xml:space="preserve"> </w:t>
      </w:r>
      <w:r w:rsidRPr="00A47266">
        <w:rPr>
          <w:spacing w:val="-2"/>
          <w:lang w:val="fr-FR"/>
        </w:rPr>
        <w:t>II du rapport ECE/TRANS/</w:t>
      </w:r>
      <w:r w:rsidR="00C840E1">
        <w:rPr>
          <w:spacing w:val="-2"/>
          <w:lang w:val="fr-FR"/>
        </w:rPr>
        <w:t xml:space="preserve"> </w:t>
      </w:r>
      <w:r w:rsidRPr="00A47266">
        <w:rPr>
          <w:spacing w:val="-2"/>
          <w:lang w:val="fr-FR"/>
        </w:rPr>
        <w:t>WP.11/249 (notification dépositaire C.N.30.2023.TREATIES-XI.B.22), ont été notifiées aux Parties contractantes à l’ATP par la Section des traités de l’ONU le 3 février 2023.</w:t>
      </w:r>
    </w:p>
    <w:p w14:paraId="422777D8" w14:textId="4D924ADC" w:rsidR="00BC189E" w:rsidRPr="00A47266" w:rsidRDefault="00BC189E" w:rsidP="00BC189E">
      <w:pPr>
        <w:pStyle w:val="SingleTxtG"/>
        <w:rPr>
          <w:lang w:val="fr-FR"/>
        </w:rPr>
      </w:pPr>
      <w:r w:rsidRPr="00A47266">
        <w:rPr>
          <w:lang w:val="fr-FR"/>
        </w:rPr>
        <w:t>31.</w:t>
      </w:r>
      <w:r w:rsidRPr="00A47266">
        <w:rPr>
          <w:lang w:val="fr-FR"/>
        </w:rPr>
        <w:tab/>
        <w:t>Le 30 mars 2023, le Gouvernement allemand, agissant en vertu du paragraphe</w:t>
      </w:r>
      <w:r w:rsidR="00C840E1">
        <w:rPr>
          <w:lang w:val="fr-FR"/>
        </w:rPr>
        <w:t xml:space="preserve"> </w:t>
      </w:r>
      <w:r w:rsidRPr="00A47266">
        <w:rPr>
          <w:lang w:val="fr-FR"/>
        </w:rPr>
        <w:t>2 b) de l’article</w:t>
      </w:r>
      <w:r w:rsidR="00C840E1">
        <w:rPr>
          <w:lang w:val="fr-FR"/>
        </w:rPr>
        <w:t xml:space="preserve"> </w:t>
      </w:r>
      <w:r w:rsidRPr="00A47266">
        <w:rPr>
          <w:lang w:val="fr-FR"/>
        </w:rPr>
        <w:t>18 de l’ATP, a informé le Secrétaire général qu’il avait l’intention d’accepter les propositions, mais que les conditions de cette acceptation n’étaient pas encore remplies (C.N.101.2023.TREATIES-XI.B.22). En conséquence, les propositions d’amendements adoptées aux sessions de 2021 et 2022 du Groupe de travail ne seront réputées acceptées que si, avant l’expiration d’un délai de neuf mois après la période de notification initiale de six mois, le Gouvernement allemand ne présente pas une objection aux amendements proposés.</w:t>
      </w:r>
    </w:p>
    <w:p w14:paraId="7F2D7EEB" w14:textId="77777777" w:rsidR="00BC189E" w:rsidRPr="00A47266" w:rsidRDefault="00BC189E" w:rsidP="00BC189E">
      <w:pPr>
        <w:pStyle w:val="H1G"/>
        <w:rPr>
          <w:lang w:val="fr-FR"/>
        </w:rPr>
      </w:pPr>
      <w:r w:rsidRPr="00A47266">
        <w:rPr>
          <w:lang w:val="fr-FR"/>
        </w:rPr>
        <w:tab/>
        <w:t>C.</w:t>
      </w:r>
      <w:r w:rsidRPr="00A47266">
        <w:rPr>
          <w:lang w:val="fr-FR"/>
        </w:rPr>
        <w:tab/>
        <w:t>Stations d’essai officiellement désignées par l’autorité compétente des pays parties à l’ATP</w:t>
      </w:r>
    </w:p>
    <w:p w14:paraId="0F6AFB54" w14:textId="526AD9F2" w:rsidR="00BC189E" w:rsidRPr="00A47266" w:rsidRDefault="00BC189E" w:rsidP="00A47266">
      <w:pPr>
        <w:pStyle w:val="SingleTxtG"/>
        <w:ind w:left="2552" w:hanging="1418"/>
        <w:jc w:val="left"/>
        <w:rPr>
          <w:lang w:val="fr-FR"/>
        </w:rPr>
      </w:pPr>
      <w:r w:rsidRPr="00A47266">
        <w:rPr>
          <w:i/>
          <w:iCs/>
          <w:lang w:val="fr-FR"/>
        </w:rPr>
        <w:t>Document</w:t>
      </w:r>
      <w:r w:rsidR="00C840E1">
        <w:rPr>
          <w:i/>
          <w:iCs/>
          <w:lang w:val="fr-FR"/>
        </w:rPr>
        <w:t>(s)</w:t>
      </w:r>
      <w:r w:rsidRPr="00A47266">
        <w:rPr>
          <w:lang w:val="fr-FR"/>
        </w:rPr>
        <w:t> :</w:t>
      </w:r>
      <w:r w:rsidRPr="00A47266">
        <w:rPr>
          <w:lang w:val="fr-FR"/>
        </w:rPr>
        <w:tab/>
      </w:r>
      <w:r w:rsidRPr="00A47266">
        <w:rPr>
          <w:rStyle w:val="Lienhypertexte"/>
          <w:color w:val="auto"/>
          <w:lang w:val="fr-FR"/>
        </w:rPr>
        <w:t>Document</w:t>
      </w:r>
      <w:r w:rsidRPr="00A47266">
        <w:rPr>
          <w:lang w:val="fr-FR"/>
        </w:rPr>
        <w:t xml:space="preserve"> informel INF.7/Rev.1 (Espagne)</w:t>
      </w:r>
    </w:p>
    <w:p w14:paraId="16388608" w14:textId="77777777" w:rsidR="00BC189E" w:rsidRPr="00A47266" w:rsidRDefault="00BC189E" w:rsidP="00BC189E">
      <w:pPr>
        <w:pStyle w:val="SingleTxtG"/>
        <w:rPr>
          <w:lang w:val="fr-FR"/>
        </w:rPr>
      </w:pPr>
      <w:r w:rsidRPr="00A47266">
        <w:rPr>
          <w:lang w:val="fr-FR"/>
        </w:rPr>
        <w:t>32.</w:t>
      </w:r>
      <w:r w:rsidRPr="00A47266">
        <w:rPr>
          <w:lang w:val="fr-FR"/>
        </w:rPr>
        <w:tab/>
        <w:t>Le WP.11 a pris note des informations fournies par le représentant de l’Espagne dans le document informel INF.7/Rev.1.</w:t>
      </w:r>
    </w:p>
    <w:p w14:paraId="117AA372" w14:textId="393F2E9B" w:rsidR="00BC189E" w:rsidRPr="00A47266" w:rsidRDefault="00BC189E" w:rsidP="00BC189E">
      <w:pPr>
        <w:pStyle w:val="SingleTxtG"/>
        <w:rPr>
          <w:lang w:val="fr-FR"/>
        </w:rPr>
      </w:pPr>
      <w:r w:rsidRPr="00A47266">
        <w:rPr>
          <w:lang w:val="fr-FR"/>
        </w:rPr>
        <w:t>33.</w:t>
      </w:r>
      <w:r w:rsidRPr="00A47266">
        <w:rPr>
          <w:lang w:val="fr-FR"/>
        </w:rPr>
        <w:tab/>
        <w:t xml:space="preserve">La liste actualisée des stations d’essai officiellement désignées peut être consultée à l’adresse suivante : </w:t>
      </w:r>
      <w:hyperlink r:id="rId22" w:history="1">
        <w:r w:rsidR="00C840E1" w:rsidRPr="008C1FA1">
          <w:rPr>
            <w:rStyle w:val="Lienhypertexte"/>
            <w:lang w:val="fr-FR"/>
          </w:rPr>
          <w:t>https://unece.org/atp-competent-authorities-and-testing-stations</w:t>
        </w:r>
      </w:hyperlink>
      <w:r w:rsidRPr="00A47266">
        <w:rPr>
          <w:lang w:val="fr-FR"/>
        </w:rPr>
        <w:t>.</w:t>
      </w:r>
    </w:p>
    <w:p w14:paraId="28DD0B48" w14:textId="77777777" w:rsidR="00BC189E" w:rsidRPr="00A47266" w:rsidRDefault="00BC189E" w:rsidP="00BC189E">
      <w:pPr>
        <w:pStyle w:val="H1G"/>
        <w:rPr>
          <w:lang w:val="fr-FR"/>
        </w:rPr>
      </w:pPr>
      <w:r w:rsidRPr="00A47266">
        <w:rPr>
          <w:lang w:val="fr-FR"/>
        </w:rPr>
        <w:tab/>
        <w:t>D.</w:t>
      </w:r>
      <w:r w:rsidRPr="00A47266">
        <w:rPr>
          <w:lang w:val="fr-FR"/>
        </w:rPr>
        <w:tab/>
        <w:t>Échange d’informations entre les Parties en vertu de l’article 6 de l’ATP</w:t>
      </w:r>
    </w:p>
    <w:p w14:paraId="43068BD8" w14:textId="77777777" w:rsidR="00BC189E" w:rsidRPr="00A47266" w:rsidRDefault="00BC189E" w:rsidP="00BC189E">
      <w:pPr>
        <w:pStyle w:val="SingleTxtG"/>
        <w:rPr>
          <w:lang w:val="fr-FR"/>
        </w:rPr>
      </w:pPr>
      <w:r w:rsidRPr="00A47266">
        <w:rPr>
          <w:lang w:val="fr-FR"/>
        </w:rPr>
        <w:t>34.</w:t>
      </w:r>
      <w:r w:rsidRPr="00A47266">
        <w:rPr>
          <w:lang w:val="fr-FR"/>
        </w:rPr>
        <w:tab/>
        <w:t>À sa soixante-dix-neuvième session, le Groupe de travail a remercié les 21 pays qui avaient fourni des données en réponse au questionnaire sur l’application de l’ATP en 2021 et a souligné que toutes les Parties contractantes à l’ATP étaient tenues de le faire, car il s’agissait d’un moyen d’harmoniser l’application de l’Accord.</w:t>
      </w:r>
    </w:p>
    <w:p w14:paraId="6D2FAA45" w14:textId="65480068" w:rsidR="00BC189E" w:rsidRPr="00A47266" w:rsidRDefault="00BC189E" w:rsidP="00BC189E">
      <w:pPr>
        <w:pStyle w:val="SingleTxtG"/>
        <w:rPr>
          <w:lang w:val="fr-FR"/>
        </w:rPr>
      </w:pPr>
      <w:r w:rsidRPr="00A47266">
        <w:rPr>
          <w:lang w:val="fr-FR"/>
        </w:rPr>
        <w:t>35.</w:t>
      </w:r>
      <w:r w:rsidRPr="00A47266">
        <w:rPr>
          <w:lang w:val="fr-FR"/>
        </w:rPr>
        <w:tab/>
        <w:t xml:space="preserve">Les informations reçues pour l’année 2022 figurent dans le document </w:t>
      </w:r>
      <w:hyperlink r:id="rId23" w:history="1">
        <w:r w:rsidRPr="00A47266">
          <w:rPr>
            <w:rStyle w:val="Lienhypertexte"/>
            <w:color w:val="auto"/>
            <w:lang w:val="fr-FR"/>
          </w:rPr>
          <w:t>ECE/TRANS/WP.11/2023/1</w:t>
        </w:r>
      </w:hyperlink>
      <w:r w:rsidRPr="00A47266">
        <w:rPr>
          <w:lang w:val="fr-FR"/>
        </w:rPr>
        <w:t>.</w:t>
      </w:r>
    </w:p>
    <w:p w14:paraId="58A3F9DF" w14:textId="67E7099A" w:rsidR="00BC189E" w:rsidRPr="00A47266" w:rsidRDefault="00BC189E" w:rsidP="00BC189E">
      <w:pPr>
        <w:pStyle w:val="SingleTxtG"/>
        <w:rPr>
          <w:lang w:val="fr-FR"/>
        </w:rPr>
      </w:pPr>
      <w:r w:rsidRPr="00A47266">
        <w:rPr>
          <w:lang w:val="fr-FR"/>
        </w:rPr>
        <w:t>36.</w:t>
      </w:r>
      <w:r w:rsidRPr="00A47266">
        <w:rPr>
          <w:lang w:val="fr-FR"/>
        </w:rPr>
        <w:tab/>
        <w:t>Comme suite à la demande formulée par le Groupe de travail à sa soixante-treizième session, le secrétariat a envoyé une lettre à toutes les Parties contractantes pour leur demander de s’acquitter de l’obligation qui leur est faite par l’article</w:t>
      </w:r>
      <w:r w:rsidR="00C840E1">
        <w:rPr>
          <w:lang w:val="fr-FR"/>
        </w:rPr>
        <w:t xml:space="preserve"> </w:t>
      </w:r>
      <w:r w:rsidRPr="00A47266">
        <w:rPr>
          <w:lang w:val="fr-FR"/>
        </w:rPr>
        <w:t xml:space="preserve">6 de l’ATP de répondre au questionnaire qui leur est adressé chaque année et de mettre à jour les informations sur les coordonnées de leurs autorités compétentes et de leurs stations d’essai. Toutes les informations reçues par le secrétariat ont été intégrées dans la liste des autorités compétentes et des stations d’essai officiellement désignées, qui peut être consultée à l’adresse suivante : </w:t>
      </w:r>
      <w:hyperlink r:id="rId24" w:history="1">
        <w:r w:rsidR="00C840E1" w:rsidRPr="008C1FA1">
          <w:rPr>
            <w:rStyle w:val="Lienhypertexte"/>
            <w:lang w:val="fr-FR"/>
          </w:rPr>
          <w:t>https://unece.org/atp-competent-authorities-and-testing-stations</w:t>
        </w:r>
      </w:hyperlink>
      <w:r w:rsidRPr="00A47266">
        <w:rPr>
          <w:lang w:val="fr-FR"/>
        </w:rPr>
        <w:t>.</w:t>
      </w:r>
    </w:p>
    <w:p w14:paraId="25B5D3ED" w14:textId="77777777" w:rsidR="00BC189E" w:rsidRPr="00A47266" w:rsidRDefault="00BC189E" w:rsidP="00BC189E">
      <w:pPr>
        <w:pStyle w:val="H1G"/>
        <w:rPr>
          <w:lang w:val="fr-FR"/>
        </w:rPr>
      </w:pPr>
      <w:r w:rsidRPr="00A47266">
        <w:rPr>
          <w:lang w:val="fr-FR"/>
        </w:rPr>
        <w:tab/>
        <w:t>E.</w:t>
      </w:r>
      <w:r w:rsidRPr="00A47266">
        <w:rPr>
          <w:lang w:val="fr-FR"/>
        </w:rPr>
        <w:tab/>
        <w:t>Échange de bonnes pratiques pour une meilleure application de l’ATP</w:t>
      </w:r>
    </w:p>
    <w:p w14:paraId="4B9004DD" w14:textId="77777777" w:rsidR="00BC189E" w:rsidRPr="00A47266" w:rsidRDefault="00BC189E" w:rsidP="00BC189E">
      <w:pPr>
        <w:pStyle w:val="H23G"/>
        <w:rPr>
          <w:lang w:val="fr-FR"/>
        </w:rPr>
      </w:pPr>
      <w:r w:rsidRPr="00A47266">
        <w:rPr>
          <w:lang w:val="fr-FR"/>
        </w:rPr>
        <w:tab/>
        <w:t>1.</w:t>
      </w:r>
      <w:r w:rsidRPr="00A47266">
        <w:rPr>
          <w:lang w:val="fr-FR"/>
        </w:rPr>
        <w:tab/>
        <w:t xml:space="preserve">Guide des bonnes pratiques à respecter pour le montage de dispositifs thermiques encastrés et/ou munis de déflecteurs et les dispositifs thermiques sous châssis </w:t>
      </w:r>
      <w:r w:rsidRPr="00A47266">
        <w:rPr>
          <w:lang w:val="fr-FR"/>
        </w:rPr>
        <w:br/>
        <w:t>ou pouvant être déportés</w:t>
      </w:r>
    </w:p>
    <w:p w14:paraId="6F175CFC" w14:textId="6065A3D4" w:rsidR="00BC189E" w:rsidRPr="00A47266" w:rsidRDefault="00BC189E" w:rsidP="00BC189E">
      <w:pPr>
        <w:pStyle w:val="SingleTxtG"/>
        <w:ind w:left="2552" w:hanging="1418"/>
        <w:jc w:val="left"/>
        <w:rPr>
          <w:lang w:val="fr-FR"/>
        </w:rPr>
      </w:pPr>
      <w:r w:rsidRPr="00A47266">
        <w:rPr>
          <w:i/>
          <w:iCs/>
          <w:lang w:val="fr-FR"/>
        </w:rPr>
        <w:t>Document</w:t>
      </w:r>
      <w:r w:rsidR="00C840E1">
        <w:rPr>
          <w:i/>
          <w:iCs/>
          <w:lang w:val="fr-FR"/>
        </w:rPr>
        <w:t>(s)</w:t>
      </w:r>
      <w:r w:rsidRPr="00C840E1">
        <w:rPr>
          <w:lang w:val="fr-FR"/>
        </w:rPr>
        <w:t> :</w:t>
      </w:r>
      <w:r w:rsidRPr="00A47266">
        <w:rPr>
          <w:lang w:val="fr-FR"/>
        </w:rPr>
        <w:tab/>
      </w:r>
      <w:hyperlink r:id="rId25" w:history="1">
        <w:r w:rsidRPr="00A47266">
          <w:rPr>
            <w:rStyle w:val="Lienhypertexte"/>
            <w:color w:val="auto"/>
            <w:lang w:val="fr-FR"/>
          </w:rPr>
          <w:t>ECE/TRANS/WP.11/2023/2</w:t>
        </w:r>
      </w:hyperlink>
      <w:r w:rsidRPr="00A47266">
        <w:rPr>
          <w:lang w:val="fr-FR"/>
        </w:rPr>
        <w:t xml:space="preserve"> (France)</w:t>
      </w:r>
    </w:p>
    <w:p w14:paraId="6E57336B" w14:textId="6FB60755" w:rsidR="00BC189E" w:rsidRPr="00A47266" w:rsidRDefault="00BC189E" w:rsidP="00BC189E">
      <w:pPr>
        <w:pStyle w:val="SingleTxtG"/>
        <w:rPr>
          <w:bCs/>
          <w:szCs w:val="28"/>
          <w:lang w:val="fr-FR"/>
        </w:rPr>
      </w:pPr>
      <w:r w:rsidRPr="00A47266">
        <w:rPr>
          <w:lang w:val="fr-FR"/>
        </w:rPr>
        <w:t>37.</w:t>
      </w:r>
      <w:r w:rsidRPr="00A47266">
        <w:rPr>
          <w:lang w:val="fr-FR"/>
        </w:rPr>
        <w:tab/>
        <w:t xml:space="preserve">Certaines délégations ont indiqué que la principale préoccupation était de déterminer qui serait chargé de vérifier que les groupes frigorifiques étaient correctement installés. Il a également été dit que dans le cas du transport de denrées périssables, l’exploitant était </w:t>
      </w:r>
      <w:r w:rsidRPr="00A47266">
        <w:rPr>
          <w:lang w:val="fr-FR"/>
        </w:rPr>
        <w:lastRenderedPageBreak/>
        <w:t>toujours responsable de la conformité des engins spéciaux et du respect permanent des conditions requises. Il incombait à l’autorité compétente de vérifier que les engins spéciaux fonctionnaient correctement et maintenaient la température nécessaire pour l’opération de</w:t>
      </w:r>
      <w:r w:rsidR="00C840E1">
        <w:rPr>
          <w:lang w:val="fr-FR"/>
        </w:rPr>
        <w:t> </w:t>
      </w:r>
      <w:r w:rsidRPr="00A47266">
        <w:rPr>
          <w:lang w:val="fr-FR"/>
        </w:rPr>
        <w:t>transport.</w:t>
      </w:r>
    </w:p>
    <w:p w14:paraId="225C8416" w14:textId="77777777" w:rsidR="00BC189E" w:rsidRPr="00A47266" w:rsidRDefault="00BC189E" w:rsidP="00BC189E">
      <w:pPr>
        <w:pStyle w:val="SingleTxtG"/>
        <w:rPr>
          <w:bCs/>
          <w:szCs w:val="28"/>
          <w:lang w:val="fr-FR"/>
        </w:rPr>
      </w:pPr>
      <w:r w:rsidRPr="00A47266">
        <w:rPr>
          <w:lang w:val="fr-FR"/>
        </w:rPr>
        <w:t>38.</w:t>
      </w:r>
      <w:r w:rsidRPr="00A47266">
        <w:rPr>
          <w:lang w:val="fr-FR"/>
        </w:rPr>
        <w:tab/>
        <w:t>Le WP.11 a décidé, par huit voix pour (Danemark, Espagne, Finlande, France, Italie, Luxembourg, Portugal et Slovénie) et deux voix contre (Allemagne et Tchéquie), de publier le document d’orientation, tel que modifié, sur le site Web de la CEE.</w:t>
      </w:r>
    </w:p>
    <w:p w14:paraId="52440F57" w14:textId="77777777" w:rsidR="00BC189E" w:rsidRPr="00A47266" w:rsidRDefault="00BC189E" w:rsidP="00BC189E">
      <w:pPr>
        <w:pStyle w:val="H23G"/>
        <w:rPr>
          <w:lang w:val="fr-FR"/>
        </w:rPr>
      </w:pPr>
      <w:r w:rsidRPr="00A47266">
        <w:rPr>
          <w:lang w:val="fr-FR"/>
        </w:rPr>
        <w:tab/>
        <w:t>2.</w:t>
      </w:r>
      <w:r w:rsidRPr="00A47266">
        <w:rPr>
          <w:lang w:val="fr-FR"/>
        </w:rPr>
        <w:tab/>
        <w:t>Guide sur la délivrance de la déclaration de conformité (annexe 1, appendice 2, par. 7.3.6) et le dimensionnement des équipements multi-compartiments, multi</w:t>
      </w:r>
      <w:r w:rsidRPr="00A47266">
        <w:rPr>
          <w:lang w:val="fr-FR"/>
        </w:rPr>
        <w:noBreakHyphen/>
        <w:t xml:space="preserve">températures (MTMC) − Traitement des cas d’application spécifiques </w:t>
      </w:r>
      <w:r w:rsidRPr="00A47266">
        <w:rPr>
          <w:lang w:val="fr-FR"/>
        </w:rPr>
        <w:br/>
        <w:t>à l’outil de dimensionnement des engins multi-températures</w:t>
      </w:r>
    </w:p>
    <w:p w14:paraId="180D6429" w14:textId="2146B282" w:rsidR="00BC189E" w:rsidRPr="00A47266" w:rsidRDefault="00BC189E" w:rsidP="00BC189E">
      <w:pPr>
        <w:pStyle w:val="SingleTxtG"/>
        <w:ind w:left="2552" w:hanging="1418"/>
        <w:jc w:val="left"/>
        <w:rPr>
          <w:lang w:val="fr-FR"/>
        </w:rPr>
      </w:pPr>
      <w:r w:rsidRPr="00A47266">
        <w:rPr>
          <w:i/>
          <w:iCs/>
          <w:lang w:val="fr-FR"/>
        </w:rPr>
        <w:t>Document</w:t>
      </w:r>
      <w:r w:rsidR="00C840E1">
        <w:rPr>
          <w:i/>
          <w:iCs/>
          <w:lang w:val="fr-FR"/>
        </w:rPr>
        <w:t>(s)</w:t>
      </w:r>
      <w:r w:rsidRPr="00C840E1">
        <w:rPr>
          <w:lang w:val="fr-FR"/>
        </w:rPr>
        <w:t> :</w:t>
      </w:r>
      <w:r w:rsidRPr="00A47266">
        <w:rPr>
          <w:lang w:val="fr-FR"/>
        </w:rPr>
        <w:tab/>
      </w:r>
      <w:hyperlink r:id="rId26" w:history="1">
        <w:r w:rsidRPr="00A47266">
          <w:rPr>
            <w:rStyle w:val="Lienhypertexte"/>
            <w:color w:val="auto"/>
            <w:lang w:val="fr-FR"/>
          </w:rPr>
          <w:t>ECE/TRANS/WP.11/2023/6</w:t>
        </w:r>
      </w:hyperlink>
      <w:r w:rsidRPr="00A47266">
        <w:rPr>
          <w:lang w:val="fr-FR"/>
        </w:rPr>
        <w:t xml:space="preserve"> (France)</w:t>
      </w:r>
    </w:p>
    <w:p w14:paraId="54C82D6B" w14:textId="77777777" w:rsidR="00BC189E" w:rsidRPr="00A47266" w:rsidRDefault="00BC189E" w:rsidP="00BC189E">
      <w:pPr>
        <w:pStyle w:val="SingleTxtG"/>
        <w:rPr>
          <w:bCs/>
          <w:szCs w:val="28"/>
          <w:lang w:val="fr-FR"/>
        </w:rPr>
      </w:pPr>
      <w:r w:rsidRPr="00A47266">
        <w:rPr>
          <w:lang w:val="fr-FR"/>
        </w:rPr>
        <w:t>39.</w:t>
      </w:r>
      <w:r w:rsidRPr="00A47266">
        <w:rPr>
          <w:lang w:val="fr-FR"/>
        </w:rPr>
        <w:tab/>
        <w:t>La délégation française a précisé que le document était destiné à être publié en tant que document d’orientation sur le site Web de la CEE. Des préoccupations ont été soulevées concernant le libellé des orientations et il a été déclaré qu’en principe, celles-ci ne devraient pas inclure d’informations qui ne sont pas conformes aux prescriptions de l’ATP.</w:t>
      </w:r>
    </w:p>
    <w:p w14:paraId="1E834860" w14:textId="3EDB9D7C" w:rsidR="00BC189E" w:rsidRPr="00A47266" w:rsidRDefault="00BC189E" w:rsidP="00BC189E">
      <w:pPr>
        <w:pStyle w:val="SingleTxtG"/>
        <w:rPr>
          <w:bCs/>
          <w:szCs w:val="28"/>
          <w:lang w:val="fr-FR"/>
        </w:rPr>
      </w:pPr>
      <w:r w:rsidRPr="00A47266">
        <w:rPr>
          <w:lang w:val="fr-FR"/>
        </w:rPr>
        <w:t>40.</w:t>
      </w:r>
      <w:r w:rsidRPr="00A47266">
        <w:rPr>
          <w:lang w:val="fr-FR"/>
        </w:rPr>
        <w:tab/>
        <w:t>Il a été décidé de publier le document dans l’espace wiki du WP.11 jusqu’au 29</w:t>
      </w:r>
      <w:r w:rsidR="00ED2664">
        <w:rPr>
          <w:lang w:val="fr-FR"/>
        </w:rPr>
        <w:t> </w:t>
      </w:r>
      <w:r w:rsidRPr="00A47266">
        <w:rPr>
          <w:lang w:val="fr-FR"/>
        </w:rPr>
        <w:t xml:space="preserve">février 2024 afin de recueillir les observations des délégations intéressées (voir </w:t>
      </w:r>
      <w:hyperlink r:id="rId27" w:history="1">
        <w:r w:rsidR="00C840E1" w:rsidRPr="008C1FA1">
          <w:rPr>
            <w:rStyle w:val="Lienhypertexte"/>
            <w:lang w:val="fr-FR"/>
          </w:rPr>
          <w:t>https://wiki.unece.org/pages/viewpage.action?pageId=224002683</w:t>
        </w:r>
      </w:hyperlink>
      <w:r w:rsidRPr="00A47266">
        <w:rPr>
          <w:lang w:val="fr-FR"/>
        </w:rPr>
        <w:t>).</w:t>
      </w:r>
    </w:p>
    <w:p w14:paraId="2D7C50EF" w14:textId="77777777" w:rsidR="00BC189E" w:rsidRPr="00A47266" w:rsidRDefault="00BC189E" w:rsidP="00BC189E">
      <w:pPr>
        <w:pStyle w:val="H1G"/>
        <w:rPr>
          <w:lang w:val="fr-FR"/>
        </w:rPr>
      </w:pPr>
      <w:r w:rsidRPr="00A47266">
        <w:rPr>
          <w:lang w:val="fr-FR"/>
        </w:rPr>
        <w:tab/>
        <w:t>F.</w:t>
      </w:r>
      <w:r w:rsidRPr="00A47266">
        <w:rPr>
          <w:lang w:val="fr-FR"/>
        </w:rPr>
        <w:tab/>
        <w:t>Interprétation de l’ATP</w:t>
      </w:r>
    </w:p>
    <w:p w14:paraId="1539B44C" w14:textId="33902740" w:rsidR="00BC189E" w:rsidRPr="00A47266" w:rsidRDefault="00BC189E" w:rsidP="00BC189E">
      <w:pPr>
        <w:pStyle w:val="SingleTxtG"/>
        <w:ind w:left="2552" w:hanging="1418"/>
        <w:jc w:val="left"/>
        <w:rPr>
          <w:lang w:val="fr-FR"/>
        </w:rPr>
      </w:pPr>
      <w:r w:rsidRPr="00A47266">
        <w:rPr>
          <w:i/>
          <w:iCs/>
          <w:lang w:val="fr-FR"/>
        </w:rPr>
        <w:t>Document</w:t>
      </w:r>
      <w:r w:rsidR="00C840E1">
        <w:rPr>
          <w:i/>
          <w:iCs/>
          <w:lang w:val="fr-FR"/>
        </w:rPr>
        <w:t>(s)</w:t>
      </w:r>
      <w:r w:rsidRPr="00C840E1">
        <w:rPr>
          <w:lang w:val="fr-FR"/>
        </w:rPr>
        <w:t> :</w:t>
      </w:r>
      <w:r w:rsidRPr="00A47266">
        <w:rPr>
          <w:lang w:val="fr-FR"/>
        </w:rPr>
        <w:tab/>
      </w:r>
      <w:hyperlink r:id="rId28" w:history="1">
        <w:r w:rsidRPr="00A47266">
          <w:rPr>
            <w:rStyle w:val="Lienhypertexte"/>
            <w:color w:val="auto"/>
            <w:lang w:val="fr-FR"/>
          </w:rPr>
          <w:t>ECE/TRANS/WP.11/2023/9</w:t>
        </w:r>
      </w:hyperlink>
      <w:r w:rsidRPr="00A47266">
        <w:rPr>
          <w:lang w:val="fr-FR"/>
        </w:rPr>
        <w:t xml:space="preserve"> (Finlande)</w:t>
      </w:r>
    </w:p>
    <w:p w14:paraId="61C6886C" w14:textId="77777777" w:rsidR="00BC189E" w:rsidRPr="00A47266" w:rsidRDefault="00BC189E" w:rsidP="00BC189E">
      <w:pPr>
        <w:pStyle w:val="SingleTxtG"/>
        <w:rPr>
          <w:bCs/>
          <w:szCs w:val="28"/>
          <w:lang w:val="fr-FR"/>
        </w:rPr>
      </w:pPr>
      <w:r w:rsidRPr="00A47266">
        <w:rPr>
          <w:lang w:val="fr-FR"/>
        </w:rPr>
        <w:t>41.</w:t>
      </w:r>
      <w:r w:rsidRPr="00A47266">
        <w:rPr>
          <w:lang w:val="fr-FR"/>
        </w:rPr>
        <w:tab/>
        <w:t>Certaines délégations ont fait valoir que l’ATP ne prévoyait pas d’exceptions à l’application de ses dispositions, tandis que d’autres étaient d’avis que les opérations de transport à des fins non commerciales n’entraient pas dans le champ d’application de l’Accord. Toutefois, un consensus s’est dégagé sur le principe du maintien de la sécurité sanitaire des aliments pendant toute opération de transport.</w:t>
      </w:r>
    </w:p>
    <w:p w14:paraId="186C75A6" w14:textId="77777777" w:rsidR="00BC189E" w:rsidRPr="00A47266" w:rsidRDefault="00BC189E" w:rsidP="00BC189E">
      <w:pPr>
        <w:pStyle w:val="SingleTxtG"/>
        <w:rPr>
          <w:bCs/>
          <w:szCs w:val="28"/>
          <w:lang w:val="fr-FR"/>
        </w:rPr>
      </w:pPr>
      <w:r w:rsidRPr="00A47266">
        <w:rPr>
          <w:lang w:val="fr-FR"/>
        </w:rPr>
        <w:t>42.</w:t>
      </w:r>
      <w:r w:rsidRPr="00A47266">
        <w:rPr>
          <w:lang w:val="fr-FR"/>
        </w:rPr>
        <w:tab/>
        <w:t>Le WP.11 a convenu qu’en principe, les opérations de transport pour la consommation privée et les opérations de transport effectuées par les forces armées ne relevaient pas du champ d’application de l’ATP. Certaines délégations ayant souhaité consulter leurs services juridiques sur ce point, une interprétation officielle serait fournie à la session suivante.</w:t>
      </w:r>
    </w:p>
    <w:p w14:paraId="13EA0FB0" w14:textId="77777777" w:rsidR="00BC189E" w:rsidRPr="00A47266" w:rsidRDefault="00BC189E" w:rsidP="00BC189E">
      <w:pPr>
        <w:pStyle w:val="SingleTxtG"/>
        <w:rPr>
          <w:lang w:val="fr-FR"/>
        </w:rPr>
      </w:pPr>
      <w:r w:rsidRPr="00A47266">
        <w:rPr>
          <w:lang w:val="fr-FR"/>
        </w:rPr>
        <w:t>43.</w:t>
      </w:r>
      <w:r w:rsidRPr="00A47266">
        <w:rPr>
          <w:lang w:val="fr-FR"/>
        </w:rPr>
        <w:tab/>
        <w:t>Il a aussi été précisé au cours de la discussion que l’expression « pour compte propre » signifiait que le propriétaire des marchandises effectuait également l’opération de transport.</w:t>
      </w:r>
    </w:p>
    <w:p w14:paraId="15689720" w14:textId="63C1234B" w:rsidR="00BC189E" w:rsidRPr="00A47266" w:rsidRDefault="00BC189E" w:rsidP="00BC189E">
      <w:pPr>
        <w:pStyle w:val="SingleTxtG"/>
        <w:rPr>
          <w:bCs/>
          <w:szCs w:val="28"/>
          <w:lang w:val="fr-FR"/>
        </w:rPr>
      </w:pPr>
      <w:r w:rsidRPr="00A47266">
        <w:rPr>
          <w:bCs/>
          <w:szCs w:val="28"/>
          <w:lang w:val="fr-FR"/>
        </w:rPr>
        <w:t>44.</w:t>
      </w:r>
      <w:r w:rsidRPr="00A47266">
        <w:rPr>
          <w:bCs/>
          <w:szCs w:val="28"/>
          <w:lang w:val="fr-FR"/>
        </w:rPr>
        <w:tab/>
        <w:t xml:space="preserve">La Finlande a fait savoir qu’elle accueillerait avec intérêt les observations sur la question de savoir si les opérations militaires et les services de secours relevaient ou non du champ d’application de l’ATP. Il a été décidé de publier le document dans l’espace wiki du WP.11 jusqu’au 29 février 2024 afin de recueillir les observations des délégations intéressées (voir </w:t>
      </w:r>
      <w:hyperlink r:id="rId29" w:history="1">
        <w:r w:rsidR="00C840E1" w:rsidRPr="008C1FA1">
          <w:rPr>
            <w:rStyle w:val="Lienhypertexte"/>
            <w:bCs/>
            <w:szCs w:val="28"/>
            <w:lang w:val="fr-FR"/>
          </w:rPr>
          <w:t>https://wiki.unece.org/pages/viewpage.action?pageId=224002693</w:t>
        </w:r>
      </w:hyperlink>
      <w:r w:rsidRPr="00A47266">
        <w:rPr>
          <w:bCs/>
          <w:szCs w:val="28"/>
          <w:lang w:val="fr-FR"/>
        </w:rPr>
        <w:t>).</w:t>
      </w:r>
    </w:p>
    <w:p w14:paraId="687A6556" w14:textId="4D81B967" w:rsidR="00BC189E" w:rsidRPr="00A47266" w:rsidRDefault="00BC189E" w:rsidP="00BC189E">
      <w:pPr>
        <w:pStyle w:val="HChG"/>
        <w:rPr>
          <w:lang w:val="fr-FR"/>
        </w:rPr>
      </w:pPr>
      <w:r w:rsidRPr="00A47266">
        <w:rPr>
          <w:bCs/>
          <w:lang w:val="fr-FR"/>
        </w:rPr>
        <w:lastRenderedPageBreak/>
        <w:tab/>
        <w:t>VI.</w:t>
      </w:r>
      <w:r w:rsidRPr="00A47266">
        <w:rPr>
          <w:lang w:val="fr-FR"/>
        </w:rPr>
        <w:tab/>
      </w:r>
      <w:r w:rsidRPr="00A47266">
        <w:rPr>
          <w:bCs/>
          <w:lang w:val="fr-FR"/>
        </w:rPr>
        <w:t>Propositions d’amendements à l’ATP (point 5 de l’ordre d</w:t>
      </w:r>
      <w:r w:rsidR="00C840E1">
        <w:rPr>
          <w:bCs/>
          <w:lang w:val="fr-FR"/>
        </w:rPr>
        <w:t>u </w:t>
      </w:r>
      <w:r w:rsidRPr="00A47266">
        <w:rPr>
          <w:bCs/>
          <w:lang w:val="fr-FR"/>
        </w:rPr>
        <w:t>jour)</w:t>
      </w:r>
      <w:bookmarkStart w:id="12" w:name="_Toc103001686"/>
      <w:bookmarkEnd w:id="12"/>
    </w:p>
    <w:p w14:paraId="3A8E95B8" w14:textId="77777777" w:rsidR="00BC189E" w:rsidRPr="00A47266" w:rsidRDefault="00BC189E" w:rsidP="00BC189E">
      <w:pPr>
        <w:pStyle w:val="H1G"/>
        <w:rPr>
          <w:lang w:val="fr-FR"/>
        </w:rPr>
      </w:pPr>
      <w:r w:rsidRPr="00A47266">
        <w:rPr>
          <w:lang w:val="fr-FR"/>
        </w:rPr>
        <w:tab/>
        <w:t>A.</w:t>
      </w:r>
      <w:r w:rsidRPr="00A47266">
        <w:rPr>
          <w:lang w:val="fr-FR"/>
        </w:rPr>
        <w:tab/>
        <w:t>Propositions en suspens</w:t>
      </w:r>
      <w:bookmarkStart w:id="13" w:name="_Toc103001687"/>
      <w:bookmarkEnd w:id="13"/>
    </w:p>
    <w:p w14:paraId="0B1288E4" w14:textId="18D915E3" w:rsidR="00BC189E" w:rsidRPr="00A47266" w:rsidRDefault="00BC189E" w:rsidP="00BC189E">
      <w:pPr>
        <w:pStyle w:val="H23G"/>
        <w:rPr>
          <w:lang w:val="fr-FR"/>
        </w:rPr>
      </w:pPr>
      <w:r w:rsidRPr="00A47266">
        <w:rPr>
          <w:lang w:val="fr-FR"/>
        </w:rPr>
        <w:tab/>
        <w:t>1.</w:t>
      </w:r>
      <w:r w:rsidRPr="00A47266">
        <w:rPr>
          <w:lang w:val="fr-FR"/>
        </w:rPr>
        <w:tab/>
      </w:r>
      <w:r w:rsidRPr="00A47266">
        <w:rPr>
          <w:lang w:val="fr-FR"/>
        </w:rPr>
        <w:tab/>
        <w:t>Propositions d’amendements au paragraphe</w:t>
      </w:r>
      <w:r w:rsidR="00ED2664">
        <w:rPr>
          <w:lang w:val="fr-FR"/>
        </w:rPr>
        <w:t xml:space="preserve"> </w:t>
      </w:r>
      <w:r w:rsidRPr="00A47266">
        <w:rPr>
          <w:lang w:val="fr-FR"/>
        </w:rPr>
        <w:t>7.3.7</w:t>
      </w:r>
      <w:r w:rsidR="00ED2664">
        <w:rPr>
          <w:lang w:val="fr-FR"/>
        </w:rPr>
        <w:t xml:space="preserve"> </w:t>
      </w:r>
      <w:r w:rsidRPr="00A47266">
        <w:rPr>
          <w:lang w:val="fr-FR"/>
        </w:rPr>
        <w:t>de</w:t>
      </w:r>
      <w:r w:rsidR="00ED2664">
        <w:rPr>
          <w:lang w:val="fr-FR"/>
        </w:rPr>
        <w:t xml:space="preserve"> </w:t>
      </w:r>
      <w:r w:rsidRPr="00A47266">
        <w:rPr>
          <w:lang w:val="fr-FR"/>
        </w:rPr>
        <w:t>l’appendice</w:t>
      </w:r>
      <w:r w:rsidR="00ED2664">
        <w:rPr>
          <w:lang w:val="fr-FR"/>
        </w:rPr>
        <w:t xml:space="preserve"> </w:t>
      </w:r>
      <w:r w:rsidRPr="00A47266">
        <w:rPr>
          <w:lang w:val="fr-FR"/>
        </w:rPr>
        <w:t>2</w:t>
      </w:r>
      <w:r w:rsidR="00ED2664">
        <w:rPr>
          <w:lang w:val="fr-FR"/>
        </w:rPr>
        <w:t xml:space="preserve"> </w:t>
      </w:r>
      <w:r w:rsidRPr="00A47266">
        <w:rPr>
          <w:lang w:val="fr-FR"/>
        </w:rPr>
        <w:t>de</w:t>
      </w:r>
      <w:r w:rsidR="00ED2664">
        <w:rPr>
          <w:lang w:val="fr-FR"/>
        </w:rPr>
        <w:t xml:space="preserve"> </w:t>
      </w:r>
      <w:r w:rsidRPr="00A47266">
        <w:rPr>
          <w:lang w:val="fr-FR"/>
        </w:rPr>
        <w:t>l’annexe</w:t>
      </w:r>
      <w:r w:rsidR="00ED2664">
        <w:rPr>
          <w:lang w:val="fr-FR"/>
        </w:rPr>
        <w:t xml:space="preserve"> </w:t>
      </w:r>
      <w:r w:rsidRPr="00A47266">
        <w:rPr>
          <w:lang w:val="fr-FR"/>
        </w:rPr>
        <w:t>1</w:t>
      </w:r>
    </w:p>
    <w:p w14:paraId="611A4C85" w14:textId="1F23E919" w:rsidR="00BC189E" w:rsidRPr="00A47266" w:rsidRDefault="00BC189E" w:rsidP="00C840E1">
      <w:pPr>
        <w:pStyle w:val="SingleTxtG"/>
        <w:keepNext/>
        <w:keepLines/>
        <w:ind w:left="2552" w:hanging="1418"/>
        <w:jc w:val="left"/>
        <w:rPr>
          <w:lang w:val="fr-FR"/>
        </w:rPr>
      </w:pPr>
      <w:r w:rsidRPr="00A47266">
        <w:rPr>
          <w:i/>
          <w:iCs/>
          <w:lang w:val="fr-FR"/>
        </w:rPr>
        <w:t>Document</w:t>
      </w:r>
      <w:r w:rsidR="00C840E1">
        <w:rPr>
          <w:i/>
          <w:iCs/>
          <w:lang w:val="fr-FR"/>
        </w:rPr>
        <w:t>(s)</w:t>
      </w:r>
      <w:r w:rsidRPr="00C840E1">
        <w:rPr>
          <w:lang w:val="fr-FR"/>
        </w:rPr>
        <w:t> :</w:t>
      </w:r>
      <w:r w:rsidRPr="00A47266">
        <w:rPr>
          <w:lang w:val="fr-FR"/>
        </w:rPr>
        <w:tab/>
      </w:r>
      <w:hyperlink r:id="rId30" w:history="1">
        <w:r w:rsidRPr="00A47266">
          <w:rPr>
            <w:rStyle w:val="Lienhypertexte"/>
            <w:color w:val="auto"/>
            <w:lang w:val="fr-FR"/>
          </w:rPr>
          <w:t>ECE/TRANS/WP.11/2023/3</w:t>
        </w:r>
      </w:hyperlink>
      <w:r w:rsidRPr="00A47266">
        <w:rPr>
          <w:lang w:val="fr-FR"/>
        </w:rPr>
        <w:t xml:space="preserve"> </w:t>
      </w:r>
      <w:r w:rsidRPr="00A47266">
        <w:rPr>
          <w:lang w:val="fr-FR"/>
        </w:rPr>
        <w:br/>
      </w:r>
      <w:hyperlink r:id="rId31" w:history="1">
        <w:r w:rsidRPr="00A47266">
          <w:rPr>
            <w:rStyle w:val="Lienhypertexte"/>
            <w:color w:val="auto"/>
            <w:lang w:val="fr-FR"/>
          </w:rPr>
          <w:t>ECE/TRANS/WP.11/2023/4</w:t>
        </w:r>
      </w:hyperlink>
      <w:r w:rsidRPr="00A47266">
        <w:rPr>
          <w:lang w:val="fr-FR"/>
        </w:rPr>
        <w:t xml:space="preserve"> </w:t>
      </w:r>
      <w:r w:rsidRPr="00A47266">
        <w:rPr>
          <w:lang w:val="fr-FR"/>
        </w:rPr>
        <w:br/>
      </w:r>
      <w:hyperlink r:id="rId32" w:history="1">
        <w:r w:rsidRPr="00A47266">
          <w:rPr>
            <w:rStyle w:val="Lienhypertexte"/>
            <w:color w:val="auto"/>
            <w:lang w:val="fr-FR"/>
          </w:rPr>
          <w:t>ECE/TRANS/WP.11/2023/5</w:t>
        </w:r>
      </w:hyperlink>
      <w:r w:rsidRPr="00A47266">
        <w:rPr>
          <w:lang w:val="fr-FR"/>
        </w:rPr>
        <w:t xml:space="preserve"> (France) </w:t>
      </w:r>
      <w:r w:rsidRPr="00A47266">
        <w:rPr>
          <w:lang w:val="fr-FR"/>
        </w:rPr>
        <w:br/>
        <w:t>Document informel INF.9 (Pays-Bas)</w:t>
      </w:r>
    </w:p>
    <w:p w14:paraId="48F68546" w14:textId="77777777" w:rsidR="00BC189E" w:rsidRPr="00A47266" w:rsidRDefault="00BC189E" w:rsidP="00BC189E">
      <w:pPr>
        <w:pStyle w:val="SingleTxtG"/>
        <w:rPr>
          <w:lang w:val="fr-FR"/>
        </w:rPr>
      </w:pPr>
      <w:r w:rsidRPr="00A47266">
        <w:rPr>
          <w:lang w:val="fr-FR"/>
        </w:rPr>
        <w:t>45.</w:t>
      </w:r>
      <w:r w:rsidRPr="00A47266">
        <w:rPr>
          <w:lang w:val="fr-FR"/>
        </w:rPr>
        <w:tab/>
        <w:t>Certaines délégations étaient d’avis qu’il pourrait être utile de faire figurer dans l’ATP les définitions proposées moyennant une reformulation tandis que d’autres estimaient que ces définitions étaient trop restrictives et que plusieurs configurations permettaient déjà d’atteindre le même objectif.</w:t>
      </w:r>
    </w:p>
    <w:p w14:paraId="3463AB0B" w14:textId="77777777" w:rsidR="00BC189E" w:rsidRPr="00A47266" w:rsidRDefault="00BC189E" w:rsidP="00BC189E">
      <w:pPr>
        <w:pStyle w:val="SingleTxtG"/>
        <w:rPr>
          <w:lang w:val="fr-FR"/>
        </w:rPr>
      </w:pPr>
      <w:r w:rsidRPr="00A47266">
        <w:rPr>
          <w:lang w:val="fr-FR"/>
        </w:rPr>
        <w:t>46.</w:t>
      </w:r>
      <w:r w:rsidRPr="00A47266">
        <w:rPr>
          <w:lang w:val="fr-FR"/>
        </w:rPr>
        <w:tab/>
        <w:t>Dans le document informel INF.9, il était proposé d’ajouter un paragraphe explicatif au lieu des définitions, ce qui laisserait davantage de possibilités quant aux configurations ou modèles pouvant être utilisés.</w:t>
      </w:r>
    </w:p>
    <w:p w14:paraId="6EA58BF3" w14:textId="77777777" w:rsidR="00BC189E" w:rsidRPr="00A47266" w:rsidRDefault="00BC189E" w:rsidP="00BC189E">
      <w:pPr>
        <w:pStyle w:val="SingleTxtG"/>
        <w:rPr>
          <w:lang w:val="fr-FR"/>
        </w:rPr>
      </w:pPr>
      <w:r w:rsidRPr="00A47266">
        <w:rPr>
          <w:lang w:val="fr-FR"/>
        </w:rPr>
        <w:t>47.</w:t>
      </w:r>
      <w:r w:rsidRPr="00A47266">
        <w:rPr>
          <w:lang w:val="fr-FR"/>
        </w:rPr>
        <w:tab/>
        <w:t>Il a été décidé d’envoyer les documents au groupe de travail informel du système d’agrément afin qu’il les étudie attentivement et en présente une version de synthèse à la session suivante.</w:t>
      </w:r>
    </w:p>
    <w:p w14:paraId="5FF6EA01" w14:textId="77777777" w:rsidR="00BC189E" w:rsidRPr="00A47266" w:rsidRDefault="00BC189E" w:rsidP="00BC189E">
      <w:pPr>
        <w:pStyle w:val="H23G"/>
        <w:rPr>
          <w:lang w:val="fr-FR"/>
        </w:rPr>
      </w:pPr>
      <w:r w:rsidRPr="00A47266">
        <w:rPr>
          <w:lang w:val="fr-FR"/>
        </w:rPr>
        <w:tab/>
        <w:t>2.</w:t>
      </w:r>
      <w:r w:rsidRPr="00A47266">
        <w:rPr>
          <w:lang w:val="fr-FR"/>
        </w:rPr>
        <w:tab/>
        <w:t>Définition de l’autonomie d’un engin</w:t>
      </w:r>
    </w:p>
    <w:p w14:paraId="1E7C049A" w14:textId="37F3A64B" w:rsidR="00BC189E" w:rsidRPr="00A47266" w:rsidRDefault="00BC189E" w:rsidP="00A47266">
      <w:pPr>
        <w:pStyle w:val="SingleTxtG"/>
        <w:ind w:left="2552" w:hanging="1418"/>
        <w:jc w:val="left"/>
        <w:rPr>
          <w:lang w:val="fr-FR"/>
        </w:rPr>
      </w:pPr>
      <w:r w:rsidRPr="00A47266">
        <w:rPr>
          <w:i/>
          <w:iCs/>
          <w:lang w:val="fr-FR"/>
        </w:rPr>
        <w:t>Document</w:t>
      </w:r>
      <w:r w:rsidR="00C840E1">
        <w:rPr>
          <w:i/>
          <w:iCs/>
          <w:lang w:val="fr-FR"/>
        </w:rPr>
        <w:t>(s)</w:t>
      </w:r>
      <w:r w:rsidRPr="00C840E1">
        <w:rPr>
          <w:lang w:val="fr-FR"/>
        </w:rPr>
        <w:t> :</w:t>
      </w:r>
      <w:r w:rsidRPr="00A47266">
        <w:rPr>
          <w:lang w:val="fr-FR"/>
        </w:rPr>
        <w:tab/>
      </w:r>
      <w:hyperlink r:id="rId33" w:history="1">
        <w:r w:rsidRPr="00A47266">
          <w:rPr>
            <w:rStyle w:val="Lienhypertexte"/>
            <w:color w:val="auto"/>
            <w:lang w:val="fr-FR"/>
          </w:rPr>
          <w:t>ECE/TRANS/WP.11/2023/7</w:t>
        </w:r>
      </w:hyperlink>
      <w:r w:rsidRPr="00A47266">
        <w:rPr>
          <w:lang w:val="fr-FR"/>
        </w:rPr>
        <w:t xml:space="preserve"> </w:t>
      </w:r>
      <w:r w:rsidRPr="00A47266">
        <w:rPr>
          <w:lang w:val="fr-FR"/>
        </w:rPr>
        <w:br/>
        <w:t>Document informel INF.17 (France)</w:t>
      </w:r>
    </w:p>
    <w:p w14:paraId="16C9526D" w14:textId="77777777" w:rsidR="00BC189E" w:rsidRPr="00A47266" w:rsidRDefault="00BC189E" w:rsidP="00BC189E">
      <w:pPr>
        <w:pStyle w:val="SingleTxtG"/>
        <w:rPr>
          <w:lang w:val="fr-FR"/>
        </w:rPr>
      </w:pPr>
      <w:r w:rsidRPr="00A47266">
        <w:rPr>
          <w:lang w:val="fr-FR"/>
        </w:rPr>
        <w:t>48.</w:t>
      </w:r>
      <w:r w:rsidRPr="00A47266">
        <w:rPr>
          <w:lang w:val="fr-FR"/>
        </w:rPr>
        <w:tab/>
        <w:t>La proposition n’a pas été adoptée, le Groupe de travail ayant estimé qu’elle devrait être intégrée dans un ensemble complet d’amendements destinés à la prise en compte des véhicules à alimentation électrique dans l’ATP.</w:t>
      </w:r>
    </w:p>
    <w:p w14:paraId="446BE834" w14:textId="77777777" w:rsidR="00BC189E" w:rsidRPr="00A47266" w:rsidRDefault="00BC189E" w:rsidP="00BC189E">
      <w:pPr>
        <w:pStyle w:val="H23G"/>
        <w:rPr>
          <w:lang w:val="fr-FR"/>
        </w:rPr>
      </w:pPr>
      <w:r w:rsidRPr="00A47266">
        <w:rPr>
          <w:lang w:val="fr-FR"/>
        </w:rPr>
        <w:tab/>
        <w:t>3.</w:t>
      </w:r>
      <w:r w:rsidRPr="00A47266">
        <w:rPr>
          <w:lang w:val="fr-FR"/>
        </w:rPr>
        <w:tab/>
        <w:t>Classement d’un engin alimenté par une source d’énergie électrique</w:t>
      </w:r>
    </w:p>
    <w:p w14:paraId="7AB7ED1A" w14:textId="6A6702C6" w:rsidR="00BC189E" w:rsidRPr="00A47266" w:rsidRDefault="00BC189E" w:rsidP="00A47266">
      <w:pPr>
        <w:pStyle w:val="SingleTxtG"/>
        <w:ind w:left="2552" w:hanging="1418"/>
        <w:jc w:val="left"/>
        <w:rPr>
          <w:lang w:val="fr-FR"/>
        </w:rPr>
      </w:pPr>
      <w:r w:rsidRPr="00A47266">
        <w:rPr>
          <w:i/>
          <w:iCs/>
          <w:lang w:val="fr-FR"/>
        </w:rPr>
        <w:t>Document</w:t>
      </w:r>
      <w:r w:rsidR="001778D3">
        <w:rPr>
          <w:i/>
          <w:iCs/>
          <w:lang w:val="fr-FR"/>
        </w:rPr>
        <w:t>(</w:t>
      </w:r>
      <w:r w:rsidRPr="00A47266">
        <w:rPr>
          <w:i/>
          <w:iCs/>
          <w:lang w:val="fr-FR"/>
        </w:rPr>
        <w:t>s</w:t>
      </w:r>
      <w:r w:rsidR="001778D3">
        <w:rPr>
          <w:i/>
          <w:iCs/>
          <w:lang w:val="fr-FR"/>
        </w:rPr>
        <w:t>)</w:t>
      </w:r>
      <w:r w:rsidRPr="001778D3">
        <w:rPr>
          <w:lang w:val="fr-FR"/>
        </w:rPr>
        <w:t> :</w:t>
      </w:r>
      <w:r w:rsidRPr="00A47266">
        <w:rPr>
          <w:lang w:val="fr-FR"/>
        </w:rPr>
        <w:tab/>
      </w:r>
      <w:hyperlink r:id="rId34" w:history="1">
        <w:r w:rsidRPr="00A47266">
          <w:rPr>
            <w:rStyle w:val="Lienhypertexte"/>
            <w:color w:val="auto"/>
            <w:lang w:val="fr-FR"/>
          </w:rPr>
          <w:t>ECE/TRANS/WP.11/2023/8</w:t>
        </w:r>
      </w:hyperlink>
      <w:r w:rsidRPr="00A47266">
        <w:rPr>
          <w:lang w:val="fr-FR"/>
        </w:rPr>
        <w:br/>
        <w:t>Document informel INF.18 (France)</w:t>
      </w:r>
    </w:p>
    <w:p w14:paraId="7D0FF2F5" w14:textId="77777777" w:rsidR="00BC189E" w:rsidRPr="00A47266" w:rsidRDefault="00BC189E" w:rsidP="00BC189E">
      <w:pPr>
        <w:pStyle w:val="SingleTxtG"/>
        <w:rPr>
          <w:lang w:val="fr-FR"/>
        </w:rPr>
      </w:pPr>
      <w:r w:rsidRPr="00A47266">
        <w:rPr>
          <w:lang w:val="fr-FR"/>
        </w:rPr>
        <w:t>49.</w:t>
      </w:r>
      <w:r w:rsidRPr="00A47266">
        <w:rPr>
          <w:lang w:val="fr-FR"/>
        </w:rPr>
        <w:tab/>
        <w:t>Le représentant de la France a précisé que la proposition ne visait pas à modifier l’ATP mais était destinée à figurer comme mention dans le rapport. Certaines préoccupations ont été soulevées quant à la procédure étant donné que les mentions ou notes figurant dans les rapports n’avaient aucune valeur sur le plan juridique et ne servaient qu’à indiquer l’avis du WP.11, à moins d’être directement attribuables à une ou plusieurs délégations.</w:t>
      </w:r>
    </w:p>
    <w:p w14:paraId="67E88C39" w14:textId="77777777" w:rsidR="00BC189E" w:rsidRPr="00A47266" w:rsidRDefault="00BC189E" w:rsidP="00BC189E">
      <w:pPr>
        <w:pStyle w:val="SingleTxtG"/>
        <w:rPr>
          <w:lang w:val="fr-FR"/>
        </w:rPr>
      </w:pPr>
      <w:r w:rsidRPr="00A47266">
        <w:rPr>
          <w:lang w:val="fr-FR"/>
        </w:rPr>
        <w:t>50.</w:t>
      </w:r>
      <w:r w:rsidRPr="00A47266">
        <w:rPr>
          <w:lang w:val="fr-FR"/>
        </w:rPr>
        <w:tab/>
        <w:t>La proposition a été retirée.</w:t>
      </w:r>
    </w:p>
    <w:p w14:paraId="5F586436" w14:textId="77777777" w:rsidR="00BC189E" w:rsidRPr="00A47266" w:rsidRDefault="00BC189E" w:rsidP="00BC189E">
      <w:pPr>
        <w:pStyle w:val="H23G"/>
        <w:rPr>
          <w:lang w:val="fr-FR"/>
        </w:rPr>
      </w:pPr>
      <w:r w:rsidRPr="00A47266">
        <w:rPr>
          <w:lang w:val="fr-FR"/>
        </w:rPr>
        <w:tab/>
        <w:t>4.</w:t>
      </w:r>
      <w:r w:rsidRPr="00A47266">
        <w:rPr>
          <w:lang w:val="fr-FR"/>
        </w:rPr>
        <w:tab/>
        <w:t>Résultats de la réunion de la sous-commission du transport frigorifique de l’IIF (questions en suspens)</w:t>
      </w:r>
    </w:p>
    <w:p w14:paraId="5D094EF8" w14:textId="6107ADD2" w:rsidR="00BC189E" w:rsidRPr="00A47266" w:rsidRDefault="00BC189E" w:rsidP="00A47266">
      <w:pPr>
        <w:pStyle w:val="SingleTxtG"/>
        <w:ind w:left="2552" w:hanging="1418"/>
        <w:jc w:val="left"/>
        <w:rPr>
          <w:lang w:val="fr-FR"/>
        </w:rPr>
      </w:pPr>
      <w:r w:rsidRPr="00A47266">
        <w:rPr>
          <w:i/>
          <w:iCs/>
          <w:lang w:val="fr-FR"/>
        </w:rPr>
        <w:t>Document</w:t>
      </w:r>
      <w:r w:rsidR="001778D3">
        <w:rPr>
          <w:i/>
          <w:iCs/>
          <w:lang w:val="fr-FR"/>
        </w:rPr>
        <w:t>(s)</w:t>
      </w:r>
      <w:r w:rsidRPr="001778D3">
        <w:rPr>
          <w:lang w:val="fr-FR"/>
        </w:rPr>
        <w:t> :</w:t>
      </w:r>
      <w:r w:rsidRPr="00A47266">
        <w:rPr>
          <w:lang w:val="fr-FR"/>
        </w:rPr>
        <w:tab/>
      </w:r>
      <w:r w:rsidRPr="00A47266">
        <w:rPr>
          <w:rStyle w:val="Lienhypertexte"/>
          <w:color w:val="auto"/>
          <w:lang w:val="fr-FR"/>
        </w:rPr>
        <w:t>Document</w:t>
      </w:r>
      <w:r w:rsidRPr="00A47266">
        <w:rPr>
          <w:lang w:val="fr-FR"/>
        </w:rPr>
        <w:t xml:space="preserve"> informel INF.2 (Institut international du froid)</w:t>
      </w:r>
    </w:p>
    <w:p w14:paraId="49277AC0" w14:textId="2F6EF763" w:rsidR="00BC189E" w:rsidRPr="00A47266" w:rsidRDefault="00BC189E" w:rsidP="00BC189E">
      <w:pPr>
        <w:pStyle w:val="SingleTxtG"/>
        <w:rPr>
          <w:lang w:val="fr-FR"/>
        </w:rPr>
      </w:pPr>
      <w:r w:rsidRPr="00A47266">
        <w:rPr>
          <w:lang w:val="fr-FR"/>
        </w:rPr>
        <w:t>51.</w:t>
      </w:r>
      <w:r w:rsidRPr="00A47266">
        <w:rPr>
          <w:lang w:val="fr-FR"/>
        </w:rPr>
        <w:tab/>
        <w:t>Le WP.11 a demandé des éclaircissements au sujet des questions suivantes :</w:t>
      </w:r>
    </w:p>
    <w:p w14:paraId="0A9CFEDB" w14:textId="7EA43457" w:rsidR="00BC189E" w:rsidRPr="00A47266" w:rsidRDefault="00BC189E" w:rsidP="001778D3">
      <w:pPr>
        <w:pStyle w:val="SingleTxtG"/>
        <w:ind w:firstLine="567"/>
        <w:rPr>
          <w:i/>
          <w:iCs/>
          <w:lang w:val="fr-FR"/>
        </w:rPr>
      </w:pPr>
      <w:r w:rsidRPr="001778D3">
        <w:rPr>
          <w:lang w:val="fr-FR"/>
        </w:rPr>
        <w:t>a)</w:t>
      </w:r>
      <w:r w:rsidRPr="001778D3">
        <w:rPr>
          <w:lang w:val="fr-FR"/>
        </w:rPr>
        <w:tab/>
      </w:r>
      <w:r w:rsidRPr="00A47266">
        <w:rPr>
          <w:i/>
          <w:iCs/>
          <w:lang w:val="fr-FR"/>
        </w:rPr>
        <w:t>L’alinéa b) de la section 4.3.1 dispose que le premier essai doit être effectué pendant au moins 4 heures à chaque niveau de température en régime thermostaté : quelle doit être alors la tolérance applicable à la température du thermostat ?</w:t>
      </w:r>
    </w:p>
    <w:p w14:paraId="43E9C8A3" w14:textId="77777777" w:rsidR="00BC189E" w:rsidRPr="00A47266" w:rsidRDefault="00BC189E" w:rsidP="00BC189E">
      <w:pPr>
        <w:tabs>
          <w:tab w:val="left" w:pos="1701"/>
          <w:tab w:val="left" w:pos="2268"/>
        </w:tabs>
        <w:spacing w:after="120"/>
        <w:ind w:left="1134" w:right="1134"/>
        <w:jc w:val="both"/>
        <w:rPr>
          <w:lang w:val="fr-FR"/>
        </w:rPr>
      </w:pPr>
      <w:r w:rsidRPr="00A47266">
        <w:rPr>
          <w:lang w:val="fr-FR"/>
        </w:rPr>
        <w:t>52.</w:t>
      </w:r>
      <w:r w:rsidRPr="00A47266">
        <w:rPr>
          <w:lang w:val="fr-FR"/>
        </w:rPr>
        <w:tab/>
        <w:t>Les participants ont convenu qu’il s’agissait d’une question technique et que le Groupe de travail s’appuyait normalement sur l’expertise de la sous-commission pour ce type de questions. Il a été décidé que la sous-commission commencerait à étudier cette question à sa réunion suivante.</w:t>
      </w:r>
    </w:p>
    <w:p w14:paraId="7AC2EE14" w14:textId="30600B56" w:rsidR="00BC189E" w:rsidRPr="00A47266" w:rsidRDefault="00BC189E" w:rsidP="00BC189E">
      <w:pPr>
        <w:pStyle w:val="SingleTxtG"/>
        <w:ind w:firstLine="567"/>
        <w:rPr>
          <w:i/>
          <w:iCs/>
          <w:lang w:val="fr-FR"/>
        </w:rPr>
      </w:pPr>
      <w:r w:rsidRPr="00A47266">
        <w:rPr>
          <w:lang w:val="fr-FR"/>
        </w:rPr>
        <w:t>b)</w:t>
      </w:r>
      <w:r w:rsidRPr="00A47266">
        <w:rPr>
          <w:lang w:val="fr-FR"/>
        </w:rPr>
        <w:tab/>
      </w:r>
      <w:r w:rsidRPr="00A47266">
        <w:rPr>
          <w:i/>
          <w:iCs/>
          <w:lang w:val="fr-FR"/>
        </w:rPr>
        <w:t>Même s’il est précisé que la procédure d’essai visée par la section</w:t>
      </w:r>
      <w:r w:rsidR="001778D3">
        <w:rPr>
          <w:i/>
          <w:iCs/>
          <w:lang w:val="fr-FR"/>
        </w:rPr>
        <w:t xml:space="preserve"> </w:t>
      </w:r>
      <w:r w:rsidRPr="00A47266">
        <w:rPr>
          <w:i/>
          <w:iCs/>
          <w:lang w:val="fr-FR"/>
        </w:rPr>
        <w:t xml:space="preserve">7.2.1 doit être conforme à celle qui est présentée à la section 4, les essais relatifs à la puissance </w:t>
      </w:r>
      <w:r w:rsidRPr="00A47266">
        <w:rPr>
          <w:i/>
          <w:iCs/>
          <w:lang w:val="fr-FR"/>
        </w:rPr>
        <w:lastRenderedPageBreak/>
        <w:t>frigorifique décrits à la section</w:t>
      </w:r>
      <w:r w:rsidR="001778D3">
        <w:rPr>
          <w:i/>
          <w:iCs/>
          <w:lang w:val="fr-FR"/>
        </w:rPr>
        <w:t xml:space="preserve"> </w:t>
      </w:r>
      <w:r w:rsidRPr="00A47266">
        <w:rPr>
          <w:i/>
          <w:iCs/>
          <w:lang w:val="fr-FR"/>
        </w:rPr>
        <w:t>7.2.1 sont uniquement réalisés à -20 °C et à 0 °C (puissance frigorifique nominale et puissance frigorifique individuelle), alors qu’à la section</w:t>
      </w:r>
      <w:r w:rsidR="001778D3">
        <w:rPr>
          <w:i/>
          <w:iCs/>
          <w:lang w:val="fr-FR"/>
        </w:rPr>
        <w:t xml:space="preserve"> </w:t>
      </w:r>
      <w:r w:rsidRPr="00A47266">
        <w:rPr>
          <w:i/>
          <w:iCs/>
          <w:lang w:val="fr-FR"/>
        </w:rPr>
        <w:t>4.2.3, trois niveaux de température sont prescrits.</w:t>
      </w:r>
    </w:p>
    <w:p w14:paraId="23345F71" w14:textId="5DFC636E" w:rsidR="00BC189E" w:rsidRPr="00A47266" w:rsidRDefault="00BC189E" w:rsidP="00BC189E">
      <w:pPr>
        <w:pStyle w:val="SingleTxtG"/>
        <w:rPr>
          <w:lang w:val="fr-FR"/>
        </w:rPr>
      </w:pPr>
      <w:r w:rsidRPr="00A47266">
        <w:rPr>
          <w:lang w:val="fr-FR"/>
        </w:rPr>
        <w:t>53.</w:t>
      </w:r>
      <w:r w:rsidRPr="00A47266">
        <w:rPr>
          <w:lang w:val="fr-FR"/>
        </w:rPr>
        <w:tab/>
        <w:t>Le Groupe de travail avait besoin de plus de temps pour se pencher sur la question et sur les motifs ayant sous-tendu la décision de ne réaliser les essais relatifs à la puissance frigorifique prescrits à la section</w:t>
      </w:r>
      <w:r w:rsidR="001778D3">
        <w:rPr>
          <w:lang w:val="fr-FR"/>
        </w:rPr>
        <w:t xml:space="preserve"> </w:t>
      </w:r>
      <w:r w:rsidRPr="00A47266">
        <w:rPr>
          <w:lang w:val="fr-FR"/>
        </w:rPr>
        <w:t>7.2.1 qu’à -20 °C et 0 °C.</w:t>
      </w:r>
    </w:p>
    <w:p w14:paraId="2B3E345D" w14:textId="77777777" w:rsidR="00BC189E" w:rsidRPr="00A47266" w:rsidRDefault="00BC189E" w:rsidP="00BC189E">
      <w:pPr>
        <w:pStyle w:val="H1G"/>
        <w:rPr>
          <w:lang w:val="fr-FR"/>
        </w:rPr>
      </w:pPr>
      <w:r w:rsidRPr="00A47266">
        <w:rPr>
          <w:lang w:val="fr-FR"/>
        </w:rPr>
        <w:tab/>
        <w:t>B.</w:t>
      </w:r>
      <w:r w:rsidRPr="00A47266">
        <w:rPr>
          <w:lang w:val="fr-FR"/>
        </w:rPr>
        <w:tab/>
        <w:t>Nouvelles propositions</w:t>
      </w:r>
    </w:p>
    <w:p w14:paraId="0C6BA41D" w14:textId="77777777" w:rsidR="00BC189E" w:rsidRPr="00A47266" w:rsidRDefault="00BC189E" w:rsidP="00BC189E">
      <w:pPr>
        <w:pStyle w:val="H23G"/>
        <w:rPr>
          <w:lang w:val="fr-FR"/>
        </w:rPr>
      </w:pPr>
      <w:r w:rsidRPr="00A47266">
        <w:rPr>
          <w:lang w:val="fr-FR"/>
        </w:rPr>
        <w:tab/>
        <w:t>1.</w:t>
      </w:r>
      <w:r w:rsidRPr="00A47266">
        <w:rPr>
          <w:lang w:val="fr-FR"/>
        </w:rPr>
        <w:tab/>
        <w:t>Proposition d’amendement au paragraphe 6.2.2</w:t>
      </w:r>
    </w:p>
    <w:p w14:paraId="18839539" w14:textId="732EE15C" w:rsidR="00BC189E" w:rsidRPr="00A47266" w:rsidRDefault="00BC189E" w:rsidP="00A47266">
      <w:pPr>
        <w:pStyle w:val="SingleTxtG"/>
        <w:ind w:left="2552" w:hanging="1418"/>
        <w:jc w:val="left"/>
        <w:rPr>
          <w:lang w:val="fr-FR"/>
        </w:rPr>
      </w:pPr>
      <w:r w:rsidRPr="00A47266">
        <w:rPr>
          <w:i/>
          <w:iCs/>
          <w:lang w:val="fr-FR"/>
        </w:rPr>
        <w:t>Document</w:t>
      </w:r>
      <w:r w:rsidR="001778D3">
        <w:rPr>
          <w:i/>
          <w:iCs/>
          <w:lang w:val="fr-FR"/>
        </w:rPr>
        <w:t>(</w:t>
      </w:r>
      <w:r w:rsidRPr="00A47266">
        <w:rPr>
          <w:i/>
          <w:iCs/>
          <w:lang w:val="fr-FR"/>
        </w:rPr>
        <w:t>s</w:t>
      </w:r>
      <w:r w:rsidR="001778D3">
        <w:rPr>
          <w:i/>
          <w:iCs/>
          <w:lang w:val="fr-FR"/>
        </w:rPr>
        <w:t>)</w:t>
      </w:r>
      <w:r w:rsidRPr="00A47266">
        <w:rPr>
          <w:i/>
          <w:iCs/>
          <w:lang w:val="fr-FR"/>
        </w:rPr>
        <w:t> </w:t>
      </w:r>
      <w:r w:rsidRPr="001778D3">
        <w:rPr>
          <w:lang w:val="fr-FR"/>
        </w:rPr>
        <w:t>:</w:t>
      </w:r>
      <w:r w:rsidRPr="00A47266">
        <w:rPr>
          <w:lang w:val="fr-FR"/>
        </w:rPr>
        <w:tab/>
      </w:r>
      <w:hyperlink r:id="rId35" w:history="1">
        <w:r w:rsidRPr="00A47266">
          <w:rPr>
            <w:rStyle w:val="Lienhypertexte"/>
            <w:color w:val="auto"/>
            <w:lang w:val="fr-FR"/>
          </w:rPr>
          <w:t>ECE/TRANS/WP.11/2023/11</w:t>
        </w:r>
      </w:hyperlink>
      <w:r w:rsidRPr="00A47266">
        <w:rPr>
          <w:lang w:val="fr-FR"/>
        </w:rPr>
        <w:br/>
        <w:t>Document informel INF.16 (Italie)</w:t>
      </w:r>
    </w:p>
    <w:p w14:paraId="0B007763" w14:textId="010DBC3C" w:rsidR="00BC189E" w:rsidRPr="00A47266" w:rsidRDefault="00BC189E" w:rsidP="00BC189E">
      <w:pPr>
        <w:pStyle w:val="SingleTxtG"/>
        <w:rPr>
          <w:lang w:val="fr-FR"/>
        </w:rPr>
      </w:pPr>
      <w:r w:rsidRPr="00A47266">
        <w:rPr>
          <w:lang w:val="fr-FR"/>
        </w:rPr>
        <w:t>54.</w:t>
      </w:r>
      <w:r w:rsidRPr="00A47266">
        <w:rPr>
          <w:lang w:val="fr-FR"/>
        </w:rPr>
        <w:tab/>
        <w:t xml:space="preserve">Certains représentants s’étant inquiétés que la durée figurant dans la proposition initiale (document </w:t>
      </w:r>
      <w:hyperlink r:id="rId36" w:history="1">
        <w:r w:rsidRPr="00A47266">
          <w:rPr>
            <w:rStyle w:val="Lienhypertexte"/>
            <w:color w:val="auto"/>
            <w:lang w:val="fr-FR"/>
          </w:rPr>
          <w:t>ECE/TRANS/WP.11/2023/11</w:t>
        </w:r>
      </w:hyperlink>
      <w:r w:rsidRPr="00A47266">
        <w:rPr>
          <w:lang w:val="fr-FR"/>
        </w:rPr>
        <w:t>) ne suffise pas à démontrer que la température requise pouvait être maintenue, le Groupe de travail a décidé d’adopter la proposition de remplacement</w:t>
      </w:r>
      <w:r w:rsidR="00ED2664">
        <w:rPr>
          <w:lang w:val="fr-FR"/>
        </w:rPr>
        <w:t xml:space="preserve"> </w:t>
      </w:r>
      <w:r w:rsidRPr="00A47266">
        <w:rPr>
          <w:lang w:val="fr-FR"/>
        </w:rPr>
        <w:t>III énoncée dans le document informel INF.16 (voir l’annexe</w:t>
      </w:r>
      <w:r w:rsidR="00ED2664">
        <w:rPr>
          <w:lang w:val="fr-FR"/>
        </w:rPr>
        <w:t> </w:t>
      </w:r>
      <w:r w:rsidRPr="00A47266">
        <w:rPr>
          <w:lang w:val="fr-FR"/>
        </w:rPr>
        <w:t>II).</w:t>
      </w:r>
    </w:p>
    <w:p w14:paraId="2BF0D5FA" w14:textId="77777777" w:rsidR="00BC189E" w:rsidRPr="00A47266" w:rsidRDefault="00BC189E" w:rsidP="00BC189E">
      <w:pPr>
        <w:pStyle w:val="SingleTxtG"/>
        <w:rPr>
          <w:lang w:val="fr-FR"/>
        </w:rPr>
      </w:pPr>
      <w:r w:rsidRPr="00A47266">
        <w:rPr>
          <w:lang w:val="fr-FR"/>
        </w:rPr>
        <w:t>55.</w:t>
      </w:r>
      <w:r w:rsidRPr="00A47266">
        <w:rPr>
          <w:lang w:val="fr-FR"/>
        </w:rPr>
        <w:tab/>
        <w:t>Il a été confirmé que l’engin pouvait être refroidi avant le début de l’essai, ce qui réduirait considérablement le temps nécessaire à la réalisation de celui-ci et la dépendance à la température ambiante.</w:t>
      </w:r>
    </w:p>
    <w:p w14:paraId="514D9676" w14:textId="77777777" w:rsidR="00BC189E" w:rsidRPr="00A47266" w:rsidRDefault="00BC189E" w:rsidP="00BC189E">
      <w:pPr>
        <w:pStyle w:val="H23G"/>
        <w:rPr>
          <w:lang w:val="fr-FR"/>
        </w:rPr>
      </w:pPr>
      <w:r w:rsidRPr="00A47266">
        <w:rPr>
          <w:lang w:val="fr-FR"/>
        </w:rPr>
        <w:tab/>
        <w:t>2.</w:t>
      </w:r>
      <w:r w:rsidRPr="00A47266">
        <w:rPr>
          <w:lang w:val="fr-FR"/>
        </w:rPr>
        <w:tab/>
        <w:t>Proposition de liste des principaux composants et de leurs caractéristiques essentielles</w:t>
      </w:r>
    </w:p>
    <w:p w14:paraId="28920103" w14:textId="15C373C6" w:rsidR="00BC189E" w:rsidRPr="00A47266" w:rsidRDefault="00BC189E" w:rsidP="00A47266">
      <w:pPr>
        <w:pStyle w:val="SingleTxtG"/>
        <w:ind w:left="2552" w:hanging="1418"/>
        <w:jc w:val="left"/>
        <w:rPr>
          <w:lang w:val="fr-FR"/>
        </w:rPr>
      </w:pPr>
      <w:r w:rsidRPr="00A47266">
        <w:rPr>
          <w:i/>
          <w:iCs/>
          <w:lang w:val="fr-FR"/>
        </w:rPr>
        <w:t>Document</w:t>
      </w:r>
      <w:r w:rsidR="001778D3">
        <w:rPr>
          <w:i/>
          <w:iCs/>
          <w:lang w:val="fr-FR"/>
        </w:rPr>
        <w:t>(s)</w:t>
      </w:r>
      <w:r w:rsidRPr="00A47266">
        <w:rPr>
          <w:i/>
          <w:iCs/>
          <w:lang w:val="fr-FR"/>
        </w:rPr>
        <w:t> </w:t>
      </w:r>
      <w:r w:rsidRPr="001778D3">
        <w:rPr>
          <w:lang w:val="fr-FR"/>
        </w:rPr>
        <w:t>:</w:t>
      </w:r>
      <w:r w:rsidRPr="00A47266">
        <w:rPr>
          <w:lang w:val="fr-FR"/>
        </w:rPr>
        <w:tab/>
      </w:r>
      <w:hyperlink r:id="rId37" w:history="1">
        <w:r w:rsidRPr="00A47266">
          <w:rPr>
            <w:rStyle w:val="Lienhypertexte"/>
            <w:color w:val="auto"/>
            <w:lang w:val="fr-FR"/>
          </w:rPr>
          <w:t>ECE/TRANS/WP.11/2023/12</w:t>
        </w:r>
      </w:hyperlink>
      <w:r w:rsidRPr="00A47266">
        <w:rPr>
          <w:lang w:val="fr-FR"/>
        </w:rPr>
        <w:t xml:space="preserve"> (Transfrigoroute International)</w:t>
      </w:r>
    </w:p>
    <w:p w14:paraId="043DA942" w14:textId="77777777" w:rsidR="00BC189E" w:rsidRPr="00A47266" w:rsidRDefault="00BC189E" w:rsidP="00BC189E">
      <w:pPr>
        <w:pStyle w:val="SingleTxtG"/>
        <w:rPr>
          <w:lang w:val="fr-FR"/>
        </w:rPr>
      </w:pPr>
      <w:r w:rsidRPr="00A47266">
        <w:rPr>
          <w:lang w:val="fr-FR"/>
        </w:rPr>
        <w:t>56.</w:t>
      </w:r>
      <w:r w:rsidRPr="00A47266">
        <w:rPr>
          <w:lang w:val="fr-FR"/>
        </w:rPr>
        <w:tab/>
        <w:t>La proposition a été adoptée (voir l’annexe II).</w:t>
      </w:r>
    </w:p>
    <w:p w14:paraId="4C93024C" w14:textId="77777777" w:rsidR="00BC189E" w:rsidRPr="00A47266" w:rsidRDefault="00BC189E" w:rsidP="00BC189E">
      <w:pPr>
        <w:pStyle w:val="H23G"/>
        <w:rPr>
          <w:lang w:val="fr-FR"/>
        </w:rPr>
      </w:pPr>
      <w:r w:rsidRPr="00A47266">
        <w:rPr>
          <w:lang w:val="fr-FR"/>
        </w:rPr>
        <w:tab/>
        <w:t>3.</w:t>
      </w:r>
      <w:r w:rsidRPr="00A47266">
        <w:rPr>
          <w:lang w:val="fr-FR"/>
        </w:rPr>
        <w:tab/>
        <w:t>Prescriptions relatives à l’installation de groupes frigorifiques sur les engins</w:t>
      </w:r>
    </w:p>
    <w:p w14:paraId="3ECBF5BA" w14:textId="4FA944AF" w:rsidR="00BC189E" w:rsidRPr="00A47266" w:rsidRDefault="00BC189E" w:rsidP="00A47266">
      <w:pPr>
        <w:pStyle w:val="SingleTxtG"/>
        <w:ind w:left="2552" w:hanging="1418"/>
        <w:jc w:val="left"/>
        <w:rPr>
          <w:lang w:val="fr-FR"/>
        </w:rPr>
      </w:pPr>
      <w:r w:rsidRPr="00A47266">
        <w:rPr>
          <w:i/>
          <w:iCs/>
          <w:lang w:val="fr-FR"/>
        </w:rPr>
        <w:t>Document</w:t>
      </w:r>
      <w:r w:rsidR="001778D3">
        <w:rPr>
          <w:i/>
          <w:iCs/>
          <w:lang w:val="fr-FR"/>
        </w:rPr>
        <w:t>(s)</w:t>
      </w:r>
      <w:r w:rsidRPr="00A47266">
        <w:rPr>
          <w:i/>
          <w:iCs/>
          <w:lang w:val="fr-FR"/>
        </w:rPr>
        <w:t> </w:t>
      </w:r>
      <w:r w:rsidRPr="001778D3">
        <w:rPr>
          <w:lang w:val="fr-FR"/>
        </w:rPr>
        <w:t>:</w:t>
      </w:r>
      <w:r w:rsidRPr="00A47266">
        <w:rPr>
          <w:lang w:val="fr-FR"/>
        </w:rPr>
        <w:tab/>
      </w:r>
      <w:hyperlink r:id="rId38" w:history="1">
        <w:r w:rsidRPr="00A47266">
          <w:rPr>
            <w:rStyle w:val="Lienhypertexte"/>
            <w:color w:val="auto"/>
            <w:lang w:val="fr-FR"/>
          </w:rPr>
          <w:t>ECE/TRANS/WP.11/2023/15</w:t>
        </w:r>
      </w:hyperlink>
      <w:r w:rsidRPr="00A47266">
        <w:rPr>
          <w:lang w:val="fr-FR"/>
        </w:rPr>
        <w:t xml:space="preserve"> (Pays-Bas)</w:t>
      </w:r>
    </w:p>
    <w:p w14:paraId="319EAB6D" w14:textId="77777777" w:rsidR="00BC189E" w:rsidRPr="00A47266" w:rsidRDefault="00BC189E" w:rsidP="00BC189E">
      <w:pPr>
        <w:pStyle w:val="SingleTxtG"/>
        <w:rPr>
          <w:lang w:val="fr-FR"/>
        </w:rPr>
      </w:pPr>
      <w:r w:rsidRPr="00A47266">
        <w:rPr>
          <w:lang w:val="fr-FR"/>
        </w:rPr>
        <w:t>57.</w:t>
      </w:r>
      <w:r w:rsidRPr="00A47266">
        <w:rPr>
          <w:lang w:val="fr-FR"/>
        </w:rPr>
        <w:tab/>
        <w:t>Le Groupe de travail était d’accord sur le principe selon lequel le transporteur était responsable des opérations de transport, en conséquence de quoi l’installation de dispositifs sur l’engin ne relevait pas du champ d’application de l’ATP. Les propositions visant à modifier l’ATP ont été retirées.</w:t>
      </w:r>
    </w:p>
    <w:p w14:paraId="2F2339AF" w14:textId="4A266F17" w:rsidR="00BC189E" w:rsidRPr="00B7746B" w:rsidRDefault="00BC189E" w:rsidP="00BC189E">
      <w:pPr>
        <w:pStyle w:val="SingleTxtG"/>
        <w:rPr>
          <w:spacing w:val="-1"/>
          <w:lang w:val="fr-FR"/>
        </w:rPr>
      </w:pPr>
      <w:r w:rsidRPr="00B7746B">
        <w:rPr>
          <w:spacing w:val="-1"/>
          <w:lang w:val="fr-FR"/>
        </w:rPr>
        <w:t>58.</w:t>
      </w:r>
      <w:r w:rsidRPr="00B7746B">
        <w:rPr>
          <w:spacing w:val="-1"/>
          <w:lang w:val="fr-FR"/>
        </w:rPr>
        <w:tab/>
        <w:t xml:space="preserve">Il a été décidé de retenir l’intitulé proposé pour le document d’orientation </w:t>
      </w:r>
      <w:hyperlink r:id="rId39" w:history="1">
        <w:r w:rsidRPr="00B7746B">
          <w:rPr>
            <w:rStyle w:val="Lienhypertexte"/>
            <w:color w:val="auto"/>
            <w:spacing w:val="-1"/>
            <w:lang w:val="fr-FR"/>
          </w:rPr>
          <w:t>ECE/TRANS/WP.11/2023/2</w:t>
        </w:r>
      </w:hyperlink>
      <w:r w:rsidRPr="00B7746B">
        <w:rPr>
          <w:spacing w:val="-1"/>
          <w:lang w:val="fr-FR"/>
        </w:rPr>
        <w:t xml:space="preserve">, qui serait publié sur le site Web de la CEE (voir </w:t>
      </w:r>
      <w:hyperlink r:id="rId40" w:history="1">
        <w:r w:rsidR="00B7746B" w:rsidRPr="00B7746B">
          <w:rPr>
            <w:rStyle w:val="Lienhypertexte"/>
            <w:spacing w:val="-1"/>
            <w:lang w:val="fr-FR"/>
          </w:rPr>
          <w:t>https://unece.org/transport/transport-perishable-foodstuffs/guidance-and-reference-material</w:t>
        </w:r>
      </w:hyperlink>
      <w:r w:rsidRPr="00B7746B">
        <w:rPr>
          <w:spacing w:val="-1"/>
          <w:lang w:val="fr-FR"/>
        </w:rPr>
        <w:t>).</w:t>
      </w:r>
    </w:p>
    <w:p w14:paraId="7568B42E" w14:textId="77777777" w:rsidR="00BC189E" w:rsidRPr="00A47266" w:rsidRDefault="00BC189E" w:rsidP="00BC189E">
      <w:pPr>
        <w:pStyle w:val="H23G"/>
        <w:rPr>
          <w:lang w:val="fr-FR"/>
        </w:rPr>
      </w:pPr>
      <w:r w:rsidRPr="00A47266">
        <w:rPr>
          <w:lang w:val="fr-FR"/>
        </w:rPr>
        <w:tab/>
        <w:t>4.</w:t>
      </w:r>
      <w:r w:rsidRPr="00A47266">
        <w:rPr>
          <w:lang w:val="fr-FR"/>
        </w:rPr>
        <w:tab/>
        <w:t>Vérification périodique des enregistreurs de température</w:t>
      </w:r>
    </w:p>
    <w:p w14:paraId="4CD53F19" w14:textId="29137020" w:rsidR="00BC189E" w:rsidRPr="00A47266" w:rsidRDefault="00BC189E" w:rsidP="00A47266">
      <w:pPr>
        <w:pStyle w:val="SingleTxtG"/>
        <w:ind w:left="2552" w:hanging="1418"/>
        <w:jc w:val="left"/>
        <w:rPr>
          <w:lang w:val="fr-FR"/>
        </w:rPr>
      </w:pPr>
      <w:r w:rsidRPr="00A47266">
        <w:rPr>
          <w:i/>
          <w:iCs/>
          <w:lang w:val="fr-FR"/>
        </w:rPr>
        <w:t>Document</w:t>
      </w:r>
      <w:r w:rsidR="00C97CC1">
        <w:rPr>
          <w:i/>
          <w:iCs/>
          <w:lang w:val="fr-FR"/>
        </w:rPr>
        <w:t>(</w:t>
      </w:r>
      <w:r w:rsidRPr="00A47266">
        <w:rPr>
          <w:i/>
          <w:iCs/>
          <w:lang w:val="fr-FR"/>
        </w:rPr>
        <w:t>s</w:t>
      </w:r>
      <w:r w:rsidR="00C97CC1">
        <w:rPr>
          <w:i/>
          <w:iCs/>
          <w:lang w:val="fr-FR"/>
        </w:rPr>
        <w:t>)</w:t>
      </w:r>
      <w:r w:rsidRPr="00C97CC1">
        <w:rPr>
          <w:lang w:val="fr-FR"/>
        </w:rPr>
        <w:t> :</w:t>
      </w:r>
      <w:r w:rsidRPr="00A47266">
        <w:rPr>
          <w:lang w:val="fr-FR"/>
        </w:rPr>
        <w:tab/>
      </w:r>
      <w:hyperlink r:id="rId41" w:history="1">
        <w:r w:rsidRPr="00A47266">
          <w:rPr>
            <w:rStyle w:val="Lienhypertexte"/>
            <w:color w:val="auto"/>
            <w:lang w:val="fr-FR"/>
          </w:rPr>
          <w:t>ECE/TRANS/WP.11/2023/17</w:t>
        </w:r>
      </w:hyperlink>
      <w:r w:rsidRPr="00A47266">
        <w:rPr>
          <w:lang w:val="fr-FR"/>
        </w:rPr>
        <w:t xml:space="preserve"> (Pays-Bas)</w:t>
      </w:r>
      <w:r w:rsidRPr="00A47266">
        <w:rPr>
          <w:lang w:val="fr-FR"/>
        </w:rPr>
        <w:br/>
      </w:r>
      <w:r w:rsidRPr="00A47266">
        <w:rPr>
          <w:rStyle w:val="Lienhypertexte"/>
          <w:color w:val="auto"/>
          <w:lang w:val="fr-FR"/>
        </w:rPr>
        <w:t>Document</w:t>
      </w:r>
      <w:r w:rsidRPr="00A47266">
        <w:rPr>
          <w:lang w:val="fr-FR"/>
        </w:rPr>
        <w:t xml:space="preserve"> informel INF.15 (Luxembourg)</w:t>
      </w:r>
    </w:p>
    <w:p w14:paraId="2BE27B9F" w14:textId="04E1A990" w:rsidR="00BC189E" w:rsidRPr="00A47266" w:rsidRDefault="00BC189E" w:rsidP="00BC189E">
      <w:pPr>
        <w:pStyle w:val="SingleTxtG"/>
        <w:rPr>
          <w:lang w:val="fr-FR"/>
        </w:rPr>
      </w:pPr>
      <w:r w:rsidRPr="00A47266">
        <w:rPr>
          <w:lang w:val="fr-FR"/>
        </w:rPr>
        <w:t>59.</w:t>
      </w:r>
      <w:r w:rsidRPr="00A47266">
        <w:rPr>
          <w:lang w:val="fr-FR"/>
        </w:rPr>
        <w:tab/>
        <w:t xml:space="preserve">Le Groupe de travail a décidé d’examiner attentivement les propositions figurant dans le document </w:t>
      </w:r>
      <w:hyperlink r:id="rId42" w:history="1">
        <w:r w:rsidRPr="00A47266">
          <w:rPr>
            <w:rStyle w:val="Lienhypertexte"/>
            <w:color w:val="auto"/>
            <w:lang w:val="fr-FR"/>
          </w:rPr>
          <w:t>ECE/TRANS/WP.11/2023/17</w:t>
        </w:r>
      </w:hyperlink>
      <w:r w:rsidRPr="00A47266">
        <w:rPr>
          <w:lang w:val="fr-FR"/>
        </w:rPr>
        <w:t xml:space="preserve"> et le document informel INF.15 avec les experts nationaux. Une proposition révisée pourrait être présentée à la session suivante pour examen.</w:t>
      </w:r>
    </w:p>
    <w:p w14:paraId="2AAD5EED" w14:textId="77777777" w:rsidR="00BC189E" w:rsidRPr="00A47266" w:rsidRDefault="00BC189E" w:rsidP="00BC189E">
      <w:pPr>
        <w:pStyle w:val="H23G"/>
        <w:rPr>
          <w:lang w:val="fr-FR"/>
        </w:rPr>
      </w:pPr>
      <w:r w:rsidRPr="00A47266">
        <w:rPr>
          <w:lang w:val="fr-FR"/>
        </w:rPr>
        <w:tab/>
        <w:t>5.</w:t>
      </w:r>
      <w:r w:rsidRPr="00A47266">
        <w:rPr>
          <w:lang w:val="fr-FR"/>
        </w:rPr>
        <w:tab/>
        <w:t>Groupes frigorifiques entraînés par le déplacement du véhicule</w:t>
      </w:r>
    </w:p>
    <w:p w14:paraId="581F6D9B" w14:textId="0ADE6ACD" w:rsidR="00BC189E" w:rsidRPr="00A47266" w:rsidRDefault="00BC189E" w:rsidP="00A47266">
      <w:pPr>
        <w:pStyle w:val="SingleTxtG"/>
        <w:ind w:left="2552" w:hanging="1418"/>
        <w:jc w:val="left"/>
        <w:rPr>
          <w:lang w:val="fr-FR"/>
        </w:rPr>
      </w:pPr>
      <w:r w:rsidRPr="00A47266">
        <w:rPr>
          <w:i/>
          <w:iCs/>
          <w:lang w:val="fr-FR"/>
        </w:rPr>
        <w:t>Document</w:t>
      </w:r>
      <w:r w:rsidR="00B7746B">
        <w:rPr>
          <w:i/>
          <w:iCs/>
          <w:lang w:val="fr-FR"/>
        </w:rPr>
        <w:t>(s)</w:t>
      </w:r>
      <w:r w:rsidRPr="00A47266">
        <w:rPr>
          <w:i/>
          <w:iCs/>
          <w:lang w:val="fr-FR"/>
        </w:rPr>
        <w:t> </w:t>
      </w:r>
      <w:r w:rsidRPr="00B7746B">
        <w:rPr>
          <w:lang w:val="fr-FR"/>
        </w:rPr>
        <w:t>:</w:t>
      </w:r>
      <w:r w:rsidRPr="00A47266">
        <w:rPr>
          <w:lang w:val="fr-FR"/>
        </w:rPr>
        <w:tab/>
      </w:r>
      <w:hyperlink r:id="rId43" w:history="1">
        <w:r w:rsidRPr="00A47266">
          <w:rPr>
            <w:rStyle w:val="Lienhypertexte"/>
            <w:color w:val="auto"/>
            <w:lang w:val="fr-FR"/>
          </w:rPr>
          <w:t>ECE/TRANS/WP.11/2023/19</w:t>
        </w:r>
      </w:hyperlink>
      <w:r w:rsidRPr="00A47266">
        <w:rPr>
          <w:lang w:val="fr-FR"/>
        </w:rPr>
        <w:t xml:space="preserve"> (Pays-Bas)</w:t>
      </w:r>
    </w:p>
    <w:p w14:paraId="48BCC666" w14:textId="77777777" w:rsidR="00BC189E" w:rsidRPr="00A47266" w:rsidRDefault="00BC189E" w:rsidP="00BC189E">
      <w:pPr>
        <w:pStyle w:val="SingleTxtG"/>
        <w:rPr>
          <w:lang w:val="fr-FR"/>
        </w:rPr>
      </w:pPr>
      <w:r w:rsidRPr="00A47266">
        <w:rPr>
          <w:lang w:val="fr-FR"/>
        </w:rPr>
        <w:t>60.</w:t>
      </w:r>
      <w:r w:rsidRPr="00A47266">
        <w:rPr>
          <w:lang w:val="fr-FR"/>
        </w:rPr>
        <w:tab/>
        <w:t>Certaines délégations étaient d’avis qu’il n’était pas possible de supprimer les dispositions de l’ATP et que le libellé existant laissait une plus grande souplesse aux fins de la prise en compte des nouvelles technologies arrivant sur le marché.</w:t>
      </w:r>
    </w:p>
    <w:p w14:paraId="0D1410E6" w14:textId="6374B363" w:rsidR="00BC189E" w:rsidRPr="00A47266" w:rsidRDefault="00BC189E" w:rsidP="00BC189E">
      <w:pPr>
        <w:pStyle w:val="SingleTxtG"/>
        <w:rPr>
          <w:lang w:val="fr-FR"/>
        </w:rPr>
      </w:pPr>
      <w:r w:rsidRPr="00A47266">
        <w:rPr>
          <w:lang w:val="fr-FR"/>
        </w:rPr>
        <w:t>61.</w:t>
      </w:r>
      <w:r w:rsidRPr="00A47266">
        <w:rPr>
          <w:lang w:val="fr-FR"/>
        </w:rPr>
        <w:tab/>
        <w:t>Le Groupe de travail a dit apprécier les démarches destinées à la simplification et à la restructuration de l’annexe</w:t>
      </w:r>
      <w:r w:rsidR="00ED2664">
        <w:rPr>
          <w:lang w:val="fr-FR"/>
        </w:rPr>
        <w:t xml:space="preserve"> </w:t>
      </w:r>
      <w:r w:rsidRPr="00A47266">
        <w:rPr>
          <w:lang w:val="fr-FR"/>
        </w:rPr>
        <w:t>1 et a recommandé qu’elles se poursuivent.</w:t>
      </w:r>
    </w:p>
    <w:p w14:paraId="55D8F2DD" w14:textId="51218FF0" w:rsidR="00BC189E" w:rsidRPr="00A47266" w:rsidRDefault="00BC189E" w:rsidP="00BC189E">
      <w:pPr>
        <w:pStyle w:val="H23G"/>
        <w:rPr>
          <w:lang w:val="fr-FR"/>
        </w:rPr>
      </w:pPr>
      <w:r w:rsidRPr="00A47266">
        <w:rPr>
          <w:lang w:val="fr-FR"/>
        </w:rPr>
        <w:lastRenderedPageBreak/>
        <w:tab/>
        <w:t>6.</w:t>
      </w:r>
      <w:r w:rsidRPr="00A47266">
        <w:rPr>
          <w:lang w:val="fr-FR"/>
        </w:rPr>
        <w:tab/>
        <w:t>Amendements au paragraphe</w:t>
      </w:r>
      <w:r w:rsidR="00B7746B">
        <w:rPr>
          <w:lang w:val="fr-FR"/>
        </w:rPr>
        <w:t xml:space="preserve"> </w:t>
      </w:r>
      <w:r w:rsidRPr="00A47266">
        <w:rPr>
          <w:lang w:val="fr-FR"/>
        </w:rPr>
        <w:t>1 de l’annexe</w:t>
      </w:r>
      <w:r w:rsidR="00B7746B">
        <w:rPr>
          <w:lang w:val="fr-FR"/>
        </w:rPr>
        <w:t xml:space="preserve"> </w:t>
      </w:r>
      <w:r w:rsidRPr="00A47266">
        <w:rPr>
          <w:lang w:val="fr-FR"/>
        </w:rPr>
        <w:t>1 et à l’appendice</w:t>
      </w:r>
      <w:r w:rsidR="00B7746B">
        <w:rPr>
          <w:lang w:val="fr-FR"/>
        </w:rPr>
        <w:t xml:space="preserve"> </w:t>
      </w:r>
      <w:r w:rsidRPr="00A47266">
        <w:rPr>
          <w:lang w:val="fr-FR"/>
        </w:rPr>
        <w:t>4 de l’annexe</w:t>
      </w:r>
      <w:r w:rsidR="00B7746B">
        <w:rPr>
          <w:lang w:val="fr-FR"/>
        </w:rPr>
        <w:t xml:space="preserve"> </w:t>
      </w:r>
      <w:r w:rsidRPr="00A47266">
        <w:rPr>
          <w:lang w:val="fr-FR"/>
        </w:rPr>
        <w:t>1</w:t>
      </w:r>
    </w:p>
    <w:p w14:paraId="7EE9E1AC" w14:textId="38C5B9BA" w:rsidR="00BC189E" w:rsidRPr="00A47266" w:rsidRDefault="00BC189E" w:rsidP="00A47266">
      <w:pPr>
        <w:pStyle w:val="SingleTxtG"/>
        <w:ind w:left="2552" w:hanging="1418"/>
        <w:jc w:val="left"/>
        <w:rPr>
          <w:lang w:val="fr-FR"/>
        </w:rPr>
      </w:pPr>
      <w:r w:rsidRPr="00A47266">
        <w:rPr>
          <w:i/>
          <w:iCs/>
          <w:lang w:val="fr-FR"/>
        </w:rPr>
        <w:t>Document</w:t>
      </w:r>
      <w:r w:rsidR="00B7746B">
        <w:rPr>
          <w:i/>
          <w:iCs/>
          <w:lang w:val="fr-FR"/>
        </w:rPr>
        <w:t>(</w:t>
      </w:r>
      <w:r w:rsidRPr="00A47266">
        <w:rPr>
          <w:i/>
          <w:iCs/>
          <w:lang w:val="fr-FR"/>
        </w:rPr>
        <w:t>s</w:t>
      </w:r>
      <w:r w:rsidR="00B7746B">
        <w:rPr>
          <w:i/>
          <w:iCs/>
          <w:lang w:val="fr-FR"/>
        </w:rPr>
        <w:t>)</w:t>
      </w:r>
      <w:r w:rsidRPr="00B7746B">
        <w:rPr>
          <w:lang w:val="fr-FR"/>
        </w:rPr>
        <w:t> :</w:t>
      </w:r>
      <w:r w:rsidRPr="00A47266">
        <w:rPr>
          <w:lang w:val="fr-FR"/>
        </w:rPr>
        <w:tab/>
      </w:r>
      <w:hyperlink r:id="rId44" w:history="1">
        <w:r w:rsidRPr="00A47266">
          <w:rPr>
            <w:rStyle w:val="Lienhypertexte"/>
            <w:color w:val="auto"/>
            <w:lang w:val="fr-FR"/>
          </w:rPr>
          <w:t>ECE/TRANS/WP.11/2023/21</w:t>
        </w:r>
      </w:hyperlink>
      <w:r w:rsidRPr="00A47266">
        <w:rPr>
          <w:lang w:val="fr-FR"/>
        </w:rPr>
        <w:t xml:space="preserve"> (Royaume-Uni)</w:t>
      </w:r>
      <w:r w:rsidRPr="00A47266">
        <w:rPr>
          <w:lang w:val="fr-FR"/>
        </w:rPr>
        <w:br/>
      </w:r>
      <w:r w:rsidRPr="00A47266">
        <w:rPr>
          <w:rStyle w:val="Lienhypertexte"/>
          <w:color w:val="auto"/>
          <w:lang w:val="fr-FR"/>
        </w:rPr>
        <w:t>Document</w:t>
      </w:r>
      <w:r w:rsidRPr="00A47266">
        <w:rPr>
          <w:lang w:val="fr-FR"/>
        </w:rPr>
        <w:t xml:space="preserve"> informel INF.8 (Pays-Bas)</w:t>
      </w:r>
    </w:p>
    <w:p w14:paraId="6D837812" w14:textId="227DB942" w:rsidR="00BC189E" w:rsidRPr="00A47266" w:rsidRDefault="00BC189E" w:rsidP="00BC189E">
      <w:pPr>
        <w:pStyle w:val="SingleTxtG"/>
        <w:rPr>
          <w:spacing w:val="-2"/>
          <w:lang w:val="fr-FR"/>
        </w:rPr>
      </w:pPr>
      <w:r w:rsidRPr="00A47266">
        <w:rPr>
          <w:spacing w:val="-2"/>
          <w:lang w:val="fr-FR"/>
        </w:rPr>
        <w:t>62.</w:t>
      </w:r>
      <w:r w:rsidRPr="00A47266">
        <w:rPr>
          <w:spacing w:val="-2"/>
          <w:lang w:val="fr-FR"/>
        </w:rPr>
        <w:tab/>
        <w:t xml:space="preserve">Certaines délégations ont demandé un délai pour examiner attentivement la proposition figurant dans le document </w:t>
      </w:r>
      <w:hyperlink r:id="rId45" w:history="1">
        <w:r w:rsidRPr="00A47266">
          <w:rPr>
            <w:rStyle w:val="Lienhypertexte"/>
            <w:color w:val="auto"/>
            <w:spacing w:val="-2"/>
            <w:lang w:val="fr-FR"/>
          </w:rPr>
          <w:t>ECE/TRANS/WP.11/2023/21</w:t>
        </w:r>
      </w:hyperlink>
      <w:r w:rsidRPr="00A47266">
        <w:rPr>
          <w:spacing w:val="-2"/>
          <w:lang w:val="fr-FR"/>
        </w:rPr>
        <w:t xml:space="preserve">, tel que modifié par le document informel INF.8. Le représentant de la France a indiqué au Groupe de travail que, dans son pays au moins, la majorité des engins isothermes normaux avaient un coefficient K inférieur à </w:t>
      </w:r>
      <w:bookmarkStart w:id="14" w:name="_Hlk155884005"/>
      <w:r w:rsidRPr="00A47266">
        <w:rPr>
          <w:spacing w:val="-2"/>
          <w:lang w:val="fr-FR"/>
        </w:rPr>
        <w:t>0,5 W·m</w:t>
      </w:r>
      <w:r w:rsidRPr="00A47266">
        <w:rPr>
          <w:spacing w:val="-2"/>
          <w:vertAlign w:val="superscript"/>
          <w:lang w:val="fr-FR"/>
        </w:rPr>
        <w:t>-2</w:t>
      </w:r>
      <w:r w:rsidRPr="00A47266">
        <w:rPr>
          <w:spacing w:val="-2"/>
          <w:lang w:val="fr-FR"/>
        </w:rPr>
        <w:t>·K</w:t>
      </w:r>
      <w:r w:rsidRPr="00A47266">
        <w:rPr>
          <w:spacing w:val="-2"/>
          <w:vertAlign w:val="superscript"/>
          <w:lang w:val="fr-FR"/>
        </w:rPr>
        <w:t>-1</w:t>
      </w:r>
      <w:bookmarkEnd w:id="14"/>
      <w:r w:rsidRPr="00A47266">
        <w:rPr>
          <w:spacing w:val="-2"/>
          <w:lang w:val="fr-FR"/>
        </w:rPr>
        <w:t>. Le représentant de la Finlande a informé le WP.11 que, dans son pays, un nombre important d’engins certifiés « FNA » avaient un coefficient K compris entre 0,65 et 0,70 W·m</w:t>
      </w:r>
      <w:r w:rsidRPr="00A47266">
        <w:rPr>
          <w:spacing w:val="-2"/>
          <w:vertAlign w:val="superscript"/>
          <w:lang w:val="fr-FR"/>
        </w:rPr>
        <w:t>-2</w:t>
      </w:r>
      <w:r w:rsidRPr="00A47266">
        <w:rPr>
          <w:spacing w:val="-2"/>
          <w:lang w:val="fr-FR"/>
        </w:rPr>
        <w:t>·K</w:t>
      </w:r>
      <w:r w:rsidRPr="00A47266">
        <w:rPr>
          <w:spacing w:val="-2"/>
          <w:vertAlign w:val="superscript"/>
          <w:lang w:val="fr-FR"/>
        </w:rPr>
        <w:t>-1</w:t>
      </w:r>
      <w:r w:rsidRPr="00A47266">
        <w:rPr>
          <w:spacing w:val="-2"/>
          <w:lang w:val="fr-FR"/>
        </w:rPr>
        <w:t>.</w:t>
      </w:r>
    </w:p>
    <w:p w14:paraId="67A23CA7" w14:textId="06185506" w:rsidR="00BC189E" w:rsidRPr="00A47266" w:rsidRDefault="00BC189E" w:rsidP="00BC189E">
      <w:pPr>
        <w:pStyle w:val="SingleTxtG"/>
        <w:rPr>
          <w:lang w:val="fr-FR"/>
        </w:rPr>
      </w:pPr>
      <w:r w:rsidRPr="00A47266">
        <w:rPr>
          <w:lang w:val="fr-FR"/>
        </w:rPr>
        <w:t>63.</w:t>
      </w:r>
      <w:r w:rsidRPr="00A47266">
        <w:rPr>
          <w:lang w:val="fr-FR"/>
        </w:rPr>
        <w:tab/>
        <w:t>La proposition, mise aux voix, n’a pas été adoptée (cinq voix pour : le Danemark, la Fédération de Russie, l’Italie, la Slovénie et le Royaume-Uni ; deux voix contre : l’Espagne et la Finlande).</w:t>
      </w:r>
    </w:p>
    <w:p w14:paraId="55FDC515" w14:textId="77777777" w:rsidR="00BC189E" w:rsidRPr="00A47266" w:rsidRDefault="00BC189E" w:rsidP="00BC189E">
      <w:pPr>
        <w:pStyle w:val="H23G"/>
        <w:rPr>
          <w:lang w:val="fr-FR"/>
        </w:rPr>
      </w:pPr>
      <w:r w:rsidRPr="00A47266">
        <w:rPr>
          <w:lang w:val="fr-FR"/>
        </w:rPr>
        <w:tab/>
        <w:t>7.</w:t>
      </w:r>
      <w:r w:rsidRPr="00A47266">
        <w:rPr>
          <w:lang w:val="fr-FR"/>
        </w:rPr>
        <w:tab/>
        <w:t>Propositions d’amendements</w:t>
      </w:r>
    </w:p>
    <w:p w14:paraId="037E9E7C" w14:textId="5E365F3E" w:rsidR="00BC189E" w:rsidRPr="00A47266" w:rsidRDefault="00BC189E" w:rsidP="00BC189E">
      <w:pPr>
        <w:pStyle w:val="SingleTxtG"/>
        <w:ind w:left="2552" w:hanging="1418"/>
        <w:jc w:val="left"/>
        <w:rPr>
          <w:lang w:val="fr-FR"/>
        </w:rPr>
      </w:pPr>
      <w:r w:rsidRPr="00A47266">
        <w:rPr>
          <w:i/>
          <w:iCs/>
          <w:lang w:val="fr-FR"/>
        </w:rPr>
        <w:t>Document</w:t>
      </w:r>
      <w:r w:rsidR="00B7746B">
        <w:rPr>
          <w:i/>
          <w:iCs/>
          <w:lang w:val="fr-FR"/>
        </w:rPr>
        <w:t>(s)</w:t>
      </w:r>
      <w:r w:rsidRPr="00A47266">
        <w:rPr>
          <w:i/>
          <w:iCs/>
          <w:lang w:val="fr-FR"/>
        </w:rPr>
        <w:t> </w:t>
      </w:r>
      <w:r w:rsidRPr="00B7746B">
        <w:rPr>
          <w:lang w:val="fr-FR"/>
        </w:rPr>
        <w:t>:</w:t>
      </w:r>
      <w:r w:rsidR="00B7746B">
        <w:rPr>
          <w:lang w:val="fr-FR"/>
        </w:rPr>
        <w:tab/>
      </w:r>
      <w:hyperlink r:id="rId46" w:history="1">
        <w:r w:rsidRPr="00A47266">
          <w:rPr>
            <w:rStyle w:val="Lienhypertexte"/>
            <w:color w:val="auto"/>
            <w:lang w:val="fr-FR"/>
          </w:rPr>
          <w:t>ECE/TRANS/WP.11/2023/14</w:t>
        </w:r>
      </w:hyperlink>
      <w:r w:rsidRPr="00A47266">
        <w:rPr>
          <w:lang w:val="fr-FR"/>
        </w:rPr>
        <w:t xml:space="preserve"> (Pays-Bas)</w:t>
      </w:r>
    </w:p>
    <w:p w14:paraId="2B92A515" w14:textId="77777777" w:rsidR="00BC189E" w:rsidRPr="00A47266" w:rsidRDefault="00BC189E" w:rsidP="00BC189E">
      <w:pPr>
        <w:pStyle w:val="SingleTxtG"/>
        <w:rPr>
          <w:b/>
          <w:lang w:val="fr-FR"/>
        </w:rPr>
      </w:pPr>
      <w:r w:rsidRPr="00A47266">
        <w:rPr>
          <w:lang w:val="fr-FR"/>
        </w:rPr>
        <w:t>64.</w:t>
      </w:r>
      <w:r w:rsidRPr="00A47266">
        <w:rPr>
          <w:lang w:val="fr-FR"/>
        </w:rPr>
        <w:tab/>
        <w:t>Les propositions ont été adoptées (voir l’annexe II).</w:t>
      </w:r>
    </w:p>
    <w:p w14:paraId="33D3ECA6" w14:textId="77777777" w:rsidR="00BC189E" w:rsidRPr="00A47266" w:rsidRDefault="00BC189E" w:rsidP="00BC189E">
      <w:pPr>
        <w:pStyle w:val="H23G"/>
        <w:rPr>
          <w:lang w:val="fr-FR"/>
        </w:rPr>
      </w:pPr>
      <w:r w:rsidRPr="00A47266">
        <w:rPr>
          <w:lang w:val="fr-FR"/>
        </w:rPr>
        <w:tab/>
        <w:t>8.</w:t>
      </w:r>
      <w:r w:rsidRPr="00A47266">
        <w:rPr>
          <w:lang w:val="fr-FR"/>
        </w:rPr>
        <w:tab/>
        <w:t>Correction à l’article 3 de l’appendice 1 de l’annexe 1 concernant les versions anglaise et russe de l’ATP</w:t>
      </w:r>
    </w:p>
    <w:p w14:paraId="642A63DC" w14:textId="30720438" w:rsidR="00BC189E" w:rsidRPr="00A47266" w:rsidRDefault="00BC189E" w:rsidP="00BC189E">
      <w:pPr>
        <w:pStyle w:val="SingleTxtG"/>
        <w:ind w:left="2552" w:hanging="1418"/>
        <w:jc w:val="left"/>
        <w:rPr>
          <w:lang w:val="fr-FR"/>
        </w:rPr>
      </w:pPr>
      <w:r w:rsidRPr="00A47266">
        <w:rPr>
          <w:i/>
          <w:iCs/>
          <w:lang w:val="fr-FR"/>
        </w:rPr>
        <w:t>Document</w:t>
      </w:r>
      <w:r w:rsidR="00B7746B">
        <w:rPr>
          <w:i/>
          <w:iCs/>
          <w:lang w:val="fr-FR"/>
        </w:rPr>
        <w:t>(s)</w:t>
      </w:r>
      <w:r w:rsidRPr="00A47266">
        <w:rPr>
          <w:lang w:val="fr-FR"/>
        </w:rPr>
        <w:t> :</w:t>
      </w:r>
      <w:r w:rsidRPr="00A47266">
        <w:rPr>
          <w:lang w:val="fr-FR"/>
        </w:rPr>
        <w:tab/>
      </w:r>
      <w:hyperlink r:id="rId47" w:history="1">
        <w:r w:rsidRPr="00A47266">
          <w:rPr>
            <w:rStyle w:val="Lienhypertexte"/>
            <w:color w:val="auto"/>
            <w:lang w:val="fr-FR"/>
          </w:rPr>
          <w:t>ECE/TRANS/WP.11/2023/16</w:t>
        </w:r>
      </w:hyperlink>
      <w:r w:rsidRPr="00A47266">
        <w:rPr>
          <w:lang w:val="fr-FR"/>
        </w:rPr>
        <w:t xml:space="preserve"> (Pays-Bas)</w:t>
      </w:r>
    </w:p>
    <w:p w14:paraId="4945DAAB" w14:textId="77777777" w:rsidR="00BC189E" w:rsidRPr="00A47266" w:rsidRDefault="00BC189E" w:rsidP="00BC189E">
      <w:pPr>
        <w:pStyle w:val="SingleTxtG"/>
        <w:rPr>
          <w:lang w:val="fr-FR"/>
        </w:rPr>
      </w:pPr>
      <w:r w:rsidRPr="00A47266">
        <w:rPr>
          <w:lang w:val="fr-FR"/>
        </w:rPr>
        <w:t>65.</w:t>
      </w:r>
      <w:r w:rsidRPr="00A47266">
        <w:rPr>
          <w:lang w:val="fr-FR"/>
        </w:rPr>
        <w:tab/>
        <w:t>La proposition a été adoptée (voir l’annexe II).</w:t>
      </w:r>
    </w:p>
    <w:p w14:paraId="17E2B39B" w14:textId="77777777" w:rsidR="00BC189E" w:rsidRPr="00A47266" w:rsidRDefault="00BC189E" w:rsidP="00BC189E">
      <w:pPr>
        <w:pStyle w:val="H23G"/>
        <w:rPr>
          <w:lang w:val="fr-FR"/>
        </w:rPr>
      </w:pPr>
      <w:r w:rsidRPr="00A47266">
        <w:rPr>
          <w:lang w:val="fr-FR"/>
        </w:rPr>
        <w:tab/>
        <w:t>9.</w:t>
      </w:r>
      <w:r w:rsidRPr="00A47266">
        <w:rPr>
          <w:lang w:val="fr-FR"/>
        </w:rPr>
        <w:tab/>
        <w:t xml:space="preserve">Proposition de modification des contrôles en service prescrits pour les engins calorifiques et les engins frigorifiques et calorifiques (par. 6.3 et 6.4 ii) </w:t>
      </w:r>
      <w:r w:rsidRPr="00A47266">
        <w:rPr>
          <w:lang w:val="fr-FR"/>
        </w:rPr>
        <w:br/>
        <w:t>de l’appendice 2 de l’annexe 1 de l’ATP)</w:t>
      </w:r>
    </w:p>
    <w:p w14:paraId="6F1100D8" w14:textId="5E4DB149" w:rsidR="00BC189E" w:rsidRPr="00A47266" w:rsidRDefault="00BC189E" w:rsidP="00BC189E">
      <w:pPr>
        <w:pStyle w:val="SingleTxtG"/>
        <w:ind w:left="2552" w:hanging="1418"/>
        <w:jc w:val="left"/>
        <w:rPr>
          <w:lang w:val="fr-FR"/>
        </w:rPr>
      </w:pPr>
      <w:r w:rsidRPr="00A47266">
        <w:rPr>
          <w:i/>
          <w:iCs/>
          <w:lang w:val="fr-FR"/>
        </w:rPr>
        <w:t>Document</w:t>
      </w:r>
      <w:r w:rsidR="00B7746B">
        <w:rPr>
          <w:i/>
          <w:iCs/>
          <w:lang w:val="fr-FR"/>
        </w:rPr>
        <w:t>(s)</w:t>
      </w:r>
      <w:r w:rsidRPr="00A47266">
        <w:rPr>
          <w:lang w:val="fr-FR"/>
        </w:rPr>
        <w:t> :</w:t>
      </w:r>
      <w:r w:rsidRPr="00A47266">
        <w:rPr>
          <w:lang w:val="fr-FR"/>
        </w:rPr>
        <w:tab/>
      </w:r>
      <w:hyperlink r:id="rId48" w:history="1">
        <w:r w:rsidRPr="00A47266">
          <w:rPr>
            <w:rStyle w:val="Lienhypertexte"/>
            <w:color w:val="auto"/>
            <w:lang w:val="fr-FR"/>
          </w:rPr>
          <w:t>ECE/TRANS/WP.11/2023/18</w:t>
        </w:r>
      </w:hyperlink>
      <w:r w:rsidRPr="00A47266">
        <w:rPr>
          <w:lang w:val="fr-FR"/>
        </w:rPr>
        <w:t xml:space="preserve"> (Finlande)</w:t>
      </w:r>
    </w:p>
    <w:p w14:paraId="7A5A5FDE" w14:textId="77777777" w:rsidR="00BC189E" w:rsidRPr="00A47266" w:rsidRDefault="00BC189E" w:rsidP="00BC189E">
      <w:pPr>
        <w:pStyle w:val="SingleTxtG"/>
        <w:rPr>
          <w:lang w:val="fr-FR"/>
        </w:rPr>
      </w:pPr>
      <w:r w:rsidRPr="00A47266">
        <w:rPr>
          <w:lang w:val="fr-FR"/>
        </w:rPr>
        <w:t>66.</w:t>
      </w:r>
      <w:r w:rsidRPr="00A47266">
        <w:rPr>
          <w:lang w:val="fr-FR"/>
        </w:rPr>
        <w:tab/>
        <w:t>Après qu’il a été précisé qu’il était possible d’adopter la proposition en l’état et de revenir sur le sujet à l’avenir s’il s’avérait nécessaire de différencier les prescriptions pour les engins autonomes de celles pour les engins non autonomes, la proposition a été adoptée (voir l’annexe II).</w:t>
      </w:r>
    </w:p>
    <w:p w14:paraId="781CBC29" w14:textId="77777777" w:rsidR="00BC189E" w:rsidRPr="00A47266" w:rsidRDefault="00BC189E" w:rsidP="00BC189E">
      <w:pPr>
        <w:pStyle w:val="H23G"/>
        <w:rPr>
          <w:szCs w:val="24"/>
          <w:lang w:val="fr-FR"/>
        </w:rPr>
      </w:pPr>
      <w:r w:rsidRPr="00A47266">
        <w:rPr>
          <w:lang w:val="fr-FR"/>
        </w:rPr>
        <w:tab/>
        <w:t>10.</w:t>
      </w:r>
      <w:r w:rsidRPr="00A47266">
        <w:rPr>
          <w:lang w:val="fr-FR"/>
        </w:rPr>
        <w:tab/>
        <w:t>Amendement au paragraphe 6 c) iii) b) de l’appendice 1 de l’annexe 1</w:t>
      </w:r>
    </w:p>
    <w:p w14:paraId="016B5C1F" w14:textId="7AB3F7A4" w:rsidR="00BC189E" w:rsidRPr="00A47266" w:rsidRDefault="00BC189E" w:rsidP="00BC189E">
      <w:pPr>
        <w:pStyle w:val="SingleTxtG"/>
        <w:ind w:left="2552" w:hanging="1418"/>
        <w:jc w:val="left"/>
        <w:rPr>
          <w:lang w:val="fr-FR"/>
        </w:rPr>
      </w:pPr>
      <w:r w:rsidRPr="00A47266">
        <w:rPr>
          <w:i/>
          <w:iCs/>
          <w:lang w:val="fr-FR"/>
        </w:rPr>
        <w:t>Document</w:t>
      </w:r>
      <w:r w:rsidR="00B7746B">
        <w:rPr>
          <w:i/>
          <w:iCs/>
          <w:lang w:val="fr-FR"/>
        </w:rPr>
        <w:t>(s)</w:t>
      </w:r>
      <w:r w:rsidRPr="00A47266">
        <w:rPr>
          <w:lang w:val="fr-FR"/>
        </w:rPr>
        <w:t> :</w:t>
      </w:r>
      <w:r w:rsidRPr="00A47266">
        <w:rPr>
          <w:lang w:val="fr-FR"/>
        </w:rPr>
        <w:tab/>
      </w:r>
      <w:hyperlink r:id="rId49" w:history="1">
        <w:r w:rsidRPr="00A47266">
          <w:rPr>
            <w:rStyle w:val="Lienhypertexte"/>
            <w:color w:val="auto"/>
            <w:lang w:val="fr-FR"/>
          </w:rPr>
          <w:t>ECE/TRANS/WP.11/2023/20</w:t>
        </w:r>
      </w:hyperlink>
      <w:r w:rsidRPr="00A47266">
        <w:rPr>
          <w:lang w:val="fr-FR"/>
        </w:rPr>
        <w:t xml:space="preserve"> (Royaume-Uni)</w:t>
      </w:r>
    </w:p>
    <w:p w14:paraId="0EB9C20B" w14:textId="77777777" w:rsidR="00BC189E" w:rsidRPr="00A47266" w:rsidRDefault="00BC189E" w:rsidP="00BC189E">
      <w:pPr>
        <w:pStyle w:val="SingleTxtG"/>
        <w:rPr>
          <w:lang w:val="fr-FR"/>
        </w:rPr>
      </w:pPr>
      <w:r w:rsidRPr="00A47266">
        <w:rPr>
          <w:lang w:val="fr-FR"/>
        </w:rPr>
        <w:t>67.</w:t>
      </w:r>
      <w:r w:rsidRPr="00A47266">
        <w:rPr>
          <w:lang w:val="fr-FR"/>
        </w:rPr>
        <w:tab/>
        <w:t>Il a été précisé que la condition selon laquelle la valeur du coefficient K doit être inférieure d’au moins 5 % à celle indiquée au paragraphe 1 de l’annexe 1 était fondée sur des mesures prises au Royaume-Uni et visait à éviter que les fabricants d’équipements dépourvus de machine frigorifique ne bénéficient d’avantages indus. Les participants ont convenu qu’il fallait se pencher sur la question car les prescriptions de l’ATP ne devraient pas créer des avantages concurrentiels injustes.</w:t>
      </w:r>
    </w:p>
    <w:p w14:paraId="0755DCFE" w14:textId="77777777" w:rsidR="00BC189E" w:rsidRPr="00A47266" w:rsidRDefault="00BC189E" w:rsidP="00BC189E">
      <w:pPr>
        <w:pStyle w:val="SingleTxtG"/>
        <w:rPr>
          <w:lang w:val="fr-FR"/>
        </w:rPr>
      </w:pPr>
      <w:r w:rsidRPr="00A47266">
        <w:rPr>
          <w:lang w:val="fr-FR"/>
        </w:rPr>
        <w:t>68.</w:t>
      </w:r>
      <w:r w:rsidRPr="00A47266">
        <w:rPr>
          <w:lang w:val="fr-FR"/>
        </w:rPr>
        <w:tab/>
        <w:t>On a également fait observer qu’il pourrait être très difficile de s’accorder sur un chiffre pour la réduction du coefficient K, car cela dépendait de la taille de la caisse et de la taille de l’ouverture dans l’engin isotherme, cette combinaison de facteurs pouvant varier au cas par cas.</w:t>
      </w:r>
    </w:p>
    <w:p w14:paraId="040BB5B6" w14:textId="77777777" w:rsidR="00BC189E" w:rsidRPr="00A47266" w:rsidRDefault="00BC189E" w:rsidP="00BC189E">
      <w:pPr>
        <w:pStyle w:val="SingleTxtG"/>
        <w:rPr>
          <w:lang w:val="fr-FR"/>
        </w:rPr>
      </w:pPr>
      <w:r w:rsidRPr="00A47266">
        <w:rPr>
          <w:lang w:val="fr-FR"/>
        </w:rPr>
        <w:t>69.</w:t>
      </w:r>
      <w:r w:rsidRPr="00A47266">
        <w:rPr>
          <w:lang w:val="fr-FR"/>
        </w:rPr>
        <w:tab/>
        <w:t>Le WP.11 a conclu que les participants étaient favorables à la poursuite des travaux sur le sujet, sur la base d’une proposition révisée qui serait soumise à la session suivante.</w:t>
      </w:r>
    </w:p>
    <w:p w14:paraId="5046B024" w14:textId="3072A4C2" w:rsidR="00BC189E" w:rsidRPr="00A47266" w:rsidRDefault="00BC189E" w:rsidP="00BC189E">
      <w:pPr>
        <w:pStyle w:val="H23G"/>
        <w:rPr>
          <w:lang w:val="fr-FR"/>
        </w:rPr>
      </w:pPr>
      <w:r w:rsidRPr="00A47266">
        <w:rPr>
          <w:lang w:val="fr-FR"/>
        </w:rPr>
        <w:tab/>
        <w:t>11.</w:t>
      </w:r>
      <w:r w:rsidRPr="00A47266">
        <w:rPr>
          <w:lang w:val="fr-FR"/>
        </w:rPr>
        <w:tab/>
        <w:t xml:space="preserve">Propositions de modifications d’ordre rédactionnelle reçues par le secrétariat </w:t>
      </w:r>
      <w:r w:rsidR="00B7746B">
        <w:rPr>
          <w:lang w:val="fr-FR"/>
        </w:rPr>
        <w:br/>
      </w:r>
      <w:r w:rsidRPr="00A47266">
        <w:rPr>
          <w:lang w:val="fr-FR"/>
        </w:rPr>
        <w:t>de la part des Gouvernements allemand et espagnol</w:t>
      </w:r>
    </w:p>
    <w:p w14:paraId="42E02CEF" w14:textId="47BF3A46" w:rsidR="00BC189E" w:rsidRPr="00A47266" w:rsidRDefault="00BC189E" w:rsidP="00BC189E">
      <w:pPr>
        <w:pStyle w:val="SingleTxtG"/>
        <w:ind w:left="2552" w:hanging="1418"/>
        <w:jc w:val="left"/>
        <w:rPr>
          <w:lang w:val="fr-FR"/>
        </w:rPr>
      </w:pPr>
      <w:r w:rsidRPr="00A47266">
        <w:rPr>
          <w:i/>
          <w:iCs/>
          <w:lang w:val="fr-FR"/>
        </w:rPr>
        <w:t>Document</w:t>
      </w:r>
      <w:r w:rsidR="00B7746B">
        <w:rPr>
          <w:i/>
          <w:iCs/>
          <w:lang w:val="fr-FR"/>
        </w:rPr>
        <w:t>(s)</w:t>
      </w:r>
      <w:r w:rsidRPr="00A47266">
        <w:rPr>
          <w:lang w:val="fr-FR"/>
        </w:rPr>
        <w:t> :</w:t>
      </w:r>
      <w:r w:rsidRPr="00A47266">
        <w:rPr>
          <w:lang w:val="fr-FR"/>
        </w:rPr>
        <w:tab/>
      </w:r>
      <w:r w:rsidRPr="00A47266">
        <w:rPr>
          <w:rStyle w:val="Lienhypertexte"/>
          <w:color w:val="auto"/>
          <w:lang w:val="fr-FR"/>
        </w:rPr>
        <w:t>Document</w:t>
      </w:r>
      <w:r w:rsidRPr="00A47266">
        <w:rPr>
          <w:lang w:val="fr-FR"/>
        </w:rPr>
        <w:t xml:space="preserve"> informel INF.11 (secrétariat)</w:t>
      </w:r>
    </w:p>
    <w:p w14:paraId="2D289282" w14:textId="77777777" w:rsidR="00BC189E" w:rsidRPr="00A47266" w:rsidRDefault="00BC189E" w:rsidP="00BC189E">
      <w:pPr>
        <w:pStyle w:val="SingleTxtG"/>
        <w:rPr>
          <w:lang w:val="fr-FR"/>
        </w:rPr>
      </w:pPr>
      <w:r w:rsidRPr="00A47266">
        <w:rPr>
          <w:lang w:val="fr-FR"/>
        </w:rPr>
        <w:t>70.</w:t>
      </w:r>
      <w:r w:rsidRPr="00A47266">
        <w:rPr>
          <w:lang w:val="fr-FR"/>
        </w:rPr>
        <w:tab/>
        <w:t>Le Groupe de travail a décidé d’harmoniser le symbole de multiplication utilisé pour les équations et les unités dans l’ensemble du texte de l’ATP (voir l’annexe II).</w:t>
      </w:r>
    </w:p>
    <w:p w14:paraId="08895C39" w14:textId="77777777" w:rsidR="00BC189E" w:rsidRPr="00A47266" w:rsidRDefault="00BC189E" w:rsidP="00BC189E">
      <w:pPr>
        <w:pStyle w:val="H23G"/>
        <w:rPr>
          <w:lang w:val="fr-FR"/>
        </w:rPr>
      </w:pPr>
      <w:r w:rsidRPr="00A47266">
        <w:rPr>
          <w:lang w:val="fr-FR"/>
        </w:rPr>
        <w:lastRenderedPageBreak/>
        <w:tab/>
        <w:t>12.</w:t>
      </w:r>
      <w:r w:rsidRPr="00A47266">
        <w:rPr>
          <w:lang w:val="fr-FR"/>
        </w:rPr>
        <w:tab/>
        <w:t>Document d’orientation sur les équipements à entraînement électrique</w:t>
      </w:r>
    </w:p>
    <w:p w14:paraId="18A3A5C4" w14:textId="506A4359" w:rsidR="00BC189E" w:rsidRPr="00A47266" w:rsidRDefault="00BC189E" w:rsidP="00BC189E">
      <w:pPr>
        <w:pStyle w:val="SingleTxtG"/>
        <w:ind w:left="2552" w:hanging="1418"/>
        <w:jc w:val="left"/>
        <w:rPr>
          <w:lang w:val="fr-FR"/>
        </w:rPr>
      </w:pPr>
      <w:r w:rsidRPr="00A47266">
        <w:rPr>
          <w:i/>
          <w:iCs/>
          <w:lang w:val="fr-FR"/>
        </w:rPr>
        <w:t>Document</w:t>
      </w:r>
      <w:r w:rsidR="00B7746B">
        <w:rPr>
          <w:i/>
          <w:iCs/>
          <w:lang w:val="fr-FR"/>
        </w:rPr>
        <w:t>(s)</w:t>
      </w:r>
      <w:r w:rsidRPr="00A47266">
        <w:rPr>
          <w:lang w:val="fr-FR"/>
        </w:rPr>
        <w:t> :</w:t>
      </w:r>
      <w:r w:rsidRPr="00A47266">
        <w:rPr>
          <w:lang w:val="fr-FR"/>
        </w:rPr>
        <w:tab/>
        <w:t>Document informel INF.12 (Président du groupe de travail informel du </w:t>
      </w:r>
      <w:r w:rsidRPr="00A47266">
        <w:rPr>
          <w:rStyle w:val="Lienhypertexte"/>
          <w:color w:val="auto"/>
          <w:lang w:val="fr-FR"/>
        </w:rPr>
        <w:t>système</w:t>
      </w:r>
      <w:r w:rsidRPr="00A47266">
        <w:rPr>
          <w:lang w:val="fr-FR"/>
        </w:rPr>
        <w:t xml:space="preserve"> d’agrément)</w:t>
      </w:r>
    </w:p>
    <w:p w14:paraId="591B0660" w14:textId="77777777" w:rsidR="00BC189E" w:rsidRPr="00A47266" w:rsidRDefault="00BC189E" w:rsidP="00BC189E">
      <w:pPr>
        <w:pStyle w:val="SingleTxtG"/>
        <w:rPr>
          <w:lang w:val="fr-FR"/>
        </w:rPr>
      </w:pPr>
      <w:r w:rsidRPr="00A47266">
        <w:rPr>
          <w:lang w:val="fr-FR"/>
        </w:rPr>
        <w:t>71.</w:t>
      </w:r>
      <w:r w:rsidRPr="00A47266">
        <w:rPr>
          <w:lang w:val="fr-FR"/>
        </w:rPr>
        <w:tab/>
        <w:t>La plupart des délégations ont estimé que les informations fournies dans le document d’orientation étaient très utiles et pertinentes. Cependant, comme il s’agissait d’un document informel soumis tardivement, elles n’avaient pas eu le temps d’en discuter avec des experts au niveau national. Il a également été mentionné qu’il pourrait être utile de reformuler certains passages afin d’en faciliter la compréhension.</w:t>
      </w:r>
    </w:p>
    <w:p w14:paraId="7CD07739" w14:textId="77777777" w:rsidR="00BC189E" w:rsidRPr="00A47266" w:rsidRDefault="00BC189E" w:rsidP="00BC189E">
      <w:pPr>
        <w:pStyle w:val="SingleTxtG"/>
        <w:rPr>
          <w:bCs/>
          <w:szCs w:val="28"/>
          <w:lang w:val="fr-FR"/>
        </w:rPr>
      </w:pPr>
      <w:r w:rsidRPr="00A47266">
        <w:rPr>
          <w:lang w:val="fr-FR"/>
        </w:rPr>
        <w:t>72.</w:t>
      </w:r>
      <w:r w:rsidRPr="00A47266">
        <w:rPr>
          <w:lang w:val="fr-FR"/>
        </w:rPr>
        <w:tab/>
        <w:t>On a également avancé que le document pourrait servir de base à la rédaction d’un ensemble complet d’amendements visant à ajouter les prescriptions nécessaires pour les sources d’énergie électrique dans l’ATP.</w:t>
      </w:r>
    </w:p>
    <w:p w14:paraId="647ACA8E" w14:textId="77777777" w:rsidR="00BC189E" w:rsidRPr="00A47266" w:rsidRDefault="00BC189E" w:rsidP="00BC189E">
      <w:pPr>
        <w:pStyle w:val="SingleTxtG"/>
        <w:rPr>
          <w:bCs/>
          <w:szCs w:val="28"/>
          <w:lang w:val="fr-FR"/>
        </w:rPr>
      </w:pPr>
      <w:r w:rsidRPr="00A47266">
        <w:rPr>
          <w:lang w:val="fr-FR"/>
        </w:rPr>
        <w:t>73.</w:t>
      </w:r>
      <w:r w:rsidRPr="00A47266">
        <w:rPr>
          <w:lang w:val="fr-FR"/>
        </w:rPr>
        <w:tab/>
        <w:t>Il a été décidé d’examiner une version révisée du document à la prochaine session.</w:t>
      </w:r>
    </w:p>
    <w:p w14:paraId="55B9855F" w14:textId="77777777" w:rsidR="00BC189E" w:rsidRPr="00A47266" w:rsidRDefault="00BC189E" w:rsidP="00BC189E">
      <w:pPr>
        <w:pStyle w:val="HChG"/>
        <w:rPr>
          <w:lang w:val="fr-FR"/>
        </w:rPr>
      </w:pPr>
      <w:r w:rsidRPr="00A47266">
        <w:rPr>
          <w:lang w:val="fr-FR"/>
        </w:rPr>
        <w:tab/>
        <w:t>VII.</w:t>
      </w:r>
      <w:r w:rsidRPr="00A47266">
        <w:rPr>
          <w:lang w:val="fr-FR"/>
        </w:rPr>
        <w:tab/>
        <w:t>Manuel ATP (point 6 de l’ordre du jour)</w:t>
      </w:r>
      <w:bookmarkStart w:id="15" w:name="_Toc103001704"/>
      <w:bookmarkEnd w:id="15"/>
    </w:p>
    <w:p w14:paraId="493E7AE8" w14:textId="242BCB0C" w:rsidR="00BC189E" w:rsidRPr="00A47266" w:rsidRDefault="00BC189E" w:rsidP="00BC189E">
      <w:pPr>
        <w:pStyle w:val="H23G"/>
        <w:rPr>
          <w:szCs w:val="24"/>
          <w:lang w:val="fr-FR"/>
        </w:rPr>
      </w:pPr>
      <w:r w:rsidRPr="00A47266">
        <w:rPr>
          <w:lang w:val="fr-FR"/>
        </w:rPr>
        <w:tab/>
      </w:r>
      <w:r w:rsidRPr="00A47266">
        <w:rPr>
          <w:lang w:val="fr-FR"/>
        </w:rPr>
        <w:tab/>
        <w:t xml:space="preserve">Amendements aux observations concernant l’appendice 1 de l’annexe 2 paragraphe 4 du Manuel ATP : Positions des sondes de mesure de température au cours </w:t>
      </w:r>
      <w:r w:rsidRPr="00A47266">
        <w:rPr>
          <w:lang w:val="fr-FR"/>
        </w:rPr>
        <w:br/>
        <w:t>des transports</w:t>
      </w:r>
    </w:p>
    <w:p w14:paraId="7CFDF79C" w14:textId="7B8F68F4" w:rsidR="00BC189E" w:rsidRPr="00A47266" w:rsidRDefault="00BC189E" w:rsidP="00A47266">
      <w:pPr>
        <w:pStyle w:val="SingleTxtG"/>
        <w:ind w:left="2552" w:hanging="1418"/>
        <w:jc w:val="left"/>
        <w:rPr>
          <w:lang w:val="fr-FR"/>
        </w:rPr>
      </w:pPr>
      <w:r w:rsidRPr="00A47266">
        <w:rPr>
          <w:i/>
          <w:iCs/>
          <w:lang w:val="fr-FR"/>
        </w:rPr>
        <w:t>Document</w:t>
      </w:r>
      <w:r w:rsidR="00B7746B">
        <w:rPr>
          <w:i/>
          <w:iCs/>
          <w:lang w:val="fr-FR"/>
        </w:rPr>
        <w:t>(s)</w:t>
      </w:r>
      <w:r w:rsidRPr="00A47266">
        <w:rPr>
          <w:i/>
          <w:iCs/>
          <w:lang w:val="fr-FR"/>
        </w:rPr>
        <w:t> </w:t>
      </w:r>
      <w:r w:rsidRPr="00B7746B">
        <w:rPr>
          <w:lang w:val="fr-FR"/>
        </w:rPr>
        <w:t>:</w:t>
      </w:r>
      <w:r w:rsidRPr="00A47266">
        <w:rPr>
          <w:lang w:val="fr-FR"/>
        </w:rPr>
        <w:tab/>
      </w:r>
      <w:hyperlink r:id="rId50" w:history="1">
        <w:r w:rsidRPr="00A47266">
          <w:rPr>
            <w:rStyle w:val="Lienhypertexte"/>
            <w:color w:val="auto"/>
            <w:lang w:val="fr-FR"/>
          </w:rPr>
          <w:t>ECE/TRANS/WP.11/2023/10</w:t>
        </w:r>
      </w:hyperlink>
      <w:r w:rsidRPr="00A47266">
        <w:rPr>
          <w:lang w:val="fr-FR"/>
        </w:rPr>
        <w:t xml:space="preserve"> (France)</w:t>
      </w:r>
    </w:p>
    <w:p w14:paraId="36111A00" w14:textId="75980108" w:rsidR="00BC189E" w:rsidRPr="00B7746B" w:rsidRDefault="00BC189E" w:rsidP="00BC189E">
      <w:pPr>
        <w:pStyle w:val="SingleTxtG"/>
        <w:rPr>
          <w:spacing w:val="-1"/>
          <w:lang w:val="fr-FR"/>
        </w:rPr>
      </w:pPr>
      <w:r w:rsidRPr="00B7746B">
        <w:rPr>
          <w:spacing w:val="-1"/>
          <w:lang w:val="fr-FR"/>
        </w:rPr>
        <w:t>74.</w:t>
      </w:r>
      <w:r w:rsidRPr="00B7746B">
        <w:rPr>
          <w:spacing w:val="-1"/>
          <w:lang w:val="fr-FR"/>
        </w:rPr>
        <w:tab/>
        <w:t xml:space="preserve">Les participants sont convenus que le libellé du Manuel ATP n’était pas correct et que la proposition figurant dans le document </w:t>
      </w:r>
      <w:hyperlink r:id="rId51" w:history="1">
        <w:r w:rsidRPr="00B7746B">
          <w:rPr>
            <w:rStyle w:val="Lienhypertexte"/>
            <w:color w:val="auto"/>
            <w:spacing w:val="-1"/>
            <w:lang w:val="fr-FR"/>
          </w:rPr>
          <w:t>ECE/TRANS/WP.11/2023/10</w:t>
        </w:r>
      </w:hyperlink>
      <w:r w:rsidRPr="00B7746B">
        <w:rPr>
          <w:spacing w:val="-1"/>
          <w:lang w:val="fr-FR"/>
        </w:rPr>
        <w:t xml:space="preserve"> représentait mieux les pratiques actuelles, même si elle ne tenait pas compte de toutes les configurations possibles.</w:t>
      </w:r>
    </w:p>
    <w:p w14:paraId="491F556E" w14:textId="77777777" w:rsidR="00BC189E" w:rsidRPr="00A47266" w:rsidRDefault="00BC189E" w:rsidP="00BC189E">
      <w:pPr>
        <w:pStyle w:val="SingleTxtG"/>
        <w:rPr>
          <w:lang w:val="fr-FR"/>
        </w:rPr>
      </w:pPr>
      <w:r w:rsidRPr="00A47266">
        <w:rPr>
          <w:lang w:val="fr-FR"/>
        </w:rPr>
        <w:t>75.</w:t>
      </w:r>
      <w:r w:rsidRPr="00A47266">
        <w:rPr>
          <w:lang w:val="fr-FR"/>
        </w:rPr>
        <w:tab/>
        <w:t>Le WP.11 a décidé d’adopter la proposition tout en relevant qu’il existait, sur le marché, de nouveaux systèmes permettant d’ajuster le positionnement des sondes de mesure de température. Les participants sont convenus que le libellé pourrait être révisé à l’avenir (voir l’annexe III).</w:t>
      </w:r>
    </w:p>
    <w:p w14:paraId="521D3839" w14:textId="502EE7FA" w:rsidR="00BC189E" w:rsidRPr="00A47266" w:rsidRDefault="00BC189E" w:rsidP="00BC189E">
      <w:pPr>
        <w:pStyle w:val="HChG"/>
        <w:rPr>
          <w:lang w:val="fr-FR"/>
        </w:rPr>
      </w:pPr>
      <w:r w:rsidRPr="00A47266">
        <w:rPr>
          <w:lang w:val="fr-FR"/>
        </w:rPr>
        <w:tab/>
        <w:t>VIII.</w:t>
      </w:r>
      <w:r w:rsidRPr="00A47266">
        <w:rPr>
          <w:lang w:val="fr-FR"/>
        </w:rPr>
        <w:tab/>
        <w:t xml:space="preserve">Rapports des groupes de travail informels (point 7 </w:t>
      </w:r>
      <w:r w:rsidR="00B7746B">
        <w:rPr>
          <w:lang w:val="fr-FR"/>
        </w:rPr>
        <w:br/>
      </w:r>
      <w:r w:rsidRPr="00A47266">
        <w:rPr>
          <w:lang w:val="fr-FR"/>
        </w:rPr>
        <w:t>de l’ordre du jour)</w:t>
      </w:r>
      <w:bookmarkStart w:id="16" w:name="_Toc103001709"/>
      <w:bookmarkEnd w:id="16"/>
    </w:p>
    <w:p w14:paraId="4602C5B0" w14:textId="1EE0420C" w:rsidR="00BC189E" w:rsidRPr="00A47266" w:rsidRDefault="00BC189E" w:rsidP="00BC189E">
      <w:pPr>
        <w:pStyle w:val="SingleTxtG"/>
        <w:ind w:left="2552" w:hanging="1418"/>
        <w:jc w:val="left"/>
        <w:rPr>
          <w:lang w:val="fr-FR"/>
        </w:rPr>
      </w:pPr>
      <w:r w:rsidRPr="00A47266">
        <w:rPr>
          <w:i/>
          <w:iCs/>
          <w:lang w:val="fr-FR"/>
        </w:rPr>
        <w:t>Document</w:t>
      </w:r>
      <w:r w:rsidR="00B7746B">
        <w:rPr>
          <w:i/>
          <w:iCs/>
          <w:lang w:val="fr-FR"/>
        </w:rPr>
        <w:t>(s)</w:t>
      </w:r>
      <w:r w:rsidRPr="00A47266">
        <w:rPr>
          <w:i/>
          <w:iCs/>
          <w:lang w:val="fr-FR"/>
        </w:rPr>
        <w:t> </w:t>
      </w:r>
      <w:r w:rsidRPr="00B7746B">
        <w:rPr>
          <w:lang w:val="fr-FR"/>
        </w:rPr>
        <w:t>:</w:t>
      </w:r>
      <w:r w:rsidRPr="00A47266">
        <w:rPr>
          <w:lang w:val="fr-FR"/>
        </w:rPr>
        <w:tab/>
        <w:t xml:space="preserve">Document informel INF.13 (Pays-Bas, au nom du groupe de travail </w:t>
      </w:r>
      <w:r w:rsidRPr="00A47266">
        <w:rPr>
          <w:rStyle w:val="Lienhypertexte"/>
          <w:color w:val="auto"/>
          <w:lang w:val="fr-FR"/>
        </w:rPr>
        <w:t>informel</w:t>
      </w:r>
      <w:r w:rsidRPr="00A47266">
        <w:rPr>
          <w:lang w:val="fr-FR"/>
        </w:rPr>
        <w:t xml:space="preserve"> du système d’agrément)</w:t>
      </w:r>
    </w:p>
    <w:p w14:paraId="7366C8C0" w14:textId="5FB44ED1" w:rsidR="00BC189E" w:rsidRPr="00A47266" w:rsidRDefault="00BC189E" w:rsidP="00BC189E">
      <w:pPr>
        <w:pStyle w:val="SingleTxtG"/>
        <w:rPr>
          <w:lang w:val="fr-FR"/>
        </w:rPr>
      </w:pPr>
      <w:r w:rsidRPr="00A47266">
        <w:rPr>
          <w:lang w:val="fr-FR"/>
        </w:rPr>
        <w:t>76.</w:t>
      </w:r>
      <w:r w:rsidRPr="00A47266">
        <w:rPr>
          <w:lang w:val="fr-FR"/>
        </w:rPr>
        <w:tab/>
        <w:t>Le Président du groupe de travail informel a informé le WP.11 de l’état d’avancement des travaux, tel que présenté dans le document informel INF.13. Le mandat du groupe de travail informel a été prorogé d’une année afin de permettre la poursuite des travaux sur les thèmes suivants :</w:t>
      </w:r>
    </w:p>
    <w:p w14:paraId="49306975" w14:textId="1EF8CD16" w:rsidR="00BC189E" w:rsidRPr="00A47266" w:rsidRDefault="00BC189E" w:rsidP="00BC189E">
      <w:pPr>
        <w:pStyle w:val="SingleTxtG"/>
        <w:ind w:firstLine="567"/>
        <w:rPr>
          <w:lang w:val="fr-FR"/>
        </w:rPr>
      </w:pPr>
      <w:r w:rsidRPr="00A47266">
        <w:rPr>
          <w:lang w:val="fr-FR"/>
        </w:rPr>
        <w:t>a)</w:t>
      </w:r>
      <w:r w:rsidRPr="00A47266">
        <w:rPr>
          <w:lang w:val="fr-FR"/>
        </w:rPr>
        <w:tab/>
        <w:t>Entraînement électrique et refroidissement constant ;</w:t>
      </w:r>
    </w:p>
    <w:p w14:paraId="614A8325" w14:textId="4363664D" w:rsidR="00BC189E" w:rsidRPr="00A47266" w:rsidRDefault="00BC189E" w:rsidP="00BC189E">
      <w:pPr>
        <w:pStyle w:val="SingleTxtG"/>
        <w:ind w:firstLine="567"/>
        <w:rPr>
          <w:lang w:val="fr-FR"/>
        </w:rPr>
      </w:pPr>
      <w:r w:rsidRPr="00A47266">
        <w:rPr>
          <w:lang w:val="fr-FR"/>
        </w:rPr>
        <w:t>b)</w:t>
      </w:r>
      <w:r w:rsidRPr="00A47266">
        <w:rPr>
          <w:lang w:val="fr-FR"/>
        </w:rPr>
        <w:tab/>
        <w:t>Marquage des équipements avec la lettre « X » ;</w:t>
      </w:r>
    </w:p>
    <w:p w14:paraId="029613E3" w14:textId="7632D452" w:rsidR="00BC189E" w:rsidRPr="00A47266" w:rsidRDefault="00BC189E" w:rsidP="00BC189E">
      <w:pPr>
        <w:pStyle w:val="SingleTxtG"/>
        <w:ind w:firstLine="567"/>
        <w:rPr>
          <w:lang w:val="fr-FR"/>
        </w:rPr>
      </w:pPr>
      <w:r w:rsidRPr="00A47266">
        <w:rPr>
          <w:lang w:val="fr-FR"/>
        </w:rPr>
        <w:t>c)</w:t>
      </w:r>
      <w:r w:rsidRPr="00A47266">
        <w:rPr>
          <w:lang w:val="fr-FR"/>
        </w:rPr>
        <w:tab/>
        <w:t>Enregistreurs de température ;</w:t>
      </w:r>
    </w:p>
    <w:p w14:paraId="52859F17" w14:textId="310184EC" w:rsidR="00BC189E" w:rsidRPr="00A47266" w:rsidRDefault="00BC189E" w:rsidP="00BC189E">
      <w:pPr>
        <w:pStyle w:val="SingleTxtG"/>
        <w:ind w:firstLine="567"/>
        <w:rPr>
          <w:lang w:val="fr-FR"/>
        </w:rPr>
      </w:pPr>
      <w:r w:rsidRPr="00A47266">
        <w:rPr>
          <w:lang w:val="fr-FR"/>
        </w:rPr>
        <w:t>d)</w:t>
      </w:r>
      <w:r w:rsidRPr="00A47266">
        <w:rPr>
          <w:lang w:val="fr-FR"/>
        </w:rPr>
        <w:tab/>
        <w:t>Glossaire de termes techniques pour faciliter la traduction ;</w:t>
      </w:r>
    </w:p>
    <w:p w14:paraId="6B3514F7" w14:textId="385019C2" w:rsidR="00BC189E" w:rsidRPr="00A47266" w:rsidRDefault="00BC189E" w:rsidP="00BC189E">
      <w:pPr>
        <w:pStyle w:val="SingleTxtG"/>
        <w:ind w:firstLine="567"/>
        <w:rPr>
          <w:lang w:val="fr-FR"/>
        </w:rPr>
      </w:pPr>
      <w:r w:rsidRPr="00A47266">
        <w:rPr>
          <w:lang w:val="fr-FR"/>
        </w:rPr>
        <w:t>e)</w:t>
      </w:r>
      <w:r w:rsidRPr="00A47266">
        <w:rPr>
          <w:lang w:val="fr-FR"/>
        </w:rPr>
        <w:tab/>
        <w:t>Réorganisation de l’annexe 1 de l’ATP ;</w:t>
      </w:r>
    </w:p>
    <w:p w14:paraId="6E722FE1" w14:textId="2F2ADAD6" w:rsidR="00BC189E" w:rsidRPr="00A47266" w:rsidRDefault="00BC189E" w:rsidP="00BC189E">
      <w:pPr>
        <w:pStyle w:val="SingleTxtG"/>
        <w:ind w:firstLine="567"/>
        <w:rPr>
          <w:lang w:val="fr-FR"/>
        </w:rPr>
      </w:pPr>
      <w:r w:rsidRPr="00A47266">
        <w:rPr>
          <w:lang w:val="fr-FR"/>
        </w:rPr>
        <w:t>f)</w:t>
      </w:r>
      <w:r w:rsidRPr="00A47266">
        <w:rPr>
          <w:lang w:val="fr-FR"/>
        </w:rPr>
        <w:tab/>
        <w:t>Essai d’efficacité pour les engins non autonomes ;</w:t>
      </w:r>
    </w:p>
    <w:p w14:paraId="2DA3B729" w14:textId="77777777" w:rsidR="00BC189E" w:rsidRPr="00A47266" w:rsidRDefault="00BC189E" w:rsidP="00BC189E">
      <w:pPr>
        <w:pStyle w:val="SingleTxtG"/>
        <w:ind w:firstLine="567"/>
        <w:rPr>
          <w:lang w:val="fr-FR"/>
        </w:rPr>
      </w:pPr>
      <w:r w:rsidRPr="00A47266">
        <w:rPr>
          <w:lang w:val="fr-FR"/>
        </w:rPr>
        <w:t>g)</w:t>
      </w:r>
      <w:r w:rsidRPr="00A47266">
        <w:rPr>
          <w:lang w:val="fr-FR"/>
        </w:rPr>
        <w:tab/>
        <w:t>Questions environnementales.</w:t>
      </w:r>
    </w:p>
    <w:p w14:paraId="7CB67370" w14:textId="77777777" w:rsidR="00BC189E" w:rsidRPr="00A47266" w:rsidRDefault="00BC189E" w:rsidP="00BC189E">
      <w:pPr>
        <w:pStyle w:val="SingleTxtG"/>
        <w:rPr>
          <w:lang w:val="fr-FR"/>
        </w:rPr>
      </w:pPr>
      <w:r w:rsidRPr="00A47266">
        <w:rPr>
          <w:lang w:val="fr-FR"/>
        </w:rPr>
        <w:t>77.</w:t>
      </w:r>
      <w:r w:rsidRPr="00A47266">
        <w:rPr>
          <w:lang w:val="fr-FR"/>
        </w:rPr>
        <w:tab/>
        <w:t>Le WP.11 a remercié le groupe de travail informel pour l’excellent travail qu’il avait accompli, lequel facilitait les discussions en séance plénière et permettait d’améliorer la qualité des propositions d’amendements à l’ATP.</w:t>
      </w:r>
    </w:p>
    <w:p w14:paraId="7E777DD4" w14:textId="77777777" w:rsidR="00BC189E" w:rsidRPr="00A47266" w:rsidRDefault="00BC189E" w:rsidP="00BC189E">
      <w:pPr>
        <w:pStyle w:val="HChG"/>
        <w:rPr>
          <w:lang w:val="fr-FR"/>
        </w:rPr>
      </w:pPr>
      <w:r w:rsidRPr="00A47266">
        <w:rPr>
          <w:lang w:val="fr-FR"/>
        </w:rPr>
        <w:lastRenderedPageBreak/>
        <w:tab/>
        <w:t>IX.</w:t>
      </w:r>
      <w:r w:rsidRPr="00A47266">
        <w:rPr>
          <w:lang w:val="fr-FR"/>
        </w:rPr>
        <w:tab/>
        <w:t>Portée de l’ATP (point 8 de l’ordre du jour)</w:t>
      </w:r>
      <w:bookmarkStart w:id="17" w:name="_Toc103001711"/>
      <w:bookmarkEnd w:id="17"/>
    </w:p>
    <w:p w14:paraId="49232ED1" w14:textId="62D17F28" w:rsidR="00BC189E" w:rsidRPr="00A47266" w:rsidRDefault="00BC189E" w:rsidP="00A47266">
      <w:pPr>
        <w:pStyle w:val="SingleTxtG"/>
        <w:ind w:left="2552" w:hanging="1418"/>
        <w:jc w:val="left"/>
        <w:rPr>
          <w:lang w:val="fr-FR"/>
        </w:rPr>
      </w:pPr>
      <w:r w:rsidRPr="00A47266">
        <w:rPr>
          <w:i/>
          <w:iCs/>
          <w:lang w:val="fr-FR"/>
        </w:rPr>
        <w:t>Document</w:t>
      </w:r>
      <w:r w:rsidR="0082163A">
        <w:rPr>
          <w:i/>
          <w:iCs/>
          <w:lang w:val="fr-FR"/>
        </w:rPr>
        <w:t>(s)</w:t>
      </w:r>
      <w:r w:rsidRPr="00A47266">
        <w:rPr>
          <w:lang w:val="fr-FR"/>
        </w:rPr>
        <w:t> :</w:t>
      </w:r>
      <w:r w:rsidRPr="00A47266">
        <w:rPr>
          <w:lang w:val="fr-FR"/>
        </w:rPr>
        <w:tab/>
      </w:r>
      <w:hyperlink r:id="rId52" w:history="1">
        <w:r w:rsidRPr="00A47266">
          <w:rPr>
            <w:rStyle w:val="Lienhypertexte"/>
            <w:color w:val="auto"/>
            <w:lang w:val="fr-FR"/>
          </w:rPr>
          <w:t>ECE/TRANS/WP.11/2023/13</w:t>
        </w:r>
      </w:hyperlink>
      <w:r w:rsidRPr="00A47266">
        <w:rPr>
          <w:lang w:val="fr-FR"/>
        </w:rPr>
        <w:t xml:space="preserve"> (Transfrigoroute International)</w:t>
      </w:r>
    </w:p>
    <w:p w14:paraId="65C7EB0E" w14:textId="77777777" w:rsidR="00BC189E" w:rsidRPr="00A47266" w:rsidRDefault="00BC189E" w:rsidP="00BC189E">
      <w:pPr>
        <w:pStyle w:val="H23G"/>
        <w:rPr>
          <w:lang w:val="fr-FR"/>
        </w:rPr>
      </w:pPr>
      <w:r w:rsidRPr="00A47266">
        <w:rPr>
          <w:lang w:val="fr-FR"/>
        </w:rPr>
        <w:tab/>
        <w:t>1.</w:t>
      </w:r>
      <w:r w:rsidRPr="00A47266">
        <w:rPr>
          <w:lang w:val="fr-FR"/>
        </w:rPr>
        <w:tab/>
        <w:t>Portée de l’ATP</w:t>
      </w:r>
    </w:p>
    <w:p w14:paraId="41915DD7" w14:textId="77777777" w:rsidR="00BC189E" w:rsidRPr="00A47266" w:rsidRDefault="00BC189E" w:rsidP="00BC189E">
      <w:pPr>
        <w:pStyle w:val="H23G"/>
        <w:rPr>
          <w:lang w:val="fr-FR"/>
        </w:rPr>
      </w:pPr>
      <w:r w:rsidRPr="00A47266">
        <w:rPr>
          <w:lang w:val="fr-FR"/>
        </w:rPr>
        <w:tab/>
      </w:r>
      <w:r w:rsidRPr="00A47266">
        <w:rPr>
          <w:lang w:val="fr-FR"/>
        </w:rPr>
        <w:tab/>
      </w:r>
      <w:r w:rsidRPr="00A47266">
        <w:rPr>
          <w:lang w:val="fr-FR"/>
        </w:rPr>
        <w:tab/>
        <w:t>Durée de fonctionnement minimale</w:t>
      </w:r>
    </w:p>
    <w:p w14:paraId="00C9CE36" w14:textId="77777777" w:rsidR="00BC189E" w:rsidRPr="00A47266" w:rsidRDefault="00BC189E" w:rsidP="00BC189E">
      <w:pPr>
        <w:pStyle w:val="SingleTxtG"/>
        <w:rPr>
          <w:lang w:val="fr-FR"/>
        </w:rPr>
      </w:pPr>
      <w:r w:rsidRPr="00A47266">
        <w:rPr>
          <w:lang w:val="fr-FR"/>
        </w:rPr>
        <w:t>78.</w:t>
      </w:r>
      <w:r w:rsidRPr="00A47266">
        <w:rPr>
          <w:lang w:val="fr-FR"/>
        </w:rPr>
        <w:tab/>
        <w:t>Il a été expliqué que pour prescrire une durée de fonctionnement minimale, il fallait que les conditions dans lesquelles cette durée minimale pouvait être atteinte soient précisées.</w:t>
      </w:r>
    </w:p>
    <w:p w14:paraId="58F89D92" w14:textId="77777777" w:rsidR="00BC189E" w:rsidRPr="00A47266" w:rsidRDefault="00BC189E" w:rsidP="00BC189E">
      <w:pPr>
        <w:pStyle w:val="SingleTxtG"/>
        <w:rPr>
          <w:lang w:val="fr-FR"/>
        </w:rPr>
      </w:pPr>
      <w:r w:rsidRPr="00A47266">
        <w:rPr>
          <w:lang w:val="fr-FR"/>
        </w:rPr>
        <w:t>79.</w:t>
      </w:r>
      <w:r w:rsidRPr="00A47266">
        <w:rPr>
          <w:lang w:val="fr-FR"/>
        </w:rPr>
        <w:tab/>
        <w:t>Le représentant de Transfrigoroute International a expliqué qu’il fallait distinguer les prescriptions relatives aux essais et les prescriptions relatives au fonctionnement normal, et que les dispositions existantes de l’ATP pouvaient convenir en ce qui concerne les essais.</w:t>
      </w:r>
    </w:p>
    <w:p w14:paraId="54C1CD78" w14:textId="77777777" w:rsidR="00BC189E" w:rsidRPr="00A47266" w:rsidRDefault="00BC189E" w:rsidP="00BC189E">
      <w:pPr>
        <w:pStyle w:val="SingleTxtG"/>
        <w:rPr>
          <w:lang w:val="fr-FR"/>
        </w:rPr>
      </w:pPr>
      <w:r w:rsidRPr="00A47266">
        <w:rPr>
          <w:lang w:val="fr-FR"/>
        </w:rPr>
        <w:t>80.</w:t>
      </w:r>
      <w:r w:rsidRPr="00A47266">
        <w:rPr>
          <w:lang w:val="fr-FR"/>
        </w:rPr>
        <w:tab/>
        <w:t>En conclusion, il pourrait être très difficile de déterminer la durée minimale pour un fonctionnement normal et il a donc été décidé de ne pas inclure cette notion dans l’ATP.</w:t>
      </w:r>
    </w:p>
    <w:p w14:paraId="29F45B52" w14:textId="77777777" w:rsidR="00BC189E" w:rsidRPr="00A47266" w:rsidRDefault="00BC189E" w:rsidP="00BC189E">
      <w:pPr>
        <w:pStyle w:val="H23G"/>
        <w:rPr>
          <w:lang w:val="fr-FR"/>
        </w:rPr>
      </w:pPr>
      <w:r w:rsidRPr="00A47266">
        <w:rPr>
          <w:lang w:val="fr-FR"/>
        </w:rPr>
        <w:tab/>
      </w:r>
      <w:r w:rsidRPr="00A47266">
        <w:rPr>
          <w:lang w:val="fr-FR"/>
        </w:rPr>
        <w:tab/>
        <w:t>Définition du terme « engin »</w:t>
      </w:r>
    </w:p>
    <w:p w14:paraId="1E6033C1" w14:textId="77777777" w:rsidR="00BC189E" w:rsidRPr="00A47266" w:rsidRDefault="00BC189E" w:rsidP="00BC189E">
      <w:pPr>
        <w:pStyle w:val="SingleTxtG"/>
        <w:rPr>
          <w:lang w:val="fr-FR"/>
        </w:rPr>
      </w:pPr>
      <w:r w:rsidRPr="00A47266">
        <w:rPr>
          <w:lang w:val="fr-FR"/>
        </w:rPr>
        <w:t>81.</w:t>
      </w:r>
      <w:r w:rsidRPr="00A47266">
        <w:rPr>
          <w:lang w:val="fr-FR"/>
        </w:rPr>
        <w:tab/>
        <w:t>Les avis étaient partagés sur la question de savoir si le terme « engins spéciaux » était clairement défini ou du moins expliqué dans les dispositions actuelles de l’ATP. La plupart des délégations qui ont pris la parole étaient en faveur de la définition proposée dans l’interprétation 2 au paragraphe 10 du document, tandis que d’autres étaient plus en accord avec l’interprétation 1 ou étaient d’avis que les deux définitions posaient problème et que des éclaircissements supplémentaires étaient nécessaires.</w:t>
      </w:r>
    </w:p>
    <w:p w14:paraId="6BAE3A38" w14:textId="77777777" w:rsidR="00BC189E" w:rsidRPr="00A47266" w:rsidRDefault="00BC189E" w:rsidP="00BC189E">
      <w:pPr>
        <w:pStyle w:val="SingleTxtG"/>
        <w:rPr>
          <w:lang w:val="fr-FR"/>
        </w:rPr>
      </w:pPr>
      <w:r w:rsidRPr="00A47266">
        <w:rPr>
          <w:lang w:val="fr-FR"/>
        </w:rPr>
        <w:t>82.</w:t>
      </w:r>
      <w:r w:rsidRPr="00A47266">
        <w:rPr>
          <w:lang w:val="fr-FR"/>
        </w:rPr>
        <w:tab/>
        <w:t>Le Groupe de travail a conclu qu’il avait besoin de plus de temps pour étudier les propositions et convenir d’une définition du terme « engins spéciaux » afin de clore le sujet. On a également insisté sur l’importance de créer une section dédiée aux définitions dans l’ATP.</w:t>
      </w:r>
    </w:p>
    <w:p w14:paraId="15FC5EA6" w14:textId="77777777" w:rsidR="00BC189E" w:rsidRPr="00A47266" w:rsidRDefault="00BC189E" w:rsidP="00BC189E">
      <w:pPr>
        <w:pStyle w:val="SingleTxtG"/>
        <w:rPr>
          <w:lang w:val="fr-FR"/>
        </w:rPr>
      </w:pPr>
      <w:r w:rsidRPr="00A47266">
        <w:rPr>
          <w:lang w:val="fr-FR"/>
        </w:rPr>
        <w:t>83.</w:t>
      </w:r>
      <w:r w:rsidRPr="00A47266">
        <w:rPr>
          <w:lang w:val="fr-FR"/>
        </w:rPr>
        <w:tab/>
        <w:t>Le représentant de Transfrigoroute International a proposé de présenter, à la session suivante, des exemples concrets d’engins spéciaux ainsi que les procédures que suivraient les autorités compétentes pour les agréer dans chaque cas. Les participants se sont accordés pour dire que cet exercice pourrait être très utile en ce qu’il permettrait de mettre en commun et d’harmoniser les pratiques et d’identifier le niveau de risque que chaque autorité compétente était prête à prendre dans le cadre du processus d’agrément.</w:t>
      </w:r>
    </w:p>
    <w:p w14:paraId="0DC7B3CA" w14:textId="77777777" w:rsidR="00BC189E" w:rsidRPr="00A47266" w:rsidRDefault="00BC189E" w:rsidP="00BC189E">
      <w:pPr>
        <w:pStyle w:val="H23G"/>
        <w:rPr>
          <w:lang w:val="fr-FR"/>
        </w:rPr>
      </w:pPr>
      <w:r w:rsidRPr="00A47266">
        <w:rPr>
          <w:lang w:val="fr-FR"/>
        </w:rPr>
        <w:tab/>
      </w:r>
      <w:r w:rsidRPr="00A47266">
        <w:rPr>
          <w:lang w:val="fr-FR"/>
        </w:rPr>
        <w:tab/>
        <w:t>Conclusions préliminaires</w:t>
      </w:r>
    </w:p>
    <w:p w14:paraId="414909AD" w14:textId="77777777" w:rsidR="00BC189E" w:rsidRPr="00A47266" w:rsidRDefault="00BC189E" w:rsidP="00BC189E">
      <w:pPr>
        <w:pStyle w:val="SingleTxtG"/>
        <w:rPr>
          <w:lang w:val="fr-FR"/>
        </w:rPr>
      </w:pPr>
      <w:r w:rsidRPr="00A47266">
        <w:rPr>
          <w:lang w:val="fr-FR"/>
        </w:rPr>
        <w:t>84.</w:t>
      </w:r>
      <w:r w:rsidRPr="00A47266">
        <w:rPr>
          <w:lang w:val="fr-FR"/>
        </w:rPr>
        <w:tab/>
        <w:t>Il a été précisé que ce n’étaient pas seulement les sources d’énergie qui évoluaient, mais aussi les méthodes de gestion de l’énergie dans les véhicules. Il a été proposé d’adopter une approche globale en vue d’inclure les véhicules à moteur électrique dans l’ATP, en définissant une catégorie distincte et en énonçant les prescriptions applicables à ce type de véhicule au lieu de modifier les dispositions existantes.</w:t>
      </w:r>
    </w:p>
    <w:p w14:paraId="2A04FBA7" w14:textId="77777777" w:rsidR="00BC189E" w:rsidRPr="00A47266" w:rsidRDefault="00BC189E" w:rsidP="00BC189E">
      <w:pPr>
        <w:pStyle w:val="SingleTxtG"/>
        <w:rPr>
          <w:lang w:val="fr-FR"/>
        </w:rPr>
      </w:pPr>
      <w:r w:rsidRPr="00A47266">
        <w:rPr>
          <w:lang w:val="fr-FR"/>
        </w:rPr>
        <w:t>85.</w:t>
      </w:r>
      <w:r w:rsidRPr="00A47266">
        <w:rPr>
          <w:lang w:val="fr-FR"/>
        </w:rPr>
        <w:tab/>
        <w:t>Il a également été suggéré, pour faciliter la mise à l’essai de toutes les combinaisons possibles de sources d’énergie, d’utiliser les informations fournies par le constructeur en combinaison avec un outil de dimensionnement.</w:t>
      </w:r>
    </w:p>
    <w:p w14:paraId="1C370C4A" w14:textId="77777777" w:rsidR="00BC189E" w:rsidRPr="00A47266" w:rsidRDefault="00BC189E" w:rsidP="00BC189E">
      <w:pPr>
        <w:pStyle w:val="H23G"/>
        <w:rPr>
          <w:lang w:val="fr-FR"/>
        </w:rPr>
      </w:pPr>
      <w:r w:rsidRPr="00A47266">
        <w:rPr>
          <w:lang w:val="fr-FR"/>
        </w:rPr>
        <w:tab/>
        <w:t>2.</w:t>
      </w:r>
      <w:r w:rsidRPr="00A47266">
        <w:rPr>
          <w:lang w:val="fr-FR"/>
        </w:rPr>
        <w:tab/>
        <w:t>L’avenir de l’ATP</w:t>
      </w:r>
      <w:bookmarkStart w:id="18" w:name="_Toc103001712"/>
      <w:bookmarkEnd w:id="18"/>
    </w:p>
    <w:p w14:paraId="06DF2577" w14:textId="7BBE2726" w:rsidR="00BC189E" w:rsidRPr="00A47266" w:rsidRDefault="00BC189E" w:rsidP="00BC189E">
      <w:pPr>
        <w:pStyle w:val="SingleTxtG"/>
        <w:rPr>
          <w:lang w:val="fr-FR"/>
        </w:rPr>
      </w:pPr>
      <w:r w:rsidRPr="00A47266">
        <w:rPr>
          <w:lang w:val="fr-FR"/>
        </w:rPr>
        <w:t>86.</w:t>
      </w:r>
      <w:r w:rsidRPr="00A47266">
        <w:rPr>
          <w:lang w:val="fr-FR"/>
        </w:rPr>
        <w:tab/>
        <w:t xml:space="preserve">Le plan par étapes concernant l’adhésion à l’ATP et l’application de celui-ci tel qu’établi par le projet EuroMed de transports urbains, ferroviaires et routiers avec des contributions du secrétariat et des présidents du Groupe de travail a été publié et peut être consulté sur le site Web de la CEE à l’adresse suivante : </w:t>
      </w:r>
      <w:hyperlink r:id="rId53" w:history="1">
        <w:r w:rsidR="00483266" w:rsidRPr="008C1FA1">
          <w:rPr>
            <w:rStyle w:val="Lienhypertexte"/>
            <w:lang w:val="fr-FR"/>
          </w:rPr>
          <w:t>https://unece.org/road-map-accession-and-implementation-atp</w:t>
        </w:r>
      </w:hyperlink>
      <w:r w:rsidRPr="00A47266">
        <w:rPr>
          <w:lang w:val="fr-FR"/>
        </w:rPr>
        <w:t>.</w:t>
      </w:r>
    </w:p>
    <w:p w14:paraId="39ACEAA5" w14:textId="77777777" w:rsidR="00BC189E" w:rsidRPr="00A47266" w:rsidRDefault="00BC189E" w:rsidP="00BC189E">
      <w:pPr>
        <w:pStyle w:val="HChG"/>
        <w:rPr>
          <w:lang w:val="fr-FR"/>
        </w:rPr>
      </w:pPr>
      <w:r w:rsidRPr="00A47266">
        <w:rPr>
          <w:lang w:val="fr-FR"/>
        </w:rPr>
        <w:lastRenderedPageBreak/>
        <w:tab/>
        <w:t>X.</w:t>
      </w:r>
      <w:r w:rsidRPr="00A47266">
        <w:rPr>
          <w:lang w:val="fr-FR"/>
        </w:rPr>
        <w:tab/>
        <w:t>Étiquetage énergétique, fluides frigorigènes et agents d’expansion (point 9 de l’ordre du jour)</w:t>
      </w:r>
      <w:bookmarkStart w:id="19" w:name="_Toc103001713"/>
      <w:bookmarkEnd w:id="19"/>
    </w:p>
    <w:p w14:paraId="39B2A06C" w14:textId="77777777" w:rsidR="00BC189E" w:rsidRPr="00A47266" w:rsidRDefault="00BC189E" w:rsidP="00BC189E">
      <w:pPr>
        <w:pStyle w:val="SingleTxtG"/>
        <w:rPr>
          <w:lang w:val="fr-FR"/>
        </w:rPr>
      </w:pPr>
      <w:r w:rsidRPr="00A47266">
        <w:rPr>
          <w:lang w:val="fr-FR"/>
        </w:rPr>
        <w:t>87.</w:t>
      </w:r>
      <w:r w:rsidRPr="00A47266">
        <w:rPr>
          <w:lang w:val="fr-FR"/>
        </w:rPr>
        <w:tab/>
        <w:t>Aucun document n’ayant été soumis au titre de ce point de l’ordre du jour, la question n’a pas été abordée.</w:t>
      </w:r>
    </w:p>
    <w:p w14:paraId="14C118F7" w14:textId="77777777" w:rsidR="00BC189E" w:rsidRPr="00A47266" w:rsidRDefault="00BC189E" w:rsidP="00BC189E">
      <w:pPr>
        <w:pStyle w:val="HChG"/>
        <w:rPr>
          <w:lang w:val="fr-FR"/>
        </w:rPr>
      </w:pPr>
      <w:r w:rsidRPr="00A47266">
        <w:rPr>
          <w:lang w:val="fr-FR"/>
        </w:rPr>
        <w:tab/>
        <w:t>XI.</w:t>
      </w:r>
      <w:r w:rsidRPr="00A47266">
        <w:rPr>
          <w:lang w:val="fr-FR"/>
        </w:rPr>
        <w:tab/>
        <w:t>Programme de travail (point 10 de l’ordre du jour)</w:t>
      </w:r>
      <w:bookmarkStart w:id="20" w:name="_Toc103001714"/>
      <w:bookmarkEnd w:id="20"/>
    </w:p>
    <w:p w14:paraId="4EE78B61" w14:textId="77777777" w:rsidR="00BC189E" w:rsidRPr="00A47266" w:rsidRDefault="00BC189E" w:rsidP="00BC189E">
      <w:pPr>
        <w:pStyle w:val="H23G"/>
        <w:jc w:val="both"/>
        <w:rPr>
          <w:lang w:val="fr-FR"/>
        </w:rPr>
      </w:pPr>
      <w:r w:rsidRPr="00A47266">
        <w:rPr>
          <w:lang w:val="fr-FR"/>
        </w:rPr>
        <w:tab/>
      </w:r>
      <w:r w:rsidRPr="00A47266">
        <w:rPr>
          <w:lang w:val="fr-FR"/>
        </w:rPr>
        <w:tab/>
      </w:r>
      <w:r w:rsidRPr="00A47266">
        <w:rPr>
          <w:bCs/>
          <w:lang w:val="fr-FR"/>
        </w:rPr>
        <w:t>Dates de la quatre-vingt-unième session</w:t>
      </w:r>
    </w:p>
    <w:p w14:paraId="23DAE54D" w14:textId="77777777" w:rsidR="00BC189E" w:rsidRPr="00A47266" w:rsidRDefault="00BC189E" w:rsidP="00BC189E">
      <w:pPr>
        <w:pStyle w:val="SingleTxtG"/>
        <w:rPr>
          <w:lang w:val="fr-FR"/>
        </w:rPr>
      </w:pPr>
      <w:r w:rsidRPr="00A47266">
        <w:rPr>
          <w:lang w:val="fr-FR"/>
        </w:rPr>
        <w:t>88.</w:t>
      </w:r>
      <w:r w:rsidRPr="00A47266">
        <w:rPr>
          <w:lang w:val="fr-FR"/>
        </w:rPr>
        <w:tab/>
        <w:t>Les dates du 29 octobre au 1</w:t>
      </w:r>
      <w:r w:rsidRPr="00A47266">
        <w:rPr>
          <w:vertAlign w:val="superscript"/>
          <w:lang w:val="fr-FR"/>
        </w:rPr>
        <w:t>er</w:t>
      </w:r>
      <w:r w:rsidRPr="00A47266">
        <w:rPr>
          <w:lang w:val="fr-FR"/>
        </w:rPr>
        <w:t> novembre 2024 (mardi à vendredi) ont été retenues pour la quatre-vingt-unième session du Groupe de travail. La date limite pour la soumission des documents est le 2 août 2024.</w:t>
      </w:r>
    </w:p>
    <w:p w14:paraId="1F9B8561" w14:textId="77777777" w:rsidR="00BC189E" w:rsidRPr="00A47266" w:rsidRDefault="00BC189E" w:rsidP="00BC189E">
      <w:pPr>
        <w:pStyle w:val="HChG"/>
        <w:rPr>
          <w:lang w:val="fr-FR"/>
        </w:rPr>
      </w:pPr>
      <w:r w:rsidRPr="00A47266">
        <w:rPr>
          <w:lang w:val="fr-FR"/>
        </w:rPr>
        <w:tab/>
        <w:t>XII.</w:t>
      </w:r>
      <w:r w:rsidRPr="00A47266">
        <w:rPr>
          <w:lang w:val="fr-FR"/>
        </w:rPr>
        <w:tab/>
        <w:t>Élection du Bureau (point 11 de l’ordre du jour)</w:t>
      </w:r>
    </w:p>
    <w:p w14:paraId="2C589BE1" w14:textId="01299190" w:rsidR="00BC189E" w:rsidRPr="00A47266" w:rsidRDefault="00BC189E" w:rsidP="00BC189E">
      <w:pPr>
        <w:pStyle w:val="SingleTxtG"/>
        <w:rPr>
          <w:lang w:val="fr-FR"/>
        </w:rPr>
      </w:pPr>
      <w:r w:rsidRPr="00A47266">
        <w:rPr>
          <w:lang w:val="fr-FR"/>
        </w:rPr>
        <w:t>89.</w:t>
      </w:r>
      <w:r w:rsidRPr="00A47266">
        <w:rPr>
          <w:lang w:val="fr-FR"/>
        </w:rPr>
        <w:tab/>
        <w:t>Le Groupe de travail a élu M. K. de Putter (Pays-Bas) à la présidence et M. O</w:t>
      </w:r>
      <w:r w:rsidR="0082163A">
        <w:rPr>
          <w:lang w:val="fr-FR"/>
        </w:rPr>
        <w:t xml:space="preserve">. </w:t>
      </w:r>
      <w:r w:rsidRPr="00A47266">
        <w:rPr>
          <w:lang w:val="fr-FR"/>
        </w:rPr>
        <w:t>Valet (France) à la vice-présidence de sa session de 2024, par acclamation. Il a remercié le Bureau et le secrétariat de leur travail.</w:t>
      </w:r>
    </w:p>
    <w:p w14:paraId="5E60BEB5" w14:textId="77777777" w:rsidR="00BC189E" w:rsidRPr="00A47266" w:rsidRDefault="00BC189E" w:rsidP="00BC189E">
      <w:pPr>
        <w:pStyle w:val="HChG"/>
        <w:rPr>
          <w:b w:val="0"/>
          <w:bCs/>
          <w:lang w:val="fr-FR"/>
        </w:rPr>
      </w:pPr>
      <w:r w:rsidRPr="00A47266">
        <w:rPr>
          <w:lang w:val="fr-FR"/>
        </w:rPr>
        <w:tab/>
        <w:t>XIII.</w:t>
      </w:r>
      <w:r w:rsidRPr="00A47266">
        <w:rPr>
          <w:lang w:val="fr-FR"/>
        </w:rPr>
        <w:tab/>
        <w:t>Questions diverses (point 12 de l’ordre du jour)</w:t>
      </w:r>
      <w:bookmarkStart w:id="21" w:name="_Toc103001717"/>
      <w:bookmarkEnd w:id="21"/>
    </w:p>
    <w:p w14:paraId="408119E5" w14:textId="383BF919" w:rsidR="00BC189E" w:rsidRPr="00A47266" w:rsidRDefault="00BC189E" w:rsidP="00A47266">
      <w:pPr>
        <w:pStyle w:val="SingleTxtG"/>
        <w:ind w:left="2552" w:hanging="1418"/>
        <w:jc w:val="left"/>
        <w:rPr>
          <w:lang w:val="fr-FR"/>
        </w:rPr>
      </w:pPr>
      <w:r w:rsidRPr="00A47266">
        <w:rPr>
          <w:i/>
          <w:iCs/>
          <w:lang w:val="fr-FR"/>
        </w:rPr>
        <w:t>Document</w:t>
      </w:r>
      <w:r w:rsidR="0082163A">
        <w:rPr>
          <w:i/>
          <w:iCs/>
          <w:lang w:val="fr-FR"/>
        </w:rPr>
        <w:t>(s)</w:t>
      </w:r>
      <w:r w:rsidRPr="00A47266">
        <w:rPr>
          <w:i/>
          <w:iCs/>
          <w:lang w:val="fr-FR"/>
        </w:rPr>
        <w:t> </w:t>
      </w:r>
      <w:r w:rsidRPr="0082163A">
        <w:rPr>
          <w:lang w:val="fr-FR"/>
        </w:rPr>
        <w:t>:</w:t>
      </w:r>
      <w:r w:rsidRPr="00A47266">
        <w:rPr>
          <w:lang w:val="fr-FR"/>
        </w:rPr>
        <w:tab/>
      </w:r>
      <w:r w:rsidRPr="00A47266">
        <w:rPr>
          <w:rStyle w:val="Lienhypertexte"/>
          <w:color w:val="auto"/>
          <w:lang w:val="fr-FR"/>
        </w:rPr>
        <w:t>Document</w:t>
      </w:r>
      <w:r w:rsidRPr="00A47266">
        <w:rPr>
          <w:lang w:val="fr-FR"/>
        </w:rPr>
        <w:t xml:space="preserve"> informel INF.19 (Président du groupe de travail informel des dispositifs à températures multiples)</w:t>
      </w:r>
    </w:p>
    <w:p w14:paraId="33CB2E80" w14:textId="649B5E0E" w:rsidR="00BC189E" w:rsidRPr="00A47266" w:rsidRDefault="00BC189E" w:rsidP="00BC189E">
      <w:pPr>
        <w:pStyle w:val="SingleTxtG"/>
        <w:rPr>
          <w:lang w:val="fr-FR"/>
        </w:rPr>
      </w:pPr>
      <w:r w:rsidRPr="00A47266">
        <w:rPr>
          <w:lang w:val="fr-FR"/>
        </w:rPr>
        <w:t>90.</w:t>
      </w:r>
      <w:r w:rsidRPr="00A47266">
        <w:rPr>
          <w:lang w:val="fr-FR"/>
        </w:rPr>
        <w:tab/>
        <w:t>Le Groupe de travail a adopté le mandat proposé en vue de la création d’un groupe de travail informel chargé de la procédure de vérification de l’efficacité des dispositifs thermiques à températures multiples des engins à compartiments multiples, comme suit :</w:t>
      </w:r>
    </w:p>
    <w:p w14:paraId="14C3A2D8" w14:textId="070CE976" w:rsidR="00BC189E" w:rsidRPr="00A47266" w:rsidRDefault="00BC189E" w:rsidP="00BC189E">
      <w:pPr>
        <w:pStyle w:val="SingleTxtG"/>
        <w:ind w:left="1701" w:firstLine="567"/>
        <w:rPr>
          <w:i/>
          <w:iCs/>
          <w:lang w:val="fr-FR"/>
        </w:rPr>
      </w:pPr>
      <w:r w:rsidRPr="0082163A">
        <w:rPr>
          <w:lang w:val="fr-FR"/>
        </w:rPr>
        <w:t>« </w:t>
      </w:r>
      <w:r w:rsidRPr="00A47266">
        <w:rPr>
          <w:i/>
          <w:iCs/>
          <w:lang w:val="fr-FR"/>
        </w:rPr>
        <w:t>Le groupe de travail informel étudiera les dispositions existantes du paragraphe 6.2.1 iii) de l’appendice</w:t>
      </w:r>
      <w:r w:rsidR="0082163A">
        <w:rPr>
          <w:i/>
          <w:iCs/>
          <w:lang w:val="fr-FR"/>
        </w:rPr>
        <w:t xml:space="preserve"> </w:t>
      </w:r>
      <w:r w:rsidRPr="00A47266">
        <w:rPr>
          <w:i/>
          <w:iCs/>
          <w:lang w:val="fr-FR"/>
        </w:rPr>
        <w:t>2 de l’annexe</w:t>
      </w:r>
      <w:r w:rsidR="0082163A">
        <w:rPr>
          <w:i/>
          <w:iCs/>
          <w:lang w:val="fr-FR"/>
        </w:rPr>
        <w:t xml:space="preserve"> </w:t>
      </w:r>
      <w:r w:rsidRPr="00A47266">
        <w:rPr>
          <w:i/>
          <w:iCs/>
          <w:lang w:val="fr-FR"/>
        </w:rPr>
        <w:t>1 et élaborera des dispositions adaptées, notamment en ce qui concerne :</w:t>
      </w:r>
    </w:p>
    <w:p w14:paraId="181C9D7A" w14:textId="77777777" w:rsidR="0082163A" w:rsidRPr="0082163A" w:rsidRDefault="00BC189E" w:rsidP="0082163A">
      <w:pPr>
        <w:pStyle w:val="Bullet1G"/>
        <w:ind w:left="2268"/>
        <w:rPr>
          <w:lang w:val="fr-FR"/>
        </w:rPr>
      </w:pPr>
      <w:r w:rsidRPr="0082163A">
        <w:rPr>
          <w:i/>
          <w:iCs/>
          <w:lang w:val="fr-FR"/>
        </w:rPr>
        <w:t>La faisabilité de l’essai ;</w:t>
      </w:r>
    </w:p>
    <w:p w14:paraId="25618835" w14:textId="77777777" w:rsidR="0082163A" w:rsidRDefault="00BC189E" w:rsidP="0082163A">
      <w:pPr>
        <w:pStyle w:val="Bullet1G"/>
        <w:ind w:left="2268"/>
        <w:rPr>
          <w:i/>
          <w:iCs/>
          <w:lang w:val="fr-FR"/>
        </w:rPr>
      </w:pPr>
      <w:r w:rsidRPr="0082163A">
        <w:rPr>
          <w:i/>
          <w:iCs/>
          <w:lang w:val="fr-FR"/>
        </w:rPr>
        <w:t>Les différences entre les engins autonomes et les engins non autonomes ;</w:t>
      </w:r>
    </w:p>
    <w:p w14:paraId="30F7F884" w14:textId="77777777" w:rsidR="0082163A" w:rsidRDefault="00BC189E" w:rsidP="0082163A">
      <w:pPr>
        <w:pStyle w:val="Bullet1G"/>
        <w:ind w:left="2268"/>
        <w:rPr>
          <w:i/>
          <w:iCs/>
          <w:lang w:val="fr-FR"/>
        </w:rPr>
      </w:pPr>
      <w:r w:rsidRPr="0082163A">
        <w:rPr>
          <w:i/>
          <w:iCs/>
          <w:lang w:val="fr-FR"/>
        </w:rPr>
        <w:t>La prise en compte du degré de rigueur nécessaire pour l’essai ;</w:t>
      </w:r>
    </w:p>
    <w:p w14:paraId="0A737148" w14:textId="77777777" w:rsidR="0082163A" w:rsidRDefault="00BC189E" w:rsidP="0082163A">
      <w:pPr>
        <w:pStyle w:val="Bullet1G"/>
        <w:ind w:left="2268"/>
        <w:rPr>
          <w:i/>
          <w:iCs/>
          <w:lang w:val="fr-FR"/>
        </w:rPr>
      </w:pPr>
      <w:r w:rsidRPr="0082163A">
        <w:rPr>
          <w:i/>
          <w:iCs/>
          <w:lang w:val="fr-FR"/>
        </w:rPr>
        <w:t>L’efficacité de l’essai (temps et coût) ;</w:t>
      </w:r>
    </w:p>
    <w:p w14:paraId="01E324E3" w14:textId="72784171" w:rsidR="00BC189E" w:rsidRPr="0082163A" w:rsidRDefault="00BC189E" w:rsidP="0082163A">
      <w:pPr>
        <w:pStyle w:val="Bullet1G"/>
        <w:ind w:left="2268"/>
        <w:rPr>
          <w:i/>
          <w:iCs/>
          <w:lang w:val="fr-FR"/>
        </w:rPr>
      </w:pPr>
      <w:r w:rsidRPr="0082163A">
        <w:rPr>
          <w:i/>
          <w:iCs/>
          <w:lang w:val="fr-FR"/>
        </w:rPr>
        <w:t>La réduction des effets sur l’environnement, dans la mesure du possible.</w:t>
      </w:r>
    </w:p>
    <w:p w14:paraId="020AD623" w14:textId="77777777" w:rsidR="00BC189E" w:rsidRPr="00A47266" w:rsidRDefault="00BC189E" w:rsidP="00BC189E">
      <w:pPr>
        <w:pStyle w:val="SingleTxtG"/>
        <w:ind w:left="1701" w:firstLine="567"/>
        <w:rPr>
          <w:lang w:val="fr-FR"/>
        </w:rPr>
      </w:pPr>
      <w:r w:rsidRPr="00A47266">
        <w:rPr>
          <w:i/>
          <w:iCs/>
          <w:lang w:val="fr-FR"/>
        </w:rPr>
        <w:t>Le groupe de travail informel tiendra compte des travaux réalisés et des avancées obtenues par la sous-commission du transport frigorifique de l’IIF (D2/CERTE).</w:t>
      </w:r>
    </w:p>
    <w:p w14:paraId="74C59CA2" w14:textId="2EA0F54C" w:rsidR="00BC189E" w:rsidRPr="00A47266" w:rsidRDefault="00BC189E" w:rsidP="00BC189E">
      <w:pPr>
        <w:pStyle w:val="SingleTxtG"/>
        <w:ind w:left="1701" w:firstLine="567"/>
        <w:rPr>
          <w:i/>
          <w:iCs/>
          <w:lang w:val="fr-FR"/>
        </w:rPr>
      </w:pPr>
      <w:r w:rsidRPr="00A47266">
        <w:rPr>
          <w:i/>
          <w:iCs/>
          <w:lang w:val="fr-FR"/>
        </w:rPr>
        <w:t>Il soumettra, d’ici à la quatre-vingt-unième session du WP.11, en octobre 2024, les propositions correspondantes en vue de la révision ou de la modification du paragraphe</w:t>
      </w:r>
      <w:r w:rsidR="0082163A">
        <w:rPr>
          <w:i/>
          <w:iCs/>
          <w:lang w:val="fr-FR"/>
        </w:rPr>
        <w:t xml:space="preserve"> 6</w:t>
      </w:r>
      <w:r w:rsidRPr="00A47266">
        <w:rPr>
          <w:i/>
          <w:iCs/>
          <w:lang w:val="fr-FR"/>
        </w:rPr>
        <w:t>.2.1</w:t>
      </w:r>
      <w:r w:rsidRPr="00A47266">
        <w:rPr>
          <w:lang w:val="fr-FR"/>
        </w:rPr>
        <w:t xml:space="preserve"> </w:t>
      </w:r>
      <w:r w:rsidRPr="00A47266">
        <w:rPr>
          <w:i/>
          <w:iCs/>
          <w:lang w:val="fr-FR"/>
        </w:rPr>
        <w:t>iii)</w:t>
      </w:r>
      <w:r w:rsidRPr="00A47266">
        <w:rPr>
          <w:lang w:val="fr-FR"/>
        </w:rPr>
        <w:t>. ».</w:t>
      </w:r>
    </w:p>
    <w:p w14:paraId="5C16F239" w14:textId="77777777" w:rsidR="00BC189E" w:rsidRPr="00A47266" w:rsidRDefault="00BC189E" w:rsidP="00BC189E">
      <w:pPr>
        <w:pStyle w:val="HChG"/>
        <w:rPr>
          <w:lang w:val="fr-FR"/>
        </w:rPr>
      </w:pPr>
      <w:r w:rsidRPr="00A47266">
        <w:rPr>
          <w:lang w:val="fr-FR"/>
        </w:rPr>
        <w:tab/>
        <w:t>XIV.</w:t>
      </w:r>
      <w:r w:rsidRPr="00A47266">
        <w:rPr>
          <w:lang w:val="fr-FR"/>
        </w:rPr>
        <w:tab/>
        <w:t>Adoption du rapport (point 13 de l’ordre du jour)</w:t>
      </w:r>
      <w:bookmarkStart w:id="22" w:name="_Toc103001720"/>
      <w:bookmarkEnd w:id="22"/>
    </w:p>
    <w:p w14:paraId="77576552" w14:textId="77777777" w:rsidR="00BC189E" w:rsidRPr="00A47266" w:rsidRDefault="00BC189E" w:rsidP="00BC189E">
      <w:pPr>
        <w:pStyle w:val="SingleTxtG"/>
        <w:rPr>
          <w:lang w:val="fr-FR"/>
        </w:rPr>
      </w:pPr>
      <w:r w:rsidRPr="00A47266">
        <w:rPr>
          <w:lang w:val="fr-FR"/>
        </w:rPr>
        <w:t>91.</w:t>
      </w:r>
      <w:r w:rsidRPr="00A47266">
        <w:rPr>
          <w:lang w:val="fr-FR"/>
        </w:rPr>
        <w:tab/>
        <w:t>Le WP.11 a adopté le rapport de sa quatre-vingtième session sur la base d’un projet établi par le secrétariat.</w:t>
      </w:r>
    </w:p>
    <w:p w14:paraId="036B1B54" w14:textId="77777777" w:rsidR="00A47266" w:rsidRDefault="00A47266">
      <w:pPr>
        <w:suppressAutoHyphens w:val="0"/>
        <w:kinsoku/>
        <w:overflowPunct/>
        <w:autoSpaceDE/>
        <w:autoSpaceDN/>
        <w:adjustRightInd/>
        <w:snapToGrid/>
        <w:spacing w:after="200" w:line="276" w:lineRule="auto"/>
        <w:rPr>
          <w:b/>
          <w:bCs/>
          <w:sz w:val="28"/>
          <w:lang w:val="fr-FR"/>
        </w:rPr>
      </w:pPr>
      <w:r>
        <w:rPr>
          <w:bCs/>
          <w:lang w:val="fr-FR"/>
        </w:rPr>
        <w:br w:type="page"/>
      </w:r>
    </w:p>
    <w:p w14:paraId="6ED6FB37" w14:textId="5B205BB5" w:rsidR="00BC189E" w:rsidRPr="00A47266" w:rsidRDefault="00BC189E" w:rsidP="00BC189E">
      <w:pPr>
        <w:pStyle w:val="HChG"/>
        <w:rPr>
          <w:lang w:val="fr-FR"/>
        </w:rPr>
      </w:pPr>
      <w:r w:rsidRPr="00A47266">
        <w:rPr>
          <w:bCs/>
          <w:lang w:val="fr-FR"/>
        </w:rPr>
        <w:lastRenderedPageBreak/>
        <w:t>Annexe I</w:t>
      </w:r>
    </w:p>
    <w:p w14:paraId="487053B5" w14:textId="45199788" w:rsidR="00BC189E" w:rsidRPr="00A47266" w:rsidRDefault="00BC189E" w:rsidP="00A47266">
      <w:pPr>
        <w:pStyle w:val="HChG"/>
        <w:rPr>
          <w:lang w:val="fr-FR"/>
        </w:rPr>
      </w:pPr>
      <w:r w:rsidRPr="00A47266">
        <w:rPr>
          <w:lang w:val="fr-FR"/>
        </w:rPr>
        <w:tab/>
      </w:r>
      <w:r w:rsidRPr="00A47266">
        <w:rPr>
          <w:lang w:val="fr-FR"/>
        </w:rPr>
        <w:tab/>
        <w:t>Texte intégral des déclarations gouvernementales prononcées à la soixante-dix-neuvième session du Groupe de travail du</w:t>
      </w:r>
      <w:r w:rsidR="0082163A">
        <w:rPr>
          <w:lang w:val="fr-FR"/>
        </w:rPr>
        <w:t> </w:t>
      </w:r>
      <w:r w:rsidRPr="00A47266">
        <w:rPr>
          <w:lang w:val="fr-FR"/>
        </w:rPr>
        <w:t>transport des denrées périssables</w:t>
      </w:r>
      <w:bookmarkStart w:id="23" w:name="_Toc103001722"/>
      <w:bookmarkEnd w:id="23"/>
    </w:p>
    <w:p w14:paraId="184821CB" w14:textId="77777777" w:rsidR="00BC189E" w:rsidRPr="00A47266" w:rsidRDefault="00BC189E" w:rsidP="00A47266">
      <w:pPr>
        <w:pStyle w:val="H1G"/>
        <w:rPr>
          <w:w w:val="103"/>
          <w:lang w:val="fr-FR"/>
        </w:rPr>
      </w:pPr>
      <w:r w:rsidRPr="00A47266">
        <w:rPr>
          <w:lang w:val="fr-FR"/>
        </w:rPr>
        <w:tab/>
      </w:r>
      <w:r w:rsidRPr="00A47266">
        <w:rPr>
          <w:lang w:val="fr-FR"/>
        </w:rPr>
        <w:tab/>
        <w:t>Déclaration du Danemark</w:t>
      </w:r>
      <w:bookmarkStart w:id="24" w:name="_Toc103001723"/>
      <w:bookmarkEnd w:id="24"/>
    </w:p>
    <w:p w14:paraId="224536D3" w14:textId="121D14E5" w:rsidR="00BC189E" w:rsidRPr="00A47266" w:rsidRDefault="00BC189E" w:rsidP="00BC189E">
      <w:pPr>
        <w:pStyle w:val="SingleTxtG"/>
        <w:keepNext/>
        <w:ind w:firstLine="567"/>
        <w:rPr>
          <w:lang w:val="fr-FR"/>
        </w:rPr>
      </w:pPr>
      <w:r w:rsidRPr="00A47266">
        <w:rPr>
          <w:lang w:val="fr-FR"/>
        </w:rPr>
        <w:tab/>
        <w:t>Le représentant du Danemark a demandé la parole en début de session et a fait la déclaration suivante :</w:t>
      </w:r>
    </w:p>
    <w:p w14:paraId="5454FA78" w14:textId="77777777" w:rsidR="00BC189E" w:rsidRPr="00A47266" w:rsidRDefault="00BC189E" w:rsidP="00BC189E">
      <w:pPr>
        <w:pStyle w:val="SingleTxtG"/>
        <w:ind w:firstLine="567"/>
        <w:rPr>
          <w:lang w:val="fr-FR"/>
        </w:rPr>
      </w:pPr>
      <w:r w:rsidRPr="00A47266">
        <w:rPr>
          <w:lang w:val="fr-FR"/>
        </w:rPr>
        <w:t>« Permettez-moi tout d’abord d’exprimer l’entière solidarité du Danemark avec l’Ukraine et le peuple ukrainien. Nous condamnons dans les termes les plus vifs les actes d’agression de la Russie contre l’Ukraine, qui constituent une violation grave du droit international et de la Charte des Nations Unies. L’attaque injustifiée et non provoquée du Président Poutine porte atteinte à la paix et à la sécurité internationales. Nous déplorons les pertes humaines et les souffrances infligées et exigeons que la Russie cesse immédiatement ces actes d’agression sur l’ensemble du territoire de l’Ukraine et se conforme pleinement au droit international. ».</w:t>
      </w:r>
    </w:p>
    <w:p w14:paraId="5B19A1D0" w14:textId="77777777" w:rsidR="00BC189E" w:rsidRPr="00A47266" w:rsidRDefault="00BC189E" w:rsidP="00A47266">
      <w:pPr>
        <w:pStyle w:val="H1G"/>
        <w:rPr>
          <w:w w:val="103"/>
          <w:lang w:val="fr-FR"/>
        </w:rPr>
      </w:pPr>
      <w:r w:rsidRPr="00A47266">
        <w:rPr>
          <w:lang w:val="fr-FR"/>
        </w:rPr>
        <w:tab/>
      </w:r>
      <w:r w:rsidRPr="00A47266">
        <w:rPr>
          <w:lang w:val="fr-FR"/>
        </w:rPr>
        <w:tab/>
        <w:t>Déclaration de la Fédération de Russie</w:t>
      </w:r>
    </w:p>
    <w:p w14:paraId="016188B3" w14:textId="77777777" w:rsidR="00BC189E" w:rsidRPr="00A47266" w:rsidRDefault="00BC189E" w:rsidP="00B748F7">
      <w:pPr>
        <w:pStyle w:val="SingleTxtG"/>
        <w:ind w:firstLine="567"/>
        <w:rPr>
          <w:lang w:val="fr-FR"/>
        </w:rPr>
      </w:pPr>
      <w:r w:rsidRPr="00A47266">
        <w:rPr>
          <w:lang w:val="fr-FR"/>
        </w:rPr>
        <w:t>« Les réunions du Groupe de travail servent à débattre des questions inscrites à l’ordre du jour. Je propose que les questions d’ordre politique soient examinées par les organes des Nations Unies compétents. ».</w:t>
      </w:r>
    </w:p>
    <w:p w14:paraId="15705F81" w14:textId="77777777" w:rsidR="00BC189E" w:rsidRPr="00A47266" w:rsidRDefault="00BC189E">
      <w:pPr>
        <w:suppressAutoHyphens w:val="0"/>
        <w:kinsoku/>
        <w:overflowPunct/>
        <w:autoSpaceDE/>
        <w:autoSpaceDN/>
        <w:adjustRightInd/>
        <w:snapToGrid/>
        <w:spacing w:after="200" w:line="276" w:lineRule="auto"/>
        <w:rPr>
          <w:rFonts w:eastAsia="Times New Roman"/>
          <w:b/>
          <w:sz w:val="28"/>
          <w:lang w:val="fr-FR" w:eastAsia="fr-FR"/>
        </w:rPr>
      </w:pPr>
      <w:r w:rsidRPr="00A47266">
        <w:rPr>
          <w:rFonts w:eastAsia="Times New Roman"/>
          <w:b/>
          <w:sz w:val="28"/>
          <w:lang w:val="fr-FR" w:eastAsia="fr-FR"/>
        </w:rPr>
        <w:br w:type="page"/>
      </w:r>
    </w:p>
    <w:p w14:paraId="15C5F03B" w14:textId="700DCAE2" w:rsidR="00BC189E" w:rsidRPr="00A47266" w:rsidRDefault="00BC189E" w:rsidP="00BC189E">
      <w:pPr>
        <w:keepNext/>
        <w:keepLines/>
        <w:tabs>
          <w:tab w:val="right" w:pos="851"/>
        </w:tabs>
        <w:suppressAutoHyphens w:val="0"/>
        <w:kinsoku/>
        <w:overflowPunct/>
        <w:autoSpaceDE/>
        <w:autoSpaceDN/>
        <w:adjustRightInd/>
        <w:snapToGrid/>
        <w:spacing w:before="360" w:after="240" w:line="300" w:lineRule="exact"/>
        <w:ind w:left="1134" w:right="1134" w:hanging="1134"/>
        <w:outlineLvl w:val="1"/>
        <w:rPr>
          <w:rFonts w:eastAsia="Times New Roman"/>
          <w:b/>
          <w:sz w:val="28"/>
          <w:lang w:val="fr-FR" w:eastAsia="fr-FR"/>
        </w:rPr>
      </w:pPr>
      <w:r w:rsidRPr="00A47266">
        <w:rPr>
          <w:rFonts w:eastAsia="Times New Roman"/>
          <w:b/>
          <w:sz w:val="28"/>
          <w:lang w:val="fr-FR" w:eastAsia="fr-FR"/>
        </w:rPr>
        <w:lastRenderedPageBreak/>
        <w:t>Annexe II</w:t>
      </w:r>
    </w:p>
    <w:p w14:paraId="6872E403" w14:textId="308E741D" w:rsidR="00BC189E" w:rsidRPr="00A47266" w:rsidRDefault="00BC189E" w:rsidP="00BC189E">
      <w:pPr>
        <w:jc w:val="right"/>
        <w:rPr>
          <w:bCs/>
          <w:lang w:val="fr-FR"/>
        </w:rPr>
      </w:pPr>
      <w:r w:rsidRPr="00A47266">
        <w:rPr>
          <w:bCs/>
          <w:lang w:val="fr-FR"/>
        </w:rPr>
        <w:t>[Original : anglais et français]</w:t>
      </w:r>
    </w:p>
    <w:p w14:paraId="1AA236CF" w14:textId="77777777" w:rsidR="00BC189E" w:rsidRPr="00A47266" w:rsidRDefault="00BC189E" w:rsidP="00BC189E">
      <w:pPr>
        <w:pStyle w:val="HChG"/>
        <w:rPr>
          <w:lang w:val="en-GB"/>
        </w:rPr>
      </w:pPr>
      <w:r w:rsidRPr="00A47266">
        <w:rPr>
          <w:lang w:val="en-GB"/>
        </w:rPr>
        <w:tab/>
      </w:r>
      <w:r w:rsidRPr="00A47266">
        <w:rPr>
          <w:lang w:val="en-GB"/>
        </w:rPr>
        <w:tab/>
        <w:t>Proposed amendments to the ATP</w:t>
      </w:r>
    </w:p>
    <w:p w14:paraId="5C1D765E" w14:textId="77777777" w:rsidR="00BC189E" w:rsidRPr="00A47266" w:rsidRDefault="00BC189E" w:rsidP="00BC189E">
      <w:pPr>
        <w:keepNext/>
        <w:keepLines/>
        <w:tabs>
          <w:tab w:val="right" w:pos="851"/>
        </w:tabs>
        <w:spacing w:before="240" w:after="120" w:line="240" w:lineRule="exact"/>
        <w:ind w:left="1134" w:right="1134" w:hanging="1134"/>
        <w:rPr>
          <w:b/>
          <w:spacing w:val="4"/>
          <w:w w:val="103"/>
          <w:kern w:val="14"/>
          <w:lang w:val="en-GB" w:eastAsia="zh-CN"/>
        </w:rPr>
      </w:pPr>
      <w:r w:rsidRPr="00A47266">
        <w:rPr>
          <w:b/>
          <w:spacing w:val="4"/>
          <w:w w:val="103"/>
          <w:kern w:val="14"/>
          <w:lang w:val="en-GB" w:eastAsia="zh-CN"/>
        </w:rPr>
        <w:tab/>
        <w:t>1.</w:t>
      </w:r>
      <w:r w:rsidRPr="00A47266">
        <w:rPr>
          <w:b/>
          <w:spacing w:val="4"/>
          <w:w w:val="103"/>
          <w:kern w:val="14"/>
          <w:lang w:val="en-GB" w:eastAsia="zh-CN"/>
        </w:rPr>
        <w:tab/>
        <w:t>Throughout the text of the ATP</w:t>
      </w:r>
    </w:p>
    <w:p w14:paraId="7152E5D0" w14:textId="77777777" w:rsidR="00BC189E" w:rsidRPr="00A47266" w:rsidRDefault="00BC189E" w:rsidP="00BC189E">
      <w:pPr>
        <w:pStyle w:val="SingleTxtG"/>
        <w:rPr>
          <w:lang w:val="en-GB"/>
        </w:rPr>
      </w:pPr>
      <w:r w:rsidRPr="00A47266">
        <w:rPr>
          <w:w w:val="103"/>
          <w:lang w:val="en-GB" w:eastAsia="zh-CN"/>
        </w:rPr>
        <w:t xml:space="preserve">Replace multiplication symbols </w:t>
      </w:r>
      <w:r w:rsidRPr="00A47266">
        <w:rPr>
          <w:lang w:val="en-GB"/>
        </w:rPr>
        <w:t>"*", "." and "</w:t>
      </w:r>
      <w:r w:rsidRPr="00A47266">
        <w:rPr>
          <w:position w:val="10"/>
          <w:lang w:val="en-GB"/>
        </w:rPr>
        <w:t>.</w:t>
      </w:r>
      <w:r w:rsidRPr="00A47266">
        <w:rPr>
          <w:lang w:val="en-GB"/>
        </w:rPr>
        <w:t>" by "×" in the existing equations.</w:t>
      </w:r>
    </w:p>
    <w:p w14:paraId="14474B76" w14:textId="640FF094" w:rsidR="00BC189E" w:rsidRPr="00A47266" w:rsidRDefault="00BC189E" w:rsidP="00BC189E">
      <w:pPr>
        <w:pStyle w:val="SingleTxtG"/>
        <w:rPr>
          <w:i/>
          <w:iCs/>
          <w:w w:val="103"/>
          <w:lang w:val="en-GB" w:eastAsia="zh-CN"/>
        </w:rPr>
      </w:pPr>
      <w:r w:rsidRPr="00A47266">
        <w:rPr>
          <w:i/>
          <w:iCs/>
          <w:w w:val="103"/>
          <w:lang w:val="en-GB" w:eastAsia="zh-CN"/>
        </w:rPr>
        <w:t>(Reference document : informal document INF.11)</w:t>
      </w:r>
    </w:p>
    <w:p w14:paraId="0E269AC1" w14:textId="77777777" w:rsidR="00BC189E" w:rsidRPr="00A47266" w:rsidRDefault="00BC189E" w:rsidP="00BC189E">
      <w:pPr>
        <w:keepNext/>
        <w:keepLines/>
        <w:tabs>
          <w:tab w:val="right" w:pos="851"/>
        </w:tabs>
        <w:spacing w:before="240" w:after="120" w:line="240" w:lineRule="exact"/>
        <w:ind w:left="1134" w:right="1134" w:hanging="1134"/>
        <w:rPr>
          <w:b/>
          <w:spacing w:val="4"/>
          <w:w w:val="103"/>
          <w:kern w:val="14"/>
          <w:lang w:val="en-GB" w:eastAsia="zh-CN"/>
        </w:rPr>
      </w:pPr>
      <w:r w:rsidRPr="00A47266">
        <w:rPr>
          <w:b/>
          <w:spacing w:val="4"/>
          <w:w w:val="103"/>
          <w:kern w:val="14"/>
          <w:lang w:val="en-GB" w:eastAsia="zh-CN"/>
        </w:rPr>
        <w:tab/>
        <w:t>2.</w:t>
      </w:r>
      <w:r w:rsidRPr="00A47266">
        <w:rPr>
          <w:b/>
          <w:spacing w:val="4"/>
          <w:w w:val="103"/>
          <w:kern w:val="14"/>
          <w:lang w:val="en-GB" w:eastAsia="zh-CN"/>
        </w:rPr>
        <w:tab/>
        <w:t>Throughout the text of the ATP</w:t>
      </w:r>
    </w:p>
    <w:p w14:paraId="7A0B8A05" w14:textId="77777777" w:rsidR="00BC189E" w:rsidRPr="00A47266" w:rsidRDefault="00BC189E" w:rsidP="00BC189E">
      <w:pPr>
        <w:pStyle w:val="SingleTxtG"/>
        <w:rPr>
          <w:lang w:val="en-GB"/>
        </w:rPr>
      </w:pPr>
      <w:r w:rsidRPr="00A47266">
        <w:rPr>
          <w:w w:val="103"/>
          <w:lang w:val="en-GB" w:eastAsia="zh-CN"/>
        </w:rPr>
        <w:t>Insert multiplication symbol</w:t>
      </w:r>
      <w:r w:rsidRPr="00A47266">
        <w:rPr>
          <w:lang w:val="en-GB"/>
        </w:rPr>
        <w:t xml:space="preserve"> "</w:t>
      </w:r>
      <w:r w:rsidRPr="00A47266">
        <w:rPr>
          <w:position w:val="10"/>
          <w:lang w:val="en-GB"/>
        </w:rPr>
        <w:t>.</w:t>
      </w:r>
      <w:r w:rsidRPr="00A47266">
        <w:rPr>
          <w:lang w:val="en-GB"/>
        </w:rPr>
        <w:t>" between the units.</w:t>
      </w:r>
    </w:p>
    <w:p w14:paraId="27BACC97" w14:textId="1183857D" w:rsidR="00BC189E" w:rsidRPr="00A47266" w:rsidRDefault="00BC189E" w:rsidP="00BC189E">
      <w:pPr>
        <w:pStyle w:val="SingleTxtG"/>
        <w:rPr>
          <w:i/>
          <w:iCs/>
          <w:w w:val="103"/>
          <w:lang w:val="en-GB" w:eastAsia="zh-CN"/>
        </w:rPr>
      </w:pPr>
      <w:r w:rsidRPr="00A47266">
        <w:rPr>
          <w:i/>
          <w:iCs/>
          <w:w w:val="103"/>
          <w:lang w:val="en-GB" w:eastAsia="zh-CN"/>
        </w:rPr>
        <w:t>(Reference document : informal document INF.11)</w:t>
      </w:r>
    </w:p>
    <w:p w14:paraId="0F2E6041" w14:textId="77777777" w:rsidR="00BC189E" w:rsidRPr="00A47266" w:rsidRDefault="00BC189E" w:rsidP="00BC189E">
      <w:pPr>
        <w:keepNext/>
        <w:keepLines/>
        <w:tabs>
          <w:tab w:val="right" w:pos="851"/>
        </w:tabs>
        <w:spacing w:before="240" w:after="120" w:line="240" w:lineRule="exact"/>
        <w:ind w:left="1134" w:right="1134" w:hanging="1134"/>
        <w:rPr>
          <w:b/>
          <w:spacing w:val="4"/>
          <w:w w:val="103"/>
          <w:kern w:val="14"/>
          <w:lang w:val="en-GB" w:eastAsia="zh-CN"/>
        </w:rPr>
      </w:pPr>
      <w:r w:rsidRPr="00A47266">
        <w:rPr>
          <w:b/>
          <w:spacing w:val="4"/>
          <w:w w:val="103"/>
          <w:kern w:val="14"/>
          <w:lang w:val="en-GB" w:eastAsia="zh-CN"/>
        </w:rPr>
        <w:tab/>
        <w:t>3.</w:t>
      </w:r>
      <w:r w:rsidRPr="00A47266">
        <w:rPr>
          <w:b/>
          <w:spacing w:val="4"/>
          <w:w w:val="103"/>
          <w:kern w:val="14"/>
          <w:lang w:val="en-GB" w:eastAsia="zh-CN"/>
        </w:rPr>
        <w:tab/>
        <w:t>Annex 1, Appendix 1, paragraph 3</w:t>
      </w:r>
    </w:p>
    <w:p w14:paraId="088146F2" w14:textId="43D9A226" w:rsidR="00BC189E" w:rsidRPr="00A47266" w:rsidRDefault="00BC189E" w:rsidP="00BC189E">
      <w:pPr>
        <w:pStyle w:val="SingleTxtG"/>
        <w:rPr>
          <w:w w:val="103"/>
          <w:lang w:val="en-GB" w:eastAsia="zh-CN"/>
        </w:rPr>
      </w:pPr>
      <w:r w:rsidRPr="00A47266">
        <w:rPr>
          <w:w w:val="103"/>
          <w:lang w:val="en-GB" w:eastAsia="zh-CN"/>
        </w:rPr>
        <w:t>Replace "confirm its identity" by "verify its conformity"</w:t>
      </w:r>
    </w:p>
    <w:p w14:paraId="628B5D98" w14:textId="750356BC" w:rsidR="00BC189E" w:rsidRPr="00A47266" w:rsidRDefault="00BC189E" w:rsidP="00BC189E">
      <w:pPr>
        <w:pStyle w:val="SingleTxtG"/>
        <w:rPr>
          <w:i/>
          <w:iCs/>
          <w:w w:val="103"/>
          <w:lang w:val="en-GB" w:eastAsia="zh-CN"/>
        </w:rPr>
      </w:pPr>
      <w:r w:rsidRPr="00A47266">
        <w:rPr>
          <w:i/>
          <w:iCs/>
          <w:w w:val="103"/>
          <w:lang w:val="en-GB" w:eastAsia="zh-CN"/>
        </w:rPr>
        <w:t xml:space="preserve">(Reference document : </w:t>
      </w:r>
      <w:hyperlink r:id="rId54" w:history="1">
        <w:r w:rsidRPr="00A47266">
          <w:rPr>
            <w:rStyle w:val="Lienhypertexte"/>
            <w:i/>
            <w:iCs/>
            <w:color w:val="auto"/>
            <w:w w:val="103"/>
            <w:lang w:val="en-GB" w:eastAsia="zh-CN"/>
          </w:rPr>
          <w:t>ECE/TRANS/WP.11/2023/16</w:t>
        </w:r>
      </w:hyperlink>
      <w:r w:rsidRPr="00A47266">
        <w:rPr>
          <w:i/>
          <w:iCs/>
          <w:w w:val="103"/>
          <w:lang w:val="en-GB" w:eastAsia="zh-CN"/>
        </w:rPr>
        <w:t>)</w:t>
      </w:r>
    </w:p>
    <w:p w14:paraId="17928C74" w14:textId="77777777" w:rsidR="00BC189E" w:rsidRPr="00A47266" w:rsidRDefault="00BC189E" w:rsidP="00BC189E">
      <w:pPr>
        <w:pStyle w:val="H23G"/>
        <w:rPr>
          <w:lang w:val="en-GB"/>
        </w:rPr>
      </w:pPr>
      <w:r w:rsidRPr="00A47266">
        <w:rPr>
          <w:bCs/>
          <w:lang w:val="en-GB"/>
        </w:rPr>
        <w:tab/>
        <w:t>4.</w:t>
      </w:r>
      <w:r w:rsidRPr="00A47266">
        <w:rPr>
          <w:lang w:val="en-GB"/>
        </w:rPr>
        <w:tab/>
        <w:t>Annex 1, Appendix 2, paragraph 6.2.2 (i)</w:t>
      </w:r>
    </w:p>
    <w:p w14:paraId="6C22F7C2" w14:textId="64C0D423" w:rsidR="00BC189E" w:rsidRPr="00A47266" w:rsidRDefault="00BC189E" w:rsidP="00BC189E">
      <w:pPr>
        <w:pStyle w:val="SingleTxtG"/>
        <w:rPr>
          <w:lang w:val="en-GB"/>
        </w:rPr>
      </w:pPr>
      <w:r w:rsidRPr="00A47266">
        <w:rPr>
          <w:lang w:val="en-GB"/>
        </w:rPr>
        <w:t>In the first sentence, after the word "stabilization" add a footnote (1) to read as follows :</w:t>
      </w:r>
    </w:p>
    <w:p w14:paraId="1487C178" w14:textId="77777777" w:rsidR="00BC189E" w:rsidRPr="00A47266" w:rsidRDefault="00BC189E" w:rsidP="00BC189E">
      <w:pPr>
        <w:pStyle w:val="Notedebasdepage"/>
        <w:tabs>
          <w:tab w:val="clear" w:pos="1021"/>
          <w:tab w:val="right" w:pos="1418"/>
        </w:tabs>
        <w:spacing w:after="120"/>
        <w:ind w:left="1418" w:firstLine="0"/>
        <w:rPr>
          <w:sz w:val="20"/>
          <w:lang w:val="en-GB"/>
        </w:rPr>
      </w:pPr>
      <w:r w:rsidRPr="00A47266">
        <w:rPr>
          <w:vertAlign w:val="superscript"/>
          <w:lang w:val="en-GB"/>
        </w:rPr>
        <w:t>"(1)</w:t>
      </w:r>
      <w:r w:rsidRPr="00A47266">
        <w:rPr>
          <w:lang w:val="en-GB"/>
        </w:rPr>
        <w:tab/>
      </w:r>
      <w:r w:rsidRPr="00A47266">
        <w:rPr>
          <w:sz w:val="20"/>
          <w:lang w:val="en-GB"/>
        </w:rPr>
        <w:t>Equipment can be pre-cooled before the test"</w:t>
      </w:r>
    </w:p>
    <w:p w14:paraId="3715D2F7" w14:textId="4856D568" w:rsidR="00BC189E" w:rsidRPr="00A47266" w:rsidRDefault="00BC189E" w:rsidP="00BC189E">
      <w:pPr>
        <w:pStyle w:val="SingleTxtG"/>
        <w:rPr>
          <w:lang w:val="en-GB"/>
        </w:rPr>
      </w:pPr>
      <w:r w:rsidRPr="00A47266">
        <w:rPr>
          <w:lang w:val="en-GB"/>
        </w:rPr>
        <w:t>After the first sentence add the following new text :</w:t>
      </w:r>
    </w:p>
    <w:p w14:paraId="5B4B1450" w14:textId="00C5A567" w:rsidR="00BC189E" w:rsidRPr="00A47266" w:rsidRDefault="00BC189E" w:rsidP="00BC189E">
      <w:pPr>
        <w:pStyle w:val="SingleTxtG"/>
        <w:ind w:left="1418"/>
        <w:rPr>
          <w:lang w:val="en-GB"/>
        </w:rPr>
      </w:pPr>
      <w:r w:rsidRPr="00A47266">
        <w:rPr>
          <w:lang w:val="en-GB"/>
        </w:rPr>
        <w:t>"The internal temperature taken into consideration is the average temperature of the two sensors measured during the period selected for the test. The equipment is considered compliant if it meets the following conditions :</w:t>
      </w:r>
    </w:p>
    <w:p w14:paraId="6A571EF2" w14:textId="408A5FDA" w:rsidR="00BC189E" w:rsidRPr="00A47266" w:rsidRDefault="00BC189E" w:rsidP="00BC189E">
      <w:pPr>
        <w:pStyle w:val="SingleTxtG"/>
        <w:ind w:left="1418"/>
        <w:rPr>
          <w:lang w:val="en-GB"/>
        </w:rPr>
      </w:pPr>
      <w:r w:rsidRPr="00A47266">
        <w:rPr>
          <w:lang w:val="en-GB"/>
        </w:rPr>
        <w:t>The average internal temperature is included in the ranges defined below :</w:t>
      </w:r>
    </w:p>
    <w:p w14:paraId="2B4B1A9C" w14:textId="77777777" w:rsidR="00BC189E" w:rsidRPr="00A47266" w:rsidRDefault="00BC189E" w:rsidP="00BC189E">
      <w:pPr>
        <w:pStyle w:val="SingleTxtG"/>
        <w:ind w:left="1418"/>
        <w:rPr>
          <w:lang w:val="en-GB"/>
        </w:rPr>
      </w:pPr>
      <w:r w:rsidRPr="00A47266">
        <w:rPr>
          <w:lang w:val="en-GB"/>
        </w:rPr>
        <w:t>the amplitude of the temperature variations around the class temperature is +/- 3 °C."</w:t>
      </w:r>
    </w:p>
    <w:p w14:paraId="7B488D56" w14:textId="27D951D4" w:rsidR="00BC189E" w:rsidRPr="00A47266" w:rsidRDefault="00BC189E" w:rsidP="00BC189E">
      <w:pPr>
        <w:pStyle w:val="SingleTxtG"/>
        <w:rPr>
          <w:i/>
          <w:iCs/>
          <w:w w:val="103"/>
          <w:lang w:val="en-GB" w:eastAsia="zh-CN"/>
        </w:rPr>
      </w:pPr>
      <w:r w:rsidRPr="00A47266">
        <w:rPr>
          <w:i/>
          <w:iCs/>
          <w:w w:val="103"/>
          <w:lang w:val="en-GB" w:eastAsia="zh-CN"/>
        </w:rPr>
        <w:t xml:space="preserve">(Reference documents : </w:t>
      </w:r>
      <w:hyperlink r:id="rId55" w:history="1">
        <w:r w:rsidRPr="00A47266">
          <w:rPr>
            <w:rStyle w:val="Lienhypertexte"/>
            <w:i/>
            <w:iCs/>
            <w:color w:val="auto"/>
            <w:w w:val="103"/>
            <w:lang w:val="en-GB" w:eastAsia="zh-CN"/>
          </w:rPr>
          <w:t>ECE/TRANS/WP.11/2023/11</w:t>
        </w:r>
      </w:hyperlink>
      <w:r w:rsidRPr="00A47266">
        <w:rPr>
          <w:i/>
          <w:iCs/>
          <w:w w:val="103"/>
          <w:lang w:val="en-GB" w:eastAsia="zh-CN"/>
        </w:rPr>
        <w:t xml:space="preserve"> and informal document INF.16 as amended)</w:t>
      </w:r>
    </w:p>
    <w:p w14:paraId="29632510" w14:textId="77777777" w:rsidR="00BC189E" w:rsidRPr="00A47266" w:rsidRDefault="00BC189E" w:rsidP="00BC189E">
      <w:pPr>
        <w:keepNext/>
        <w:keepLines/>
        <w:tabs>
          <w:tab w:val="right" w:pos="851"/>
        </w:tabs>
        <w:spacing w:before="240" w:after="120" w:line="240" w:lineRule="exact"/>
        <w:ind w:left="1134" w:right="1134" w:hanging="1134"/>
        <w:rPr>
          <w:b/>
          <w:spacing w:val="4"/>
          <w:w w:val="103"/>
          <w:kern w:val="14"/>
          <w:lang w:val="en-GB" w:eastAsia="zh-CN"/>
        </w:rPr>
      </w:pPr>
      <w:r w:rsidRPr="00A47266">
        <w:rPr>
          <w:b/>
          <w:spacing w:val="4"/>
          <w:w w:val="103"/>
          <w:kern w:val="14"/>
          <w:lang w:val="en-GB" w:eastAsia="zh-CN"/>
        </w:rPr>
        <w:tab/>
        <w:t>5.</w:t>
      </w:r>
      <w:r w:rsidRPr="00A47266">
        <w:rPr>
          <w:b/>
          <w:spacing w:val="4"/>
          <w:w w:val="103"/>
          <w:kern w:val="14"/>
          <w:lang w:val="en-GB" w:eastAsia="zh-CN"/>
        </w:rPr>
        <w:tab/>
        <w:t>Annex 1, Appendix 2, paragraph 6.2.3</w:t>
      </w:r>
    </w:p>
    <w:p w14:paraId="5B91A45D" w14:textId="43BF0D16" w:rsidR="00BC189E" w:rsidRPr="00A47266" w:rsidRDefault="00BC189E" w:rsidP="00BC189E">
      <w:pPr>
        <w:pStyle w:val="SingleTxtG"/>
        <w:rPr>
          <w:w w:val="103"/>
          <w:lang w:val="en-GB" w:eastAsia="zh-CN"/>
        </w:rPr>
      </w:pPr>
      <w:r w:rsidRPr="00A47266">
        <w:rPr>
          <w:w w:val="103"/>
          <w:lang w:val="en-GB" w:eastAsia="zh-CN"/>
        </w:rPr>
        <w:t>Add a new heading before the existing paragraph to read as follows :</w:t>
      </w:r>
    </w:p>
    <w:p w14:paraId="7D5B5D8C" w14:textId="77777777" w:rsidR="00BC189E" w:rsidRPr="00A47266" w:rsidRDefault="00BC189E" w:rsidP="00BC189E">
      <w:pPr>
        <w:pStyle w:val="SingleTxtG"/>
        <w:rPr>
          <w:w w:val="103"/>
          <w:lang w:val="en-GB" w:eastAsia="zh-CN"/>
        </w:rPr>
      </w:pPr>
      <w:r w:rsidRPr="00A47266">
        <w:rPr>
          <w:w w:val="103"/>
          <w:lang w:val="en-GB" w:eastAsia="zh-CN"/>
        </w:rPr>
        <w:t>"</w:t>
      </w:r>
      <w:r w:rsidRPr="00A47266">
        <w:rPr>
          <w:b/>
          <w:bCs/>
          <w:w w:val="103"/>
          <w:lang w:val="en-GB" w:eastAsia="zh-CN"/>
        </w:rPr>
        <w:t>6.2.3</w:t>
      </w:r>
      <w:r w:rsidRPr="00A47266">
        <w:rPr>
          <w:b/>
          <w:bCs/>
          <w:w w:val="103"/>
          <w:lang w:val="en-GB" w:eastAsia="zh-CN"/>
        </w:rPr>
        <w:tab/>
        <w:t>Replacement of refrigerant fluid</w:t>
      </w:r>
      <w:r w:rsidRPr="00A47266">
        <w:rPr>
          <w:w w:val="103"/>
          <w:lang w:val="en-GB" w:eastAsia="zh-CN"/>
        </w:rPr>
        <w:t>"</w:t>
      </w:r>
    </w:p>
    <w:p w14:paraId="3520B4ED" w14:textId="6295E9E0" w:rsidR="00BC189E" w:rsidRPr="00A47266" w:rsidRDefault="00BC189E" w:rsidP="00BC189E">
      <w:pPr>
        <w:pStyle w:val="SingleTxtG"/>
        <w:rPr>
          <w:i/>
          <w:iCs/>
          <w:w w:val="103"/>
          <w:lang w:val="en-GB" w:eastAsia="zh-CN"/>
        </w:rPr>
      </w:pPr>
      <w:r w:rsidRPr="00A47266">
        <w:rPr>
          <w:i/>
          <w:iCs/>
          <w:w w:val="103"/>
          <w:lang w:val="en-GB" w:eastAsia="zh-CN"/>
        </w:rPr>
        <w:t xml:space="preserve">(Reference document : </w:t>
      </w:r>
      <w:hyperlink r:id="rId56" w:history="1">
        <w:r w:rsidRPr="00A47266">
          <w:rPr>
            <w:rStyle w:val="Lienhypertexte"/>
            <w:i/>
            <w:iCs/>
            <w:color w:val="auto"/>
            <w:w w:val="103"/>
            <w:lang w:val="en-GB" w:eastAsia="zh-CN"/>
          </w:rPr>
          <w:t>ECE/TRANS/WP.11/2023/14</w:t>
        </w:r>
      </w:hyperlink>
      <w:r w:rsidRPr="00A47266">
        <w:rPr>
          <w:i/>
          <w:iCs/>
          <w:w w:val="103"/>
          <w:lang w:val="en-GB" w:eastAsia="zh-CN"/>
        </w:rPr>
        <w:t>)</w:t>
      </w:r>
    </w:p>
    <w:p w14:paraId="42C9C5AF" w14:textId="77777777" w:rsidR="00BC189E" w:rsidRPr="00A47266" w:rsidRDefault="00BC189E" w:rsidP="00BC189E">
      <w:pPr>
        <w:keepNext/>
        <w:keepLines/>
        <w:tabs>
          <w:tab w:val="right" w:pos="851"/>
        </w:tabs>
        <w:spacing w:before="240" w:after="120" w:line="240" w:lineRule="exact"/>
        <w:ind w:left="1134" w:right="1134" w:hanging="1134"/>
        <w:rPr>
          <w:b/>
          <w:spacing w:val="4"/>
          <w:w w:val="103"/>
          <w:kern w:val="14"/>
          <w:lang w:val="en-GB" w:eastAsia="zh-CN"/>
        </w:rPr>
      </w:pPr>
      <w:r w:rsidRPr="00A47266">
        <w:rPr>
          <w:b/>
          <w:spacing w:val="4"/>
          <w:w w:val="103"/>
          <w:kern w:val="14"/>
          <w:lang w:val="en-GB" w:eastAsia="zh-CN"/>
        </w:rPr>
        <w:tab/>
        <w:t>6.</w:t>
      </w:r>
      <w:r w:rsidRPr="00A47266">
        <w:rPr>
          <w:b/>
          <w:spacing w:val="4"/>
          <w:w w:val="103"/>
          <w:kern w:val="14"/>
          <w:lang w:val="en-GB" w:eastAsia="zh-CN"/>
        </w:rPr>
        <w:tab/>
        <w:t>Annex 1, Appendix 2, paragraph 6.3</w:t>
      </w:r>
    </w:p>
    <w:p w14:paraId="51B19F64" w14:textId="468442A5" w:rsidR="00BC189E" w:rsidRPr="00A47266" w:rsidRDefault="00BC189E" w:rsidP="00BC189E">
      <w:pPr>
        <w:pStyle w:val="SingleTxtG"/>
        <w:rPr>
          <w:w w:val="103"/>
          <w:lang w:val="en-GB" w:eastAsia="zh-CN"/>
        </w:rPr>
      </w:pPr>
      <w:r w:rsidRPr="00A47266">
        <w:rPr>
          <w:w w:val="103"/>
          <w:lang w:val="en-GB" w:eastAsia="zh-CN"/>
        </w:rPr>
        <w:t>Amend the first sentence to read as follows :</w:t>
      </w:r>
    </w:p>
    <w:p w14:paraId="263CB0D9" w14:textId="77777777" w:rsidR="00BC189E" w:rsidRPr="00A47266" w:rsidRDefault="00BC189E" w:rsidP="00BC189E">
      <w:pPr>
        <w:pStyle w:val="SingleTxtG"/>
        <w:rPr>
          <w:w w:val="103"/>
          <w:lang w:val="en-GB" w:eastAsia="zh-CN"/>
        </w:rPr>
      </w:pPr>
      <w:r w:rsidRPr="00A47266">
        <w:rPr>
          <w:lang w:val="en-GB"/>
        </w:rPr>
        <w:t>"It shall be verified that the difference between the inside temperature of the empty equipment and the outside temperature which governs the class to which the equipment belongs as prescribed in this annex (a difference of 22 °C in the case of class A, 32 °C in the case of class B, 42 °C in the case of class C and 52 °C in the case of class D) can be achieved within a maximum period of 360 minutes."</w:t>
      </w:r>
    </w:p>
    <w:p w14:paraId="0D9A644D" w14:textId="4540B7A4" w:rsidR="00BC189E" w:rsidRPr="00A47266" w:rsidRDefault="00BC189E" w:rsidP="00BC189E">
      <w:pPr>
        <w:pStyle w:val="SingleTxtG"/>
        <w:rPr>
          <w:i/>
          <w:iCs/>
          <w:w w:val="103"/>
          <w:lang w:val="en-GB" w:eastAsia="zh-CN"/>
        </w:rPr>
      </w:pPr>
      <w:r w:rsidRPr="00A47266">
        <w:rPr>
          <w:i/>
          <w:iCs/>
          <w:w w:val="103"/>
          <w:lang w:val="en-GB" w:eastAsia="zh-CN"/>
        </w:rPr>
        <w:t xml:space="preserve">(Reference document : </w:t>
      </w:r>
      <w:hyperlink r:id="rId57" w:history="1">
        <w:r w:rsidRPr="00A47266">
          <w:rPr>
            <w:rStyle w:val="Lienhypertexte"/>
            <w:i/>
            <w:iCs/>
            <w:color w:val="auto"/>
            <w:w w:val="103"/>
            <w:lang w:val="en-GB" w:eastAsia="zh-CN"/>
          </w:rPr>
          <w:t>ECE/TRANS/WP.11/2023/18</w:t>
        </w:r>
      </w:hyperlink>
      <w:r w:rsidRPr="00A47266">
        <w:rPr>
          <w:i/>
          <w:iCs/>
          <w:w w:val="103"/>
          <w:lang w:val="en-GB" w:eastAsia="zh-CN"/>
        </w:rPr>
        <w:t xml:space="preserve"> as amended)</w:t>
      </w:r>
    </w:p>
    <w:p w14:paraId="557D4416" w14:textId="012F45EE" w:rsidR="00BC189E" w:rsidRPr="00A47266" w:rsidRDefault="00BC189E" w:rsidP="00BC189E">
      <w:pPr>
        <w:pStyle w:val="H23G"/>
        <w:rPr>
          <w:b w:val="0"/>
          <w:spacing w:val="4"/>
          <w:w w:val="103"/>
          <w:kern w:val="14"/>
          <w:lang w:val="en-GB" w:eastAsia="zh-CN"/>
        </w:rPr>
      </w:pPr>
      <w:r w:rsidRPr="00A47266">
        <w:rPr>
          <w:spacing w:val="4"/>
          <w:w w:val="103"/>
          <w:kern w:val="14"/>
          <w:lang w:val="en-GB" w:eastAsia="zh-CN"/>
        </w:rPr>
        <w:tab/>
        <w:t>7.</w:t>
      </w:r>
      <w:r w:rsidRPr="00A47266">
        <w:rPr>
          <w:spacing w:val="4"/>
          <w:w w:val="103"/>
          <w:kern w:val="14"/>
          <w:lang w:val="en-GB" w:eastAsia="zh-CN"/>
        </w:rPr>
        <w:tab/>
      </w:r>
      <w:r w:rsidRPr="00A47266">
        <w:rPr>
          <w:lang w:val="en-GB"/>
        </w:rPr>
        <w:t>Annex</w:t>
      </w:r>
      <w:r w:rsidRPr="00A47266">
        <w:rPr>
          <w:spacing w:val="4"/>
          <w:w w:val="103"/>
          <w:kern w:val="14"/>
          <w:lang w:val="en-GB" w:eastAsia="zh-CN"/>
        </w:rPr>
        <w:t xml:space="preserve"> 1, Appendix 2, paragraph 6.4 (ii)</w:t>
      </w:r>
    </w:p>
    <w:p w14:paraId="41A9D184" w14:textId="1BDDC2F6" w:rsidR="00BC189E" w:rsidRPr="00A47266" w:rsidRDefault="00BC189E" w:rsidP="00BC189E">
      <w:pPr>
        <w:pStyle w:val="SingleTxtG"/>
        <w:rPr>
          <w:w w:val="103"/>
          <w:lang w:val="en-GB" w:eastAsia="zh-CN"/>
        </w:rPr>
      </w:pPr>
      <w:r w:rsidRPr="00A47266">
        <w:rPr>
          <w:w w:val="103"/>
          <w:lang w:val="en-GB" w:eastAsia="zh-CN"/>
        </w:rPr>
        <w:t>Amend to read as follows :</w:t>
      </w:r>
    </w:p>
    <w:p w14:paraId="2AD78BDF" w14:textId="77777777" w:rsidR="00BC189E" w:rsidRPr="00A47266" w:rsidRDefault="00BC189E" w:rsidP="00BC189E">
      <w:pPr>
        <w:pStyle w:val="SingleTxtG"/>
        <w:rPr>
          <w:w w:val="103"/>
          <w:lang w:val="en-GB" w:eastAsia="zh-CN"/>
        </w:rPr>
      </w:pPr>
      <w:r w:rsidRPr="00A47266">
        <w:rPr>
          <w:lang w:val="en-GB"/>
        </w:rPr>
        <w:lastRenderedPageBreak/>
        <w:t>"(ii)</w:t>
      </w:r>
      <w:r w:rsidRPr="00A47266">
        <w:rPr>
          <w:lang w:val="en-GB"/>
        </w:rPr>
        <w:tab/>
        <w:t>In the second stage, it shall be verified that the difference between the inside temperature of the empty equipment and the outside temperature which governs the class to which the equipment belongs as prescribed in this annex (a difference of 22 °C in the case of classes A, E and I, of 32 °C in the case of classes B, F and J, of 42 °C in the case of classes C, G and K, and of 52 °C in the case of classes D, H, and L), can be achieved within a maximum period of 360 minutes"</w:t>
      </w:r>
    </w:p>
    <w:p w14:paraId="2A1DB877" w14:textId="61C53201" w:rsidR="00BC189E" w:rsidRPr="00A47266" w:rsidRDefault="00BC189E" w:rsidP="00BC189E">
      <w:pPr>
        <w:pStyle w:val="SingleTxtG"/>
        <w:rPr>
          <w:i/>
          <w:iCs/>
          <w:w w:val="103"/>
          <w:lang w:val="en-GB" w:eastAsia="zh-CN"/>
        </w:rPr>
      </w:pPr>
      <w:r w:rsidRPr="00A47266">
        <w:rPr>
          <w:i/>
          <w:iCs/>
          <w:w w:val="103"/>
          <w:lang w:val="en-GB" w:eastAsia="zh-CN"/>
        </w:rPr>
        <w:t xml:space="preserve">(Reference document : </w:t>
      </w:r>
      <w:hyperlink r:id="rId58" w:history="1">
        <w:r w:rsidRPr="00A47266">
          <w:rPr>
            <w:rStyle w:val="Lienhypertexte"/>
            <w:i/>
            <w:iCs/>
            <w:color w:val="auto"/>
            <w:w w:val="103"/>
            <w:lang w:val="en-GB" w:eastAsia="zh-CN"/>
          </w:rPr>
          <w:t>ECE/TRANS/WP.11/2023/18</w:t>
        </w:r>
      </w:hyperlink>
      <w:r w:rsidRPr="00A47266">
        <w:rPr>
          <w:i/>
          <w:iCs/>
          <w:w w:val="103"/>
          <w:lang w:val="en-GB" w:eastAsia="zh-CN"/>
        </w:rPr>
        <w:t xml:space="preserve"> as amended)</w:t>
      </w:r>
    </w:p>
    <w:p w14:paraId="513A6786" w14:textId="77777777" w:rsidR="00BC189E" w:rsidRPr="00A47266" w:rsidRDefault="00BC189E" w:rsidP="00BC189E">
      <w:pPr>
        <w:pStyle w:val="H23G"/>
        <w:rPr>
          <w:lang w:val="en-GB"/>
        </w:rPr>
      </w:pPr>
      <w:r w:rsidRPr="00A47266">
        <w:rPr>
          <w:bCs/>
          <w:lang w:val="en-GB"/>
        </w:rPr>
        <w:tab/>
        <w:t>8.</w:t>
      </w:r>
      <w:r w:rsidRPr="00A47266">
        <w:rPr>
          <w:lang w:val="en-GB"/>
        </w:rPr>
        <w:tab/>
        <w:t xml:space="preserve">Annex 1, Appendix 2, paragraph 8, </w:t>
      </w:r>
      <w:r w:rsidRPr="00A47266">
        <w:rPr>
          <w:bCs/>
          <w:lang w:val="en-GB"/>
        </w:rPr>
        <w:t>MODEL No. 1 A</w:t>
      </w:r>
    </w:p>
    <w:p w14:paraId="48A265A8" w14:textId="2A0FFED1" w:rsidR="00BC189E" w:rsidRPr="00A47266" w:rsidRDefault="00BC189E" w:rsidP="00BC189E">
      <w:pPr>
        <w:pStyle w:val="SingleTxtG"/>
        <w:rPr>
          <w:lang w:val="en-GB"/>
        </w:rPr>
      </w:pPr>
      <w:r w:rsidRPr="00A47266">
        <w:rPr>
          <w:lang w:val="en-GB"/>
        </w:rPr>
        <w:t>Add the following list at the end :</w:t>
      </w:r>
    </w:p>
    <w:p w14:paraId="51FE2657" w14:textId="77777777" w:rsidR="00BC189E" w:rsidRPr="00A47266" w:rsidRDefault="00BC189E" w:rsidP="00BC189E">
      <w:pPr>
        <w:pStyle w:val="Bullet1G"/>
        <w:numPr>
          <w:ilvl w:val="0"/>
          <w:numId w:val="0"/>
        </w:numPr>
        <w:ind w:left="1276"/>
        <w:rPr>
          <w:lang w:val="en-GB"/>
        </w:rPr>
      </w:pPr>
      <w:r w:rsidRPr="00A47266">
        <w:rPr>
          <w:lang w:val="en-GB"/>
        </w:rPr>
        <w:t>"</w:t>
      </w:r>
      <w:r w:rsidRPr="00A47266">
        <w:rPr>
          <w:b/>
          <w:bCs/>
          <w:lang w:val="en-GB"/>
        </w:rPr>
        <w:t>List of major components related to Insulation</w:t>
      </w:r>
    </w:p>
    <w:p w14:paraId="652E0996" w14:textId="77069139" w:rsidR="00BC189E" w:rsidRPr="00A47266" w:rsidRDefault="00BC189E" w:rsidP="00BC189E">
      <w:pPr>
        <w:pStyle w:val="SingleTxtG"/>
        <w:ind w:left="1854"/>
        <w:rPr>
          <w:lang w:val="en-GB"/>
        </w:rPr>
      </w:pPr>
      <w:r w:rsidRPr="00A47266">
        <w:rPr>
          <w:lang w:val="en-GB"/>
        </w:rPr>
        <w:t>Principal dimensions</w:t>
      </w:r>
      <w:r w:rsidRPr="00A47266">
        <w:rPr>
          <w:lang w:val="en-GB"/>
        </w:rPr>
        <w:tab/>
      </w:r>
      <w:r w:rsidRPr="00A47266">
        <w:rPr>
          <w:lang w:val="en-GB"/>
        </w:rPr>
        <w:tab/>
        <w:t>Total inside surface area Si of body</w:t>
      </w:r>
      <w:r w:rsidRPr="00A47266">
        <w:rPr>
          <w:lang w:val="en-GB"/>
        </w:rPr>
        <w:tab/>
        <w:t>m²</w:t>
      </w:r>
    </w:p>
    <w:p w14:paraId="3232A40C" w14:textId="15EF6CE5" w:rsidR="00BC189E" w:rsidRPr="00A47266" w:rsidRDefault="00BC189E" w:rsidP="00BC189E">
      <w:pPr>
        <w:pStyle w:val="SingleTxtG"/>
        <w:ind w:left="4524"/>
        <w:rPr>
          <w:lang w:val="en-GB"/>
        </w:rPr>
      </w:pPr>
      <w:r w:rsidRPr="00A47266">
        <w:rPr>
          <w:lang w:val="en-GB"/>
        </w:rPr>
        <w:t>Total outside surface area Se of body</w:t>
      </w:r>
      <w:r w:rsidRPr="00A47266">
        <w:rPr>
          <w:lang w:val="en-GB"/>
        </w:rPr>
        <w:tab/>
        <w:t>m²</w:t>
      </w:r>
    </w:p>
    <w:p w14:paraId="5BCC310E" w14:textId="77777777" w:rsidR="00BC189E" w:rsidRPr="00A47266" w:rsidRDefault="00BC189E" w:rsidP="00BC189E">
      <w:pPr>
        <w:pStyle w:val="SingleTxtG"/>
        <w:ind w:left="1854"/>
        <w:rPr>
          <w:lang w:val="en-GB"/>
        </w:rPr>
      </w:pPr>
      <w:r w:rsidRPr="00A47266">
        <w:rPr>
          <w:lang w:val="en-GB"/>
        </w:rPr>
        <w:t>Specifications of the body</w:t>
      </w:r>
      <w:r w:rsidRPr="00A47266">
        <w:rPr>
          <w:lang w:val="en-GB"/>
        </w:rPr>
        <w:tab/>
      </w:r>
      <w:r w:rsidRPr="00A47266">
        <w:rPr>
          <w:lang w:val="en-GB"/>
        </w:rPr>
        <w:tab/>
        <w:t>Top</w:t>
      </w:r>
    </w:p>
    <w:p w14:paraId="4382D7FA" w14:textId="426B7906" w:rsidR="00BC189E" w:rsidRPr="00A47266" w:rsidRDefault="00BC189E" w:rsidP="00BC189E">
      <w:pPr>
        <w:pStyle w:val="SingleTxtG"/>
        <w:ind w:left="1854"/>
        <w:rPr>
          <w:lang w:val="en-GB"/>
        </w:rPr>
      </w:pPr>
      <w:r w:rsidRPr="00A47266">
        <w:rPr>
          <w:lang w:val="en-GB"/>
        </w:rPr>
        <w:t xml:space="preserve">walls </w:t>
      </w:r>
      <w:r w:rsidRPr="00A47266">
        <w:rPr>
          <w:vertAlign w:val="superscript"/>
          <w:lang w:val="en-GB"/>
        </w:rPr>
        <w:t>a</w:t>
      </w:r>
      <w:r w:rsidRPr="00A47266">
        <w:rPr>
          <w:lang w:val="en-GB"/>
        </w:rPr>
        <w:tab/>
      </w:r>
      <w:r w:rsidRPr="00A47266">
        <w:rPr>
          <w:lang w:val="en-GB"/>
        </w:rPr>
        <w:tab/>
      </w:r>
      <w:r w:rsidRPr="00A47266">
        <w:rPr>
          <w:lang w:val="en-GB"/>
        </w:rPr>
        <w:tab/>
      </w:r>
      <w:r w:rsidRPr="00A47266">
        <w:rPr>
          <w:lang w:val="en-GB"/>
        </w:rPr>
        <w:tab/>
        <w:t>Bottom</w:t>
      </w:r>
    </w:p>
    <w:p w14:paraId="0DA46F42" w14:textId="7E011189" w:rsidR="00BC189E" w:rsidRPr="00A47266" w:rsidRDefault="00BC189E" w:rsidP="00BC189E">
      <w:pPr>
        <w:pStyle w:val="SingleTxtG"/>
        <w:ind w:left="4524"/>
        <w:rPr>
          <w:lang w:val="en-GB"/>
        </w:rPr>
      </w:pPr>
      <w:r w:rsidRPr="00A47266">
        <w:rPr>
          <w:lang w:val="en-GB"/>
        </w:rPr>
        <w:tab/>
        <w:t>Sides</w:t>
      </w:r>
    </w:p>
    <w:p w14:paraId="784CFDDB" w14:textId="77777777" w:rsidR="00BC189E" w:rsidRPr="00A47266" w:rsidRDefault="00BC189E" w:rsidP="00BC189E">
      <w:pPr>
        <w:pStyle w:val="SingleTxtG"/>
        <w:ind w:left="1854"/>
        <w:rPr>
          <w:lang w:val="en-GB"/>
        </w:rPr>
      </w:pPr>
      <w:r w:rsidRPr="00A47266">
        <w:rPr>
          <w:lang w:val="en-GB"/>
        </w:rPr>
        <w:t>Structural peculiarities of</w:t>
      </w:r>
      <w:r w:rsidRPr="00A47266">
        <w:rPr>
          <w:lang w:val="en-GB"/>
        </w:rPr>
        <w:tab/>
      </w:r>
      <w:r w:rsidRPr="00A47266">
        <w:rPr>
          <w:lang w:val="en-GB"/>
        </w:rPr>
        <w:tab/>
        <w:t>Number of doors</w:t>
      </w:r>
    </w:p>
    <w:p w14:paraId="2610C843" w14:textId="77777777" w:rsidR="00BC189E" w:rsidRPr="00A47266" w:rsidRDefault="00BC189E" w:rsidP="00BC189E">
      <w:pPr>
        <w:pStyle w:val="SingleTxtG"/>
        <w:ind w:left="1854"/>
        <w:rPr>
          <w:lang w:val="en-GB"/>
        </w:rPr>
      </w:pPr>
      <w:r w:rsidRPr="00A47266">
        <w:rPr>
          <w:lang w:val="en-GB"/>
        </w:rPr>
        <w:t>body</w:t>
      </w:r>
      <w:r w:rsidRPr="00A47266">
        <w:rPr>
          <w:lang w:val="en-GB"/>
        </w:rPr>
        <w:tab/>
      </w:r>
      <w:r w:rsidRPr="00A47266">
        <w:rPr>
          <w:lang w:val="en-GB"/>
        </w:rPr>
        <w:tab/>
      </w:r>
      <w:r w:rsidRPr="00A47266">
        <w:rPr>
          <w:lang w:val="en-GB"/>
        </w:rPr>
        <w:tab/>
      </w:r>
      <w:r w:rsidRPr="00A47266">
        <w:rPr>
          <w:lang w:val="en-GB"/>
        </w:rPr>
        <w:tab/>
      </w:r>
      <w:r w:rsidRPr="00A47266">
        <w:rPr>
          <w:lang w:val="en-GB"/>
        </w:rPr>
        <w:tab/>
        <w:t xml:space="preserve">Number of vents </w:t>
      </w:r>
    </w:p>
    <w:p w14:paraId="551967B5" w14:textId="1E11A5C2" w:rsidR="00BC189E" w:rsidRPr="00A47266" w:rsidRDefault="00BC189E" w:rsidP="00BC189E">
      <w:pPr>
        <w:pStyle w:val="SingleTxtG"/>
        <w:ind w:left="4524"/>
        <w:rPr>
          <w:lang w:val="en-GB"/>
        </w:rPr>
      </w:pPr>
      <w:r w:rsidRPr="00A47266">
        <w:rPr>
          <w:lang w:val="en-GB"/>
        </w:rPr>
        <w:t>Number of ice-loading apertures</w:t>
      </w:r>
    </w:p>
    <w:p w14:paraId="4AAC7441" w14:textId="77777777" w:rsidR="00BC189E" w:rsidRPr="00A47266" w:rsidRDefault="00BC189E" w:rsidP="00BC189E">
      <w:pPr>
        <w:pStyle w:val="SingleTxtG"/>
        <w:ind w:left="1854"/>
        <w:rPr>
          <w:lang w:val="en-GB"/>
        </w:rPr>
      </w:pPr>
      <w:r w:rsidRPr="00A47266">
        <w:rPr>
          <w:lang w:val="en-GB"/>
        </w:rPr>
        <w:t xml:space="preserve">Accessories </w:t>
      </w:r>
      <w:r w:rsidRPr="00A47266">
        <w:rPr>
          <w:vertAlign w:val="superscript"/>
          <w:lang w:val="en-GB"/>
        </w:rPr>
        <w:t>b</w:t>
      </w:r>
      <w:r w:rsidRPr="00A47266">
        <w:rPr>
          <w:lang w:val="en-GB"/>
        </w:rPr>
        <w:tab/>
      </w:r>
      <w:r w:rsidRPr="00A47266">
        <w:rPr>
          <w:lang w:val="en-GB"/>
        </w:rPr>
        <w:tab/>
      </w:r>
      <w:r w:rsidRPr="00A47266">
        <w:rPr>
          <w:lang w:val="en-GB"/>
        </w:rPr>
        <w:tab/>
        <w:t>Number and type</w:t>
      </w:r>
    </w:p>
    <w:p w14:paraId="54F4B1DC" w14:textId="77777777" w:rsidR="00BC189E" w:rsidRPr="00A47266" w:rsidRDefault="00BC189E" w:rsidP="00BC189E">
      <w:pPr>
        <w:pStyle w:val="SingleTxtG"/>
        <w:ind w:left="1985"/>
        <w:rPr>
          <w:i/>
          <w:iCs/>
          <w:lang w:val="en-GB"/>
        </w:rPr>
      </w:pPr>
      <w:r w:rsidRPr="00A47266">
        <w:rPr>
          <w:i/>
          <w:iCs/>
          <w:vertAlign w:val="superscript"/>
          <w:lang w:val="en-GB"/>
        </w:rPr>
        <w:t>a</w:t>
      </w:r>
      <w:r w:rsidRPr="00A47266">
        <w:rPr>
          <w:i/>
          <w:iCs/>
          <w:lang w:val="en-GB"/>
        </w:rPr>
        <w:t xml:space="preserve"> Nature and thickness of the main materials and thickness of panels constituting the body walls</w:t>
      </w:r>
    </w:p>
    <w:p w14:paraId="4A58335E" w14:textId="77777777" w:rsidR="00BC189E" w:rsidRPr="00A47266" w:rsidRDefault="00BC189E" w:rsidP="00BC189E">
      <w:pPr>
        <w:pStyle w:val="SingleTxtG"/>
        <w:ind w:left="1985"/>
        <w:rPr>
          <w:i/>
          <w:iCs/>
          <w:lang w:val="en-GB"/>
        </w:rPr>
      </w:pPr>
      <w:r w:rsidRPr="00A47266">
        <w:rPr>
          <w:i/>
          <w:iCs/>
          <w:vertAlign w:val="superscript"/>
          <w:lang w:val="en-GB"/>
        </w:rPr>
        <w:t>b</w:t>
      </w:r>
      <w:r w:rsidRPr="00A47266">
        <w:rPr>
          <w:i/>
          <w:iCs/>
          <w:lang w:val="en-GB"/>
        </w:rPr>
        <w:t xml:space="preserve"> Accessories that can have an impact on K coefficient</w:t>
      </w:r>
    </w:p>
    <w:p w14:paraId="34B76CF3" w14:textId="5CD4FE98" w:rsidR="00BC189E" w:rsidRPr="00A47266" w:rsidRDefault="00BC189E" w:rsidP="00BC189E">
      <w:pPr>
        <w:pStyle w:val="SingleTxtG"/>
        <w:ind w:left="1843"/>
        <w:rPr>
          <w:lang w:val="en-GB"/>
        </w:rPr>
      </w:pPr>
      <w:r w:rsidRPr="00A47266">
        <w:rPr>
          <w:b/>
          <w:bCs/>
          <w:i/>
          <w:iCs/>
          <w:lang w:val="en-GB"/>
        </w:rPr>
        <w:t>Note :</w:t>
      </w:r>
      <w:r w:rsidRPr="00A47266">
        <w:rPr>
          <w:i/>
          <w:iCs/>
          <w:lang w:val="en-GB"/>
        </w:rPr>
        <w:t xml:space="preserve"> Each component or characteristic should be understood ‘if applicable’."</w:t>
      </w:r>
    </w:p>
    <w:p w14:paraId="7BDB6AE9" w14:textId="2EEFCC78" w:rsidR="00BC189E" w:rsidRPr="00A47266" w:rsidRDefault="00BC189E" w:rsidP="00BC189E">
      <w:pPr>
        <w:pStyle w:val="SingleTxtG"/>
        <w:rPr>
          <w:i/>
          <w:iCs/>
          <w:w w:val="103"/>
          <w:lang w:val="en-GB" w:eastAsia="zh-CN"/>
        </w:rPr>
      </w:pPr>
      <w:r w:rsidRPr="00A47266">
        <w:rPr>
          <w:i/>
          <w:iCs/>
          <w:w w:val="103"/>
          <w:lang w:val="en-GB" w:eastAsia="zh-CN"/>
        </w:rPr>
        <w:t xml:space="preserve">(Reference documents : </w:t>
      </w:r>
      <w:hyperlink r:id="rId59" w:history="1">
        <w:r w:rsidRPr="00A47266">
          <w:rPr>
            <w:rStyle w:val="Lienhypertexte"/>
            <w:i/>
            <w:iCs/>
            <w:color w:val="auto"/>
            <w:w w:val="103"/>
            <w:lang w:val="en-GB" w:eastAsia="zh-CN"/>
          </w:rPr>
          <w:t>ECE/TRANS/WP.11/2023/12</w:t>
        </w:r>
      </w:hyperlink>
      <w:r w:rsidRPr="00A47266">
        <w:rPr>
          <w:i/>
          <w:iCs/>
          <w:w w:val="103"/>
          <w:lang w:val="en-GB" w:eastAsia="zh-CN"/>
        </w:rPr>
        <w:t>)</w:t>
      </w:r>
    </w:p>
    <w:p w14:paraId="2BA1552C" w14:textId="77777777" w:rsidR="00BC189E" w:rsidRPr="00A47266" w:rsidRDefault="00BC189E" w:rsidP="00BC189E">
      <w:pPr>
        <w:pStyle w:val="H23G"/>
        <w:rPr>
          <w:bCs/>
          <w:lang w:val="en-GB"/>
        </w:rPr>
      </w:pPr>
      <w:r w:rsidRPr="00A47266">
        <w:rPr>
          <w:b w:val="0"/>
          <w:lang w:val="en-GB"/>
        </w:rPr>
        <w:tab/>
      </w:r>
      <w:r w:rsidRPr="00A47266">
        <w:rPr>
          <w:bCs/>
          <w:lang w:val="en-GB"/>
        </w:rPr>
        <w:t>9.</w:t>
      </w:r>
      <w:r w:rsidRPr="00A47266">
        <w:rPr>
          <w:bCs/>
          <w:lang w:val="en-GB"/>
        </w:rPr>
        <w:tab/>
        <w:t>Annex 1, Appendix 2, paragraph 8, MODEL No. 12</w:t>
      </w:r>
    </w:p>
    <w:p w14:paraId="674D3B72" w14:textId="7B7EF7FF" w:rsidR="00BC189E" w:rsidRPr="00A47266" w:rsidRDefault="00BC189E" w:rsidP="00BC189E">
      <w:pPr>
        <w:pStyle w:val="SingleTxtG"/>
        <w:rPr>
          <w:lang w:val="en-GB"/>
        </w:rPr>
      </w:pPr>
      <w:r w:rsidRPr="00A47266">
        <w:rPr>
          <w:lang w:val="en-GB"/>
        </w:rPr>
        <w:t>Add the following lists at the end :</w:t>
      </w:r>
    </w:p>
    <w:p w14:paraId="559BE332" w14:textId="77777777" w:rsidR="00BC189E" w:rsidRPr="00A47266" w:rsidRDefault="00BC189E" w:rsidP="00BC189E">
      <w:pPr>
        <w:pStyle w:val="Bullet1G"/>
        <w:numPr>
          <w:ilvl w:val="0"/>
          <w:numId w:val="0"/>
        </w:numPr>
        <w:ind w:left="1276"/>
        <w:rPr>
          <w:lang w:val="en-GB"/>
        </w:rPr>
      </w:pPr>
      <w:r w:rsidRPr="00A47266">
        <w:rPr>
          <w:lang w:val="en-GB"/>
        </w:rPr>
        <w:t>"</w:t>
      </w:r>
      <w:r w:rsidRPr="00A47266">
        <w:rPr>
          <w:b/>
          <w:bCs/>
          <w:lang w:val="en-GB"/>
        </w:rPr>
        <w:t>List of major components related to Power source</w:t>
      </w:r>
    </w:p>
    <w:p w14:paraId="21382E24" w14:textId="77777777" w:rsidR="00BC189E" w:rsidRPr="00A47266" w:rsidRDefault="00BC189E" w:rsidP="00BC189E">
      <w:pPr>
        <w:pStyle w:val="SingleTxtG"/>
        <w:ind w:left="1701"/>
        <w:rPr>
          <w:lang w:val="en-GB"/>
        </w:rPr>
      </w:pPr>
      <w:r w:rsidRPr="00A47266">
        <w:rPr>
          <w:lang w:val="en-GB"/>
        </w:rPr>
        <w:t>Compressor drive</w:t>
      </w:r>
    </w:p>
    <w:p w14:paraId="049889C2" w14:textId="2BFC87AE" w:rsidR="00BC189E" w:rsidRPr="00A47266" w:rsidRDefault="00BC189E" w:rsidP="00BC189E">
      <w:pPr>
        <w:pStyle w:val="SingleTxtG"/>
        <w:ind w:left="1854"/>
        <w:rPr>
          <w:lang w:val="en-GB"/>
        </w:rPr>
      </w:pPr>
      <w:r w:rsidRPr="00A47266">
        <w:rPr>
          <w:lang w:val="en-GB"/>
        </w:rPr>
        <w:t>Electrical Power source</w:t>
      </w:r>
      <w:r w:rsidRPr="00A47266">
        <w:rPr>
          <w:lang w:val="en-GB"/>
        </w:rPr>
        <w:tab/>
      </w:r>
      <w:r w:rsidRPr="00A47266">
        <w:rPr>
          <w:lang w:val="en-GB"/>
        </w:rPr>
        <w:tab/>
      </w:r>
      <w:r w:rsidRPr="00A47266">
        <w:rPr>
          <w:lang w:val="en-GB"/>
        </w:rPr>
        <w:tab/>
        <w:t>Type</w:t>
      </w:r>
    </w:p>
    <w:p w14:paraId="0AA156D6" w14:textId="20066860" w:rsidR="00BC189E" w:rsidRPr="00A47266" w:rsidRDefault="00BC189E" w:rsidP="00BC189E">
      <w:pPr>
        <w:pStyle w:val="SingleTxtG"/>
        <w:ind w:left="4524"/>
        <w:rPr>
          <w:lang w:val="en-GB"/>
        </w:rPr>
      </w:pPr>
      <w:r w:rsidRPr="00A47266">
        <w:rPr>
          <w:lang w:val="en-GB"/>
        </w:rPr>
        <w:tab/>
        <w:t>Current type (AC/DC)</w:t>
      </w:r>
    </w:p>
    <w:p w14:paraId="6A8D0B88" w14:textId="329CBF24" w:rsidR="00BC189E" w:rsidRPr="00A47266" w:rsidRDefault="00BC189E" w:rsidP="00BC189E">
      <w:pPr>
        <w:pStyle w:val="SingleTxtG"/>
        <w:ind w:left="4524"/>
        <w:rPr>
          <w:lang w:val="en-GB"/>
        </w:rPr>
      </w:pPr>
      <w:r w:rsidRPr="00A47266">
        <w:rPr>
          <w:lang w:val="en-GB"/>
        </w:rPr>
        <w:tab/>
        <w:t>Nominal output power</w:t>
      </w:r>
      <w:r w:rsidRPr="00A47266">
        <w:rPr>
          <w:lang w:val="en-GB"/>
        </w:rPr>
        <w:tab/>
      </w:r>
      <w:r w:rsidRPr="00A47266">
        <w:rPr>
          <w:lang w:val="en-GB"/>
        </w:rPr>
        <w:tab/>
        <w:t>kW</w:t>
      </w:r>
    </w:p>
    <w:p w14:paraId="40005EA9" w14:textId="24EED3D9" w:rsidR="00BC189E" w:rsidRPr="00A47266" w:rsidRDefault="00BC189E" w:rsidP="00BC189E">
      <w:pPr>
        <w:pStyle w:val="SingleTxtG"/>
        <w:ind w:left="4524"/>
        <w:rPr>
          <w:lang w:val="en-GB"/>
        </w:rPr>
      </w:pPr>
      <w:r w:rsidRPr="00A47266">
        <w:rPr>
          <w:lang w:val="en-GB"/>
        </w:rPr>
        <w:tab/>
        <w:t>Nominal speed (if applicable)</w:t>
      </w:r>
      <w:r w:rsidRPr="00A47266">
        <w:rPr>
          <w:lang w:val="en-GB"/>
        </w:rPr>
        <w:tab/>
        <w:t>rpm</w:t>
      </w:r>
    </w:p>
    <w:p w14:paraId="693C55B4" w14:textId="22716B3E" w:rsidR="00BC189E" w:rsidRPr="00A47266" w:rsidRDefault="00BC189E" w:rsidP="00BC189E">
      <w:pPr>
        <w:pStyle w:val="SingleTxtG"/>
        <w:ind w:left="4524"/>
        <w:rPr>
          <w:lang w:val="en-GB"/>
        </w:rPr>
      </w:pPr>
      <w:r w:rsidRPr="00A47266">
        <w:rPr>
          <w:lang w:val="en-GB"/>
        </w:rPr>
        <w:tab/>
        <w:t>Supply voltage</w:t>
      </w:r>
      <w:r w:rsidRPr="00A47266">
        <w:rPr>
          <w:lang w:val="en-GB"/>
        </w:rPr>
        <w:tab/>
      </w:r>
      <w:r w:rsidRPr="00A47266">
        <w:rPr>
          <w:lang w:val="en-GB"/>
        </w:rPr>
        <w:tab/>
      </w:r>
      <w:r w:rsidRPr="00A47266">
        <w:rPr>
          <w:lang w:val="en-GB"/>
        </w:rPr>
        <w:tab/>
        <w:t>V</w:t>
      </w:r>
    </w:p>
    <w:p w14:paraId="4AB0D233" w14:textId="5E2900CD" w:rsidR="00BC189E" w:rsidRPr="00A47266" w:rsidRDefault="00BC189E" w:rsidP="00BC189E">
      <w:pPr>
        <w:pStyle w:val="SingleTxtG"/>
        <w:ind w:left="4524"/>
        <w:rPr>
          <w:lang w:val="en-GB"/>
        </w:rPr>
      </w:pPr>
      <w:r w:rsidRPr="00A47266">
        <w:rPr>
          <w:lang w:val="en-GB"/>
        </w:rPr>
        <w:tab/>
        <w:t>Supply frequency</w:t>
      </w:r>
      <w:r w:rsidRPr="00A47266">
        <w:rPr>
          <w:lang w:val="en-GB"/>
        </w:rPr>
        <w:tab/>
      </w:r>
      <w:r w:rsidRPr="00A47266">
        <w:rPr>
          <w:lang w:val="en-GB"/>
        </w:rPr>
        <w:tab/>
      </w:r>
      <w:r w:rsidRPr="00A47266">
        <w:rPr>
          <w:lang w:val="en-GB"/>
        </w:rPr>
        <w:tab/>
        <w:t>Hz</w:t>
      </w:r>
    </w:p>
    <w:p w14:paraId="1B93262C" w14:textId="11EDDE6D" w:rsidR="00BC189E" w:rsidRPr="00A47266" w:rsidRDefault="00BC189E" w:rsidP="00BC189E">
      <w:pPr>
        <w:pStyle w:val="SingleTxtG"/>
        <w:ind w:left="1854"/>
        <w:rPr>
          <w:lang w:val="en-GB"/>
        </w:rPr>
      </w:pPr>
      <w:r w:rsidRPr="00A47266">
        <w:rPr>
          <w:lang w:val="en-GB"/>
        </w:rPr>
        <w:t>Internal Combustion Engine</w:t>
      </w:r>
      <w:r w:rsidRPr="00A47266">
        <w:rPr>
          <w:lang w:val="en-GB"/>
        </w:rPr>
        <w:tab/>
      </w:r>
      <w:r w:rsidRPr="00A47266">
        <w:rPr>
          <w:lang w:val="en-GB"/>
        </w:rPr>
        <w:tab/>
        <w:t>Type</w:t>
      </w:r>
    </w:p>
    <w:p w14:paraId="74073C72" w14:textId="6FB9B22F" w:rsidR="00BC189E" w:rsidRPr="00A47266" w:rsidRDefault="00BC189E" w:rsidP="00BC189E">
      <w:pPr>
        <w:pStyle w:val="SingleTxtG"/>
        <w:ind w:left="4524"/>
        <w:rPr>
          <w:lang w:val="en-GB"/>
        </w:rPr>
      </w:pPr>
      <w:r w:rsidRPr="00A47266">
        <w:rPr>
          <w:lang w:val="en-GB"/>
        </w:rPr>
        <w:t>Number of cylinders</w:t>
      </w:r>
      <w:r w:rsidRPr="00A47266">
        <w:rPr>
          <w:lang w:val="en-GB"/>
        </w:rPr>
        <w:tab/>
      </w:r>
    </w:p>
    <w:p w14:paraId="504D29EF" w14:textId="4C20B6BE" w:rsidR="00BC189E" w:rsidRPr="00A47266" w:rsidRDefault="00BC189E" w:rsidP="00BC189E">
      <w:pPr>
        <w:pStyle w:val="SingleTxtG"/>
        <w:ind w:left="4524"/>
        <w:rPr>
          <w:lang w:val="en-GB"/>
        </w:rPr>
      </w:pPr>
      <w:r w:rsidRPr="00A47266">
        <w:rPr>
          <w:lang w:val="en-GB"/>
        </w:rPr>
        <w:t>Cubic capacity</w:t>
      </w:r>
      <w:r w:rsidRPr="00A47266">
        <w:rPr>
          <w:lang w:val="en-GB"/>
        </w:rPr>
        <w:tab/>
      </w:r>
      <w:r w:rsidRPr="00A47266">
        <w:rPr>
          <w:lang w:val="en-GB"/>
        </w:rPr>
        <w:tab/>
      </w:r>
      <w:r w:rsidRPr="00A47266">
        <w:rPr>
          <w:lang w:val="en-GB"/>
        </w:rPr>
        <w:tab/>
        <w:t>cc</w:t>
      </w:r>
    </w:p>
    <w:p w14:paraId="3B4E9356" w14:textId="3F4E1DCE" w:rsidR="00BC189E" w:rsidRPr="00A47266" w:rsidRDefault="00BC189E" w:rsidP="00BC189E">
      <w:pPr>
        <w:pStyle w:val="SingleTxtG"/>
        <w:ind w:left="4524"/>
        <w:rPr>
          <w:lang w:val="en-GB"/>
        </w:rPr>
      </w:pPr>
      <w:r w:rsidRPr="00A47266">
        <w:rPr>
          <w:lang w:val="en-GB"/>
        </w:rPr>
        <w:t>Nominal output power</w:t>
      </w:r>
      <w:r w:rsidRPr="00A47266">
        <w:rPr>
          <w:lang w:val="en-GB"/>
        </w:rPr>
        <w:tab/>
      </w:r>
      <w:r w:rsidRPr="00A47266">
        <w:rPr>
          <w:lang w:val="en-GB"/>
        </w:rPr>
        <w:tab/>
        <w:t>kW</w:t>
      </w:r>
    </w:p>
    <w:p w14:paraId="50771818" w14:textId="29C494F4" w:rsidR="00BC189E" w:rsidRPr="00A47266" w:rsidRDefault="00BC189E" w:rsidP="00BC189E">
      <w:pPr>
        <w:pStyle w:val="SingleTxtG"/>
        <w:ind w:left="4524"/>
        <w:rPr>
          <w:lang w:val="en-GB"/>
        </w:rPr>
      </w:pPr>
      <w:r w:rsidRPr="00A47266">
        <w:rPr>
          <w:lang w:val="en-GB"/>
        </w:rPr>
        <w:t>Nominal speed</w:t>
      </w:r>
      <w:r w:rsidRPr="00A47266">
        <w:rPr>
          <w:lang w:val="en-GB"/>
        </w:rPr>
        <w:tab/>
      </w:r>
      <w:r w:rsidRPr="00A47266">
        <w:rPr>
          <w:lang w:val="en-GB"/>
        </w:rPr>
        <w:tab/>
      </w:r>
      <w:r w:rsidRPr="00A47266">
        <w:rPr>
          <w:lang w:val="en-GB"/>
        </w:rPr>
        <w:tab/>
        <w:t>rpm</w:t>
      </w:r>
    </w:p>
    <w:p w14:paraId="2204B252" w14:textId="0AA032B1" w:rsidR="00BC189E" w:rsidRPr="00A47266" w:rsidRDefault="00BC189E" w:rsidP="00BC189E">
      <w:pPr>
        <w:pStyle w:val="SingleTxtG"/>
        <w:ind w:left="4524"/>
        <w:rPr>
          <w:lang w:val="en-GB"/>
        </w:rPr>
      </w:pPr>
      <w:r w:rsidRPr="00A47266">
        <w:rPr>
          <w:lang w:val="en-GB"/>
        </w:rPr>
        <w:t>Fuel</w:t>
      </w:r>
    </w:p>
    <w:p w14:paraId="61AC33DB" w14:textId="6D7AC89F" w:rsidR="00BC189E" w:rsidRPr="00A47266" w:rsidRDefault="00BC189E" w:rsidP="00BC189E">
      <w:pPr>
        <w:pStyle w:val="SingleTxtG"/>
        <w:keepNext/>
        <w:ind w:left="1854"/>
        <w:rPr>
          <w:lang w:val="en-GB"/>
        </w:rPr>
      </w:pPr>
      <w:r w:rsidRPr="00A47266">
        <w:rPr>
          <w:lang w:val="en-GB"/>
        </w:rPr>
        <w:lastRenderedPageBreak/>
        <w:t>Hydraulic motor</w:t>
      </w:r>
      <w:r w:rsidRPr="00A47266">
        <w:rPr>
          <w:lang w:val="en-GB"/>
        </w:rPr>
        <w:tab/>
      </w:r>
      <w:r w:rsidRPr="00A47266">
        <w:rPr>
          <w:lang w:val="en-GB"/>
        </w:rPr>
        <w:tab/>
      </w:r>
      <w:r w:rsidRPr="00A47266">
        <w:rPr>
          <w:lang w:val="en-GB"/>
        </w:rPr>
        <w:tab/>
      </w:r>
      <w:r w:rsidRPr="00A47266">
        <w:rPr>
          <w:lang w:val="en-GB"/>
        </w:rPr>
        <w:tab/>
        <w:t>Type</w:t>
      </w:r>
    </w:p>
    <w:p w14:paraId="24B2865A" w14:textId="77777777" w:rsidR="00BC189E" w:rsidRPr="00A47266" w:rsidRDefault="00BC189E" w:rsidP="00BC189E">
      <w:pPr>
        <w:pStyle w:val="SingleTxtG"/>
        <w:ind w:left="4524"/>
        <w:rPr>
          <w:lang w:val="en-GB"/>
        </w:rPr>
      </w:pPr>
      <w:r w:rsidRPr="00A47266">
        <w:rPr>
          <w:lang w:val="en-GB"/>
        </w:rPr>
        <w:t>Method of drive</w:t>
      </w:r>
    </w:p>
    <w:p w14:paraId="21B69BCE" w14:textId="7914BF51" w:rsidR="00BC189E" w:rsidRPr="00A47266" w:rsidRDefault="00BC189E" w:rsidP="00BC189E">
      <w:pPr>
        <w:pStyle w:val="SingleTxtG"/>
        <w:ind w:left="1854"/>
        <w:rPr>
          <w:lang w:val="en-GB"/>
        </w:rPr>
      </w:pPr>
      <w:r w:rsidRPr="00A47266">
        <w:rPr>
          <w:lang w:val="en-GB"/>
        </w:rPr>
        <w:t>Other mechanical</w:t>
      </w:r>
      <w:r w:rsidRPr="00A47266">
        <w:rPr>
          <w:lang w:val="en-GB"/>
        </w:rPr>
        <w:tab/>
      </w:r>
      <w:r w:rsidRPr="00A47266">
        <w:rPr>
          <w:lang w:val="en-GB"/>
        </w:rPr>
        <w:tab/>
      </w:r>
      <w:r w:rsidRPr="00A47266">
        <w:rPr>
          <w:lang w:val="en-GB"/>
        </w:rPr>
        <w:tab/>
        <w:t>Nominal speed</w:t>
      </w:r>
      <w:r w:rsidRPr="00A47266">
        <w:rPr>
          <w:lang w:val="en-GB"/>
        </w:rPr>
        <w:tab/>
      </w:r>
      <w:r w:rsidRPr="00A47266">
        <w:rPr>
          <w:lang w:val="en-GB"/>
        </w:rPr>
        <w:tab/>
      </w:r>
      <w:r w:rsidRPr="00A47266">
        <w:rPr>
          <w:lang w:val="en-GB"/>
        </w:rPr>
        <w:tab/>
        <w:t>rpm</w:t>
      </w:r>
    </w:p>
    <w:p w14:paraId="7583F76A" w14:textId="17080546" w:rsidR="00BC189E" w:rsidRPr="00A47266" w:rsidRDefault="00BC189E" w:rsidP="00BC189E">
      <w:pPr>
        <w:pStyle w:val="SingleTxtG"/>
        <w:ind w:left="1854"/>
        <w:rPr>
          <w:lang w:val="en-GB"/>
        </w:rPr>
      </w:pPr>
      <w:r w:rsidRPr="00A47266">
        <w:rPr>
          <w:lang w:val="en-GB"/>
        </w:rPr>
        <w:t>Minimum speed</w:t>
      </w:r>
      <w:r w:rsidRPr="00A47266">
        <w:rPr>
          <w:lang w:val="en-GB"/>
        </w:rPr>
        <w:tab/>
      </w:r>
      <w:r w:rsidRPr="00A47266">
        <w:rPr>
          <w:lang w:val="en-GB"/>
        </w:rPr>
        <w:tab/>
      </w:r>
      <w:r w:rsidRPr="00A47266">
        <w:rPr>
          <w:lang w:val="en-GB"/>
        </w:rPr>
        <w:tab/>
        <w:t>rpm</w:t>
      </w:r>
    </w:p>
    <w:p w14:paraId="62B78595" w14:textId="113E6938" w:rsidR="00BC189E" w:rsidRPr="00A47266" w:rsidRDefault="00BC189E" w:rsidP="00BC189E">
      <w:pPr>
        <w:pStyle w:val="SingleTxtG"/>
        <w:spacing w:after="240"/>
        <w:ind w:left="1843"/>
        <w:rPr>
          <w:i/>
          <w:iCs/>
          <w:lang w:val="en-GB"/>
        </w:rPr>
      </w:pPr>
      <w:r w:rsidRPr="00A47266">
        <w:rPr>
          <w:b/>
          <w:bCs/>
          <w:i/>
          <w:iCs/>
          <w:lang w:val="en-GB"/>
        </w:rPr>
        <w:t>Note :</w:t>
      </w:r>
      <w:r w:rsidRPr="00A47266">
        <w:rPr>
          <w:i/>
          <w:iCs/>
          <w:lang w:val="en-GB"/>
        </w:rPr>
        <w:t xml:space="preserve"> Each component or characteristic should be understood ‘if applicable’.</w:t>
      </w:r>
    </w:p>
    <w:p w14:paraId="358C8A82" w14:textId="77777777" w:rsidR="00BC189E" w:rsidRPr="00A47266" w:rsidRDefault="00BC189E" w:rsidP="00BC189E">
      <w:pPr>
        <w:pStyle w:val="Bullet1G"/>
        <w:numPr>
          <w:ilvl w:val="0"/>
          <w:numId w:val="0"/>
        </w:numPr>
        <w:ind w:left="1276"/>
        <w:rPr>
          <w:b/>
          <w:bCs/>
          <w:lang w:val="en-GB"/>
        </w:rPr>
      </w:pPr>
      <w:r w:rsidRPr="00A47266">
        <w:rPr>
          <w:b/>
          <w:bCs/>
          <w:lang w:val="en-GB"/>
        </w:rPr>
        <w:t>List of major components related to cold/heat production and distribution</w:t>
      </w:r>
    </w:p>
    <w:p w14:paraId="713CC836" w14:textId="45EB9089" w:rsidR="00BC189E" w:rsidRPr="00A47266" w:rsidRDefault="00BC189E" w:rsidP="0054680D">
      <w:pPr>
        <w:pStyle w:val="SingleTxtG"/>
        <w:ind w:left="1854"/>
        <w:rPr>
          <w:lang w:val="en-GB"/>
        </w:rPr>
      </w:pPr>
      <w:r w:rsidRPr="00A47266">
        <w:rPr>
          <w:lang w:val="en-GB"/>
        </w:rPr>
        <w:t>Refrigerant</w:t>
      </w:r>
      <w:r w:rsidRPr="00A47266">
        <w:rPr>
          <w:lang w:val="en-GB"/>
        </w:rPr>
        <w:tab/>
      </w:r>
      <w:r w:rsidRPr="00A47266">
        <w:rPr>
          <w:lang w:val="en-GB"/>
        </w:rPr>
        <w:tab/>
      </w:r>
      <w:r w:rsidRPr="00A47266">
        <w:rPr>
          <w:lang w:val="en-GB"/>
        </w:rPr>
        <w:tab/>
      </w:r>
      <w:r w:rsidRPr="00A47266">
        <w:rPr>
          <w:lang w:val="en-GB"/>
        </w:rPr>
        <w:tab/>
        <w:t>Refrigerant fluid</w:t>
      </w:r>
    </w:p>
    <w:p w14:paraId="044508C2" w14:textId="29BF1B4F" w:rsidR="00BC189E" w:rsidRPr="00A47266" w:rsidRDefault="00BC189E" w:rsidP="00BC189E">
      <w:pPr>
        <w:pStyle w:val="SingleTxtG"/>
        <w:ind w:left="4524"/>
        <w:rPr>
          <w:lang w:val="en-GB"/>
        </w:rPr>
      </w:pPr>
      <w:r w:rsidRPr="00A47266">
        <w:rPr>
          <w:lang w:val="en-GB"/>
        </w:rPr>
        <w:t>Refrigerant charge</w:t>
      </w:r>
      <w:r w:rsidRPr="00A47266">
        <w:rPr>
          <w:lang w:val="en-GB"/>
        </w:rPr>
        <w:tab/>
      </w:r>
      <w:r w:rsidRPr="00A47266">
        <w:rPr>
          <w:lang w:val="en-GB"/>
        </w:rPr>
        <w:tab/>
      </w:r>
      <w:r w:rsidRPr="00A47266">
        <w:rPr>
          <w:lang w:val="en-GB"/>
        </w:rPr>
        <w:tab/>
        <w:t>kg</w:t>
      </w:r>
    </w:p>
    <w:p w14:paraId="676DB5BE" w14:textId="77777777" w:rsidR="00BC189E" w:rsidRPr="00A47266" w:rsidRDefault="00BC189E" w:rsidP="00BC189E">
      <w:pPr>
        <w:pStyle w:val="SingleTxtG"/>
        <w:ind w:left="1854"/>
        <w:rPr>
          <w:lang w:val="en-GB"/>
        </w:rPr>
      </w:pPr>
      <w:r w:rsidRPr="00A47266">
        <w:rPr>
          <w:lang w:val="en-GB"/>
        </w:rPr>
        <w:t>Compressor</w:t>
      </w:r>
      <w:r w:rsidRPr="00A47266">
        <w:rPr>
          <w:lang w:val="en-GB"/>
        </w:rPr>
        <w:tab/>
      </w:r>
      <w:r w:rsidRPr="00A47266">
        <w:rPr>
          <w:lang w:val="en-GB"/>
        </w:rPr>
        <w:tab/>
      </w:r>
      <w:r w:rsidRPr="00A47266">
        <w:rPr>
          <w:lang w:val="en-GB"/>
        </w:rPr>
        <w:tab/>
      </w:r>
      <w:r w:rsidRPr="00A47266">
        <w:rPr>
          <w:lang w:val="en-GB"/>
        </w:rPr>
        <w:tab/>
        <w:t>Type</w:t>
      </w:r>
    </w:p>
    <w:p w14:paraId="76E22DDC" w14:textId="2387671D" w:rsidR="00BC189E" w:rsidRPr="00A47266" w:rsidRDefault="00BC189E" w:rsidP="00BC189E">
      <w:pPr>
        <w:pStyle w:val="SingleTxtG"/>
        <w:ind w:left="4524"/>
        <w:rPr>
          <w:lang w:val="en-GB"/>
        </w:rPr>
      </w:pPr>
      <w:r w:rsidRPr="00A47266">
        <w:rPr>
          <w:lang w:val="en-GB"/>
        </w:rPr>
        <w:t>Number of cylinders</w:t>
      </w:r>
    </w:p>
    <w:p w14:paraId="5E064A14" w14:textId="1C8B8CF8" w:rsidR="00BC189E" w:rsidRPr="00A47266" w:rsidRDefault="00BC189E" w:rsidP="00BC189E">
      <w:pPr>
        <w:pStyle w:val="SingleTxtG"/>
        <w:ind w:left="4524"/>
        <w:rPr>
          <w:lang w:val="en-GB"/>
        </w:rPr>
      </w:pPr>
      <w:r w:rsidRPr="00A47266">
        <w:rPr>
          <w:lang w:val="en-GB"/>
        </w:rPr>
        <w:t>Cubic capacity</w:t>
      </w:r>
      <w:r w:rsidRPr="00A47266">
        <w:rPr>
          <w:lang w:val="en-GB"/>
        </w:rPr>
        <w:tab/>
      </w:r>
      <w:r w:rsidRPr="00A47266">
        <w:rPr>
          <w:lang w:val="en-GB"/>
        </w:rPr>
        <w:tab/>
      </w:r>
      <w:r w:rsidRPr="00A47266">
        <w:rPr>
          <w:lang w:val="en-GB"/>
        </w:rPr>
        <w:tab/>
        <w:t>cc</w:t>
      </w:r>
    </w:p>
    <w:p w14:paraId="3254D688" w14:textId="30ABB9DF" w:rsidR="00BC189E" w:rsidRPr="00A47266" w:rsidRDefault="00BC189E" w:rsidP="00BC189E">
      <w:pPr>
        <w:pStyle w:val="SingleTxtG"/>
        <w:ind w:left="4524"/>
        <w:rPr>
          <w:lang w:val="en-GB"/>
        </w:rPr>
      </w:pPr>
      <w:r w:rsidRPr="00A47266">
        <w:rPr>
          <w:lang w:val="en-GB"/>
        </w:rPr>
        <w:t>Nominal speed of rotation</w:t>
      </w:r>
      <w:r w:rsidRPr="00A47266">
        <w:rPr>
          <w:lang w:val="en-GB"/>
        </w:rPr>
        <w:tab/>
      </w:r>
      <w:r w:rsidRPr="00A47266">
        <w:rPr>
          <w:lang w:val="en-GB"/>
        </w:rPr>
        <w:tab/>
        <w:t>rpm</w:t>
      </w:r>
    </w:p>
    <w:p w14:paraId="7BB6DD25" w14:textId="23DB4CFD" w:rsidR="00BC189E" w:rsidRPr="00A47266" w:rsidRDefault="00BC189E" w:rsidP="00BC189E">
      <w:pPr>
        <w:pStyle w:val="SingleTxtG"/>
        <w:ind w:left="1854"/>
        <w:rPr>
          <w:lang w:val="en-GB"/>
        </w:rPr>
      </w:pPr>
      <w:r w:rsidRPr="00A47266">
        <w:rPr>
          <w:lang w:val="en-GB"/>
        </w:rPr>
        <w:t>Heat exchangers</w:t>
      </w:r>
      <w:r w:rsidRPr="00A47266">
        <w:rPr>
          <w:lang w:val="en-GB"/>
        </w:rPr>
        <w:tab/>
      </w:r>
      <w:r w:rsidRPr="00A47266">
        <w:rPr>
          <w:lang w:val="en-GB"/>
        </w:rPr>
        <w:tab/>
      </w:r>
      <w:r w:rsidRPr="00A47266">
        <w:rPr>
          <w:lang w:val="en-GB"/>
        </w:rPr>
        <w:tab/>
        <w:t>Type</w:t>
      </w:r>
    </w:p>
    <w:p w14:paraId="314EC80F" w14:textId="77777777" w:rsidR="00BC189E" w:rsidRPr="00A47266" w:rsidRDefault="00BC189E" w:rsidP="00BC189E">
      <w:pPr>
        <w:pStyle w:val="SingleTxtG"/>
        <w:ind w:left="1854"/>
        <w:rPr>
          <w:lang w:val="en-GB"/>
        </w:rPr>
      </w:pPr>
      <w:r w:rsidRPr="00A47266">
        <w:rPr>
          <w:i/>
          <w:iCs/>
          <w:lang w:val="en-GB"/>
        </w:rPr>
        <w:t>Condenser</w:t>
      </w:r>
      <w:r w:rsidRPr="00A47266">
        <w:rPr>
          <w:lang w:val="en-GB"/>
        </w:rPr>
        <w:tab/>
      </w:r>
      <w:r w:rsidRPr="00A47266">
        <w:rPr>
          <w:lang w:val="en-GB"/>
        </w:rPr>
        <w:tab/>
      </w:r>
      <w:r w:rsidRPr="00A47266">
        <w:rPr>
          <w:lang w:val="en-GB"/>
        </w:rPr>
        <w:tab/>
      </w:r>
      <w:r w:rsidRPr="00A47266">
        <w:rPr>
          <w:lang w:val="en-GB"/>
        </w:rPr>
        <w:tab/>
        <w:t>Number of tubes</w:t>
      </w:r>
    </w:p>
    <w:p w14:paraId="365DA56A" w14:textId="2F2552F0" w:rsidR="00BC189E" w:rsidRPr="00A47266" w:rsidRDefault="00BC189E" w:rsidP="00BC189E">
      <w:pPr>
        <w:pStyle w:val="SingleTxtG"/>
        <w:ind w:left="1854"/>
        <w:rPr>
          <w:lang w:val="en-GB"/>
        </w:rPr>
      </w:pPr>
      <w:r w:rsidRPr="00A47266">
        <w:rPr>
          <w:i/>
          <w:iCs/>
          <w:lang w:val="en-GB"/>
        </w:rPr>
        <w:t>Evaporator(s)</w:t>
      </w:r>
      <w:r w:rsidRPr="00A47266">
        <w:rPr>
          <w:lang w:val="en-GB"/>
        </w:rPr>
        <w:tab/>
      </w:r>
      <w:r w:rsidRPr="00A47266">
        <w:rPr>
          <w:lang w:val="en-GB"/>
        </w:rPr>
        <w:tab/>
      </w:r>
      <w:r w:rsidRPr="00A47266">
        <w:rPr>
          <w:lang w:val="en-GB"/>
        </w:rPr>
        <w:tab/>
        <w:t>Fin pitch</w:t>
      </w:r>
      <w:r w:rsidRPr="00A47266">
        <w:rPr>
          <w:lang w:val="en-GB"/>
        </w:rPr>
        <w:tab/>
      </w:r>
      <w:r w:rsidRPr="00A47266">
        <w:rPr>
          <w:lang w:val="en-GB"/>
        </w:rPr>
        <w:tab/>
      </w:r>
      <w:r w:rsidRPr="00A47266">
        <w:rPr>
          <w:lang w:val="en-GB"/>
        </w:rPr>
        <w:tab/>
      </w:r>
      <w:r w:rsidRPr="00A47266">
        <w:rPr>
          <w:lang w:val="en-GB"/>
        </w:rPr>
        <w:tab/>
        <w:t>mm</w:t>
      </w:r>
    </w:p>
    <w:p w14:paraId="419FB5AA" w14:textId="47066732" w:rsidR="00BC189E" w:rsidRPr="00A47266" w:rsidRDefault="00BC189E" w:rsidP="00BC189E">
      <w:pPr>
        <w:pStyle w:val="SingleTxtG"/>
        <w:ind w:left="4524"/>
        <w:rPr>
          <w:lang w:val="en-GB"/>
        </w:rPr>
      </w:pPr>
      <w:r w:rsidRPr="00A47266">
        <w:rPr>
          <w:lang w:val="en-GB"/>
        </w:rPr>
        <w:t>Nature of tube</w:t>
      </w:r>
    </w:p>
    <w:p w14:paraId="270912A7" w14:textId="5BB1B211" w:rsidR="00BC189E" w:rsidRPr="00A47266" w:rsidRDefault="00BC189E" w:rsidP="00BC189E">
      <w:pPr>
        <w:pStyle w:val="SingleTxtG"/>
        <w:ind w:left="4524"/>
        <w:rPr>
          <w:lang w:val="en-GB"/>
        </w:rPr>
      </w:pPr>
      <w:r w:rsidRPr="00A47266">
        <w:rPr>
          <w:lang w:val="en-GB"/>
        </w:rPr>
        <w:t>Diameter of tube</w:t>
      </w:r>
      <w:r w:rsidRPr="00A47266">
        <w:rPr>
          <w:lang w:val="en-GB"/>
        </w:rPr>
        <w:tab/>
      </w:r>
      <w:r w:rsidRPr="00A47266">
        <w:rPr>
          <w:lang w:val="en-GB"/>
        </w:rPr>
        <w:tab/>
      </w:r>
      <w:r w:rsidRPr="00A47266">
        <w:rPr>
          <w:lang w:val="en-GB"/>
        </w:rPr>
        <w:tab/>
        <w:t>mm</w:t>
      </w:r>
    </w:p>
    <w:p w14:paraId="221D469E" w14:textId="4B092C43" w:rsidR="00BC189E" w:rsidRPr="00A47266" w:rsidRDefault="00BC189E" w:rsidP="00BC189E">
      <w:pPr>
        <w:pStyle w:val="SingleTxtG"/>
        <w:ind w:left="4524"/>
        <w:rPr>
          <w:lang w:val="en-GB"/>
        </w:rPr>
      </w:pPr>
      <w:r w:rsidRPr="00A47266">
        <w:rPr>
          <w:lang w:val="en-GB"/>
        </w:rPr>
        <w:t>Exchange surface area</w:t>
      </w:r>
      <w:r w:rsidRPr="00A47266">
        <w:rPr>
          <w:lang w:val="en-GB"/>
        </w:rPr>
        <w:tab/>
      </w:r>
      <w:r w:rsidRPr="00A47266">
        <w:rPr>
          <w:lang w:val="en-GB"/>
        </w:rPr>
        <w:tab/>
        <w:t>m</w:t>
      </w:r>
      <w:r w:rsidRPr="00A47266">
        <w:rPr>
          <w:vertAlign w:val="superscript"/>
          <w:lang w:val="en-GB"/>
        </w:rPr>
        <w:t>2</w:t>
      </w:r>
    </w:p>
    <w:p w14:paraId="582AECD8" w14:textId="39F3EA5F" w:rsidR="00BC189E" w:rsidRPr="00A47266" w:rsidRDefault="00BC189E" w:rsidP="00BC189E">
      <w:pPr>
        <w:pStyle w:val="SingleTxtG"/>
        <w:ind w:left="4524"/>
        <w:rPr>
          <w:lang w:val="en-GB"/>
        </w:rPr>
      </w:pPr>
      <w:r w:rsidRPr="00A47266">
        <w:rPr>
          <w:lang w:val="en-GB"/>
        </w:rPr>
        <w:t>Frontal area</w:t>
      </w:r>
      <w:r w:rsidRPr="00A47266">
        <w:rPr>
          <w:lang w:val="en-GB"/>
        </w:rPr>
        <w:tab/>
      </w:r>
      <w:r w:rsidRPr="00A47266">
        <w:rPr>
          <w:lang w:val="en-GB"/>
        </w:rPr>
        <w:tab/>
      </w:r>
      <w:r w:rsidRPr="00A47266">
        <w:rPr>
          <w:lang w:val="en-GB"/>
        </w:rPr>
        <w:tab/>
      </w:r>
      <w:r w:rsidRPr="00A47266">
        <w:rPr>
          <w:lang w:val="en-GB"/>
        </w:rPr>
        <w:tab/>
        <w:t>m</w:t>
      </w:r>
      <w:r w:rsidRPr="00A47266">
        <w:rPr>
          <w:vertAlign w:val="superscript"/>
          <w:lang w:val="en-GB"/>
        </w:rPr>
        <w:t>2</w:t>
      </w:r>
    </w:p>
    <w:p w14:paraId="01CD0552" w14:textId="77777777" w:rsidR="00BC189E" w:rsidRPr="00A47266" w:rsidRDefault="00BC189E" w:rsidP="00BC189E">
      <w:pPr>
        <w:pStyle w:val="SingleTxtG"/>
        <w:ind w:left="1854"/>
        <w:rPr>
          <w:lang w:val="en-GB"/>
        </w:rPr>
      </w:pPr>
      <w:r w:rsidRPr="00A47266">
        <w:rPr>
          <w:lang w:val="en-GB"/>
        </w:rPr>
        <w:t>Heat exchangers Fans</w:t>
      </w:r>
      <w:r w:rsidRPr="00A47266">
        <w:rPr>
          <w:lang w:val="en-GB"/>
        </w:rPr>
        <w:tab/>
        <w:t>Number of fans</w:t>
      </w:r>
    </w:p>
    <w:p w14:paraId="3151CF04" w14:textId="77777777" w:rsidR="00BC189E" w:rsidRPr="00A47266" w:rsidRDefault="00BC189E" w:rsidP="00BC189E">
      <w:pPr>
        <w:pStyle w:val="SingleTxtG"/>
        <w:ind w:left="1854"/>
        <w:rPr>
          <w:lang w:val="en-GB"/>
        </w:rPr>
      </w:pPr>
      <w:r w:rsidRPr="00A47266">
        <w:rPr>
          <w:i/>
          <w:iCs/>
          <w:lang w:val="en-GB"/>
        </w:rPr>
        <w:t>Condenser</w:t>
      </w:r>
      <w:r w:rsidRPr="00A47266">
        <w:rPr>
          <w:lang w:val="en-GB"/>
        </w:rPr>
        <w:tab/>
      </w:r>
      <w:r w:rsidRPr="00A47266">
        <w:rPr>
          <w:lang w:val="en-GB"/>
        </w:rPr>
        <w:tab/>
      </w:r>
      <w:r w:rsidRPr="00A47266">
        <w:rPr>
          <w:lang w:val="en-GB"/>
        </w:rPr>
        <w:tab/>
      </w:r>
      <w:r w:rsidRPr="00A47266">
        <w:rPr>
          <w:lang w:val="en-GB"/>
        </w:rPr>
        <w:tab/>
        <w:t>Fan type (axial/radial)</w:t>
      </w:r>
    </w:p>
    <w:p w14:paraId="2A7F9716" w14:textId="77777777" w:rsidR="00BC189E" w:rsidRPr="00A47266" w:rsidRDefault="00BC189E" w:rsidP="00BC189E">
      <w:pPr>
        <w:pStyle w:val="SingleTxtG"/>
        <w:ind w:left="1854"/>
        <w:rPr>
          <w:lang w:val="en-GB"/>
        </w:rPr>
      </w:pPr>
      <w:r w:rsidRPr="00A47266">
        <w:rPr>
          <w:i/>
          <w:iCs/>
          <w:lang w:val="en-GB"/>
        </w:rPr>
        <w:t>Evaporator(s)</w:t>
      </w:r>
      <w:r w:rsidRPr="00A47266">
        <w:rPr>
          <w:lang w:val="en-GB"/>
        </w:rPr>
        <w:tab/>
      </w:r>
      <w:r w:rsidRPr="00A47266">
        <w:rPr>
          <w:lang w:val="en-GB"/>
        </w:rPr>
        <w:tab/>
        <w:t>Number of blades per fan</w:t>
      </w:r>
    </w:p>
    <w:p w14:paraId="7BD3EE2C" w14:textId="0A59A895" w:rsidR="00BC189E" w:rsidRPr="00A47266" w:rsidRDefault="00BC189E" w:rsidP="00BC189E">
      <w:pPr>
        <w:pStyle w:val="SingleTxtG"/>
        <w:ind w:left="4524"/>
        <w:rPr>
          <w:lang w:val="en-GB"/>
        </w:rPr>
      </w:pPr>
      <w:r w:rsidRPr="00A47266">
        <w:rPr>
          <w:lang w:val="en-GB"/>
        </w:rPr>
        <w:t>Diameter of fan</w:t>
      </w:r>
      <w:r w:rsidRPr="00A47266">
        <w:rPr>
          <w:lang w:val="en-GB"/>
        </w:rPr>
        <w:tab/>
      </w:r>
      <w:r w:rsidRPr="00A47266">
        <w:rPr>
          <w:lang w:val="en-GB"/>
        </w:rPr>
        <w:tab/>
      </w:r>
      <w:r w:rsidRPr="00A47266">
        <w:rPr>
          <w:lang w:val="en-GB"/>
        </w:rPr>
        <w:tab/>
        <w:t>mm</w:t>
      </w:r>
    </w:p>
    <w:p w14:paraId="0C64FD42" w14:textId="2CA5086A" w:rsidR="00BC189E" w:rsidRPr="00A47266" w:rsidRDefault="00BC189E" w:rsidP="00BC189E">
      <w:pPr>
        <w:pStyle w:val="SingleTxtG"/>
        <w:ind w:left="4524"/>
        <w:rPr>
          <w:lang w:val="en-GB"/>
        </w:rPr>
      </w:pPr>
      <w:r w:rsidRPr="00A47266">
        <w:rPr>
          <w:lang w:val="en-GB"/>
        </w:rPr>
        <w:t>Nominal power</w:t>
      </w:r>
      <w:r w:rsidRPr="00A47266">
        <w:rPr>
          <w:lang w:val="en-GB"/>
        </w:rPr>
        <w:tab/>
      </w:r>
      <w:r w:rsidRPr="00A47266">
        <w:rPr>
          <w:lang w:val="en-GB"/>
        </w:rPr>
        <w:tab/>
      </w:r>
      <w:r w:rsidRPr="00A47266">
        <w:rPr>
          <w:lang w:val="en-GB"/>
        </w:rPr>
        <w:tab/>
        <w:t>W</w:t>
      </w:r>
    </w:p>
    <w:p w14:paraId="1954766A" w14:textId="17BEF10E" w:rsidR="00BC189E" w:rsidRPr="00A47266" w:rsidRDefault="00BC189E" w:rsidP="00BC189E">
      <w:pPr>
        <w:pStyle w:val="SingleTxtG"/>
        <w:ind w:left="3969"/>
        <w:rPr>
          <w:lang w:val="en-GB"/>
        </w:rPr>
      </w:pPr>
      <w:r w:rsidRPr="00A47266">
        <w:rPr>
          <w:lang w:val="en-GB"/>
        </w:rPr>
        <w:t>Total nominal output at defined</w:t>
      </w:r>
      <w:r w:rsidRPr="00A47266">
        <w:rPr>
          <w:lang w:val="en-GB"/>
        </w:rPr>
        <w:tab/>
        <w:t>(m</w:t>
      </w:r>
      <w:r w:rsidRPr="00A47266">
        <w:rPr>
          <w:vertAlign w:val="superscript"/>
          <w:lang w:val="en-GB"/>
        </w:rPr>
        <w:t>3</w:t>
      </w:r>
      <w:r w:rsidRPr="00A47266">
        <w:rPr>
          <w:lang w:val="en-GB"/>
        </w:rPr>
        <w:t>/h)</w:t>
      </w:r>
      <w:r w:rsidRPr="00A47266">
        <w:rPr>
          <w:lang w:val="en-GB"/>
        </w:rPr>
        <w:br/>
        <w:t>pressure</w:t>
      </w:r>
    </w:p>
    <w:p w14:paraId="584F8524" w14:textId="77777777" w:rsidR="00BC189E" w:rsidRPr="00A47266" w:rsidRDefault="00BC189E" w:rsidP="0054680D">
      <w:pPr>
        <w:pStyle w:val="SingleTxtG"/>
        <w:ind w:left="3969"/>
        <w:rPr>
          <w:lang w:val="en-GB"/>
        </w:rPr>
      </w:pPr>
      <w:r w:rsidRPr="00A47266">
        <w:rPr>
          <w:lang w:val="en-GB"/>
        </w:rPr>
        <w:t>or</w:t>
      </w:r>
    </w:p>
    <w:p w14:paraId="7DB39E9A" w14:textId="77777777" w:rsidR="00BC189E" w:rsidRPr="00A47266" w:rsidRDefault="00BC189E" w:rsidP="0054680D">
      <w:pPr>
        <w:pStyle w:val="SingleTxtG"/>
        <w:ind w:left="3969"/>
        <w:rPr>
          <w:lang w:val="en-GB"/>
        </w:rPr>
      </w:pPr>
      <w:r w:rsidRPr="00A47266">
        <w:rPr>
          <w:lang w:val="en-GB"/>
        </w:rPr>
        <w:t>Nominal rotation speed</w:t>
      </w:r>
      <w:r w:rsidRPr="00A47266">
        <w:rPr>
          <w:lang w:val="en-GB"/>
        </w:rPr>
        <w:tab/>
      </w:r>
      <w:r w:rsidRPr="00A47266">
        <w:rPr>
          <w:lang w:val="en-GB"/>
        </w:rPr>
        <w:tab/>
        <w:t>rpm</w:t>
      </w:r>
    </w:p>
    <w:p w14:paraId="6ED862B1" w14:textId="1301E0E3" w:rsidR="00BC189E" w:rsidRPr="00A47266" w:rsidRDefault="00BC189E" w:rsidP="0054680D">
      <w:pPr>
        <w:pStyle w:val="SingleTxtG"/>
        <w:ind w:left="4524"/>
        <w:rPr>
          <w:lang w:val="en-GB"/>
        </w:rPr>
      </w:pPr>
      <w:r w:rsidRPr="00A47266">
        <w:rPr>
          <w:lang w:val="en-GB"/>
        </w:rPr>
        <w:t>Method of drive</w:t>
      </w:r>
    </w:p>
    <w:p w14:paraId="7E4F1E1A" w14:textId="77777777" w:rsidR="00BC189E" w:rsidRPr="00A47266" w:rsidRDefault="00BC189E" w:rsidP="00BC189E">
      <w:pPr>
        <w:pStyle w:val="SingleTxtG"/>
        <w:ind w:left="1854"/>
        <w:rPr>
          <w:lang w:val="en-GB"/>
        </w:rPr>
      </w:pPr>
      <w:r w:rsidRPr="00A47266">
        <w:rPr>
          <w:lang w:val="en-GB"/>
        </w:rPr>
        <w:t>Expansion valve</w:t>
      </w:r>
      <w:r w:rsidRPr="00A47266">
        <w:rPr>
          <w:lang w:val="en-GB"/>
        </w:rPr>
        <w:tab/>
      </w:r>
      <w:r w:rsidRPr="00A47266">
        <w:rPr>
          <w:lang w:val="en-GB"/>
        </w:rPr>
        <w:tab/>
        <w:t>Type</w:t>
      </w:r>
    </w:p>
    <w:p w14:paraId="3C42CAC0" w14:textId="0A34D9E7" w:rsidR="00BC189E" w:rsidRPr="00A47266" w:rsidRDefault="00BC189E" w:rsidP="00BC189E">
      <w:pPr>
        <w:pStyle w:val="SingleTxtG"/>
        <w:ind w:left="1843"/>
        <w:rPr>
          <w:i/>
          <w:iCs/>
          <w:lang w:val="en-GB"/>
        </w:rPr>
      </w:pPr>
      <w:r w:rsidRPr="00A47266">
        <w:rPr>
          <w:b/>
          <w:bCs/>
          <w:i/>
          <w:iCs/>
          <w:lang w:val="en-GB"/>
        </w:rPr>
        <w:t>Note :</w:t>
      </w:r>
      <w:r w:rsidRPr="00A47266">
        <w:rPr>
          <w:i/>
          <w:iCs/>
          <w:lang w:val="en-GB"/>
        </w:rPr>
        <w:t xml:space="preserve"> Each component or characteristic should be understood ‘if applicable’.”</w:t>
      </w:r>
    </w:p>
    <w:p w14:paraId="6968F29A" w14:textId="47FCF51E" w:rsidR="00BC189E" w:rsidRPr="00A47266" w:rsidRDefault="00BC189E" w:rsidP="00BC189E">
      <w:pPr>
        <w:pStyle w:val="SingleTxtG"/>
        <w:rPr>
          <w:b/>
          <w:spacing w:val="4"/>
          <w:w w:val="103"/>
          <w:kern w:val="14"/>
          <w:lang w:val="en-GB" w:eastAsia="zh-CN"/>
        </w:rPr>
      </w:pPr>
      <w:r w:rsidRPr="00A47266">
        <w:rPr>
          <w:i/>
          <w:iCs/>
          <w:w w:val="103"/>
          <w:lang w:val="en-GB" w:eastAsia="zh-CN"/>
        </w:rPr>
        <w:t xml:space="preserve">(Reference documents : </w:t>
      </w:r>
      <w:hyperlink r:id="rId60" w:history="1">
        <w:r w:rsidRPr="00A47266">
          <w:rPr>
            <w:rStyle w:val="Lienhypertexte"/>
            <w:i/>
            <w:iCs/>
            <w:color w:val="auto"/>
            <w:w w:val="103"/>
            <w:lang w:val="en-GB" w:eastAsia="zh-CN"/>
          </w:rPr>
          <w:t>ECE/TRANS/WP.11/2023/12</w:t>
        </w:r>
      </w:hyperlink>
      <w:r w:rsidRPr="00A47266">
        <w:rPr>
          <w:i/>
          <w:iCs/>
          <w:w w:val="103"/>
          <w:lang w:val="en-GB" w:eastAsia="zh-CN"/>
        </w:rPr>
        <w:t>)</w:t>
      </w:r>
    </w:p>
    <w:p w14:paraId="7A2FE964" w14:textId="77777777" w:rsidR="00BC189E" w:rsidRPr="00A47266" w:rsidRDefault="00BC189E" w:rsidP="00BC189E">
      <w:pPr>
        <w:keepNext/>
        <w:keepLines/>
        <w:tabs>
          <w:tab w:val="right" w:pos="851"/>
        </w:tabs>
        <w:spacing w:before="240" w:after="120" w:line="240" w:lineRule="exact"/>
        <w:ind w:left="1134" w:right="1134" w:hanging="1134"/>
        <w:rPr>
          <w:b/>
          <w:spacing w:val="4"/>
          <w:w w:val="103"/>
          <w:kern w:val="14"/>
          <w:lang w:val="en-GB" w:eastAsia="zh-CN"/>
        </w:rPr>
      </w:pPr>
      <w:r w:rsidRPr="00A47266">
        <w:rPr>
          <w:b/>
          <w:spacing w:val="4"/>
          <w:w w:val="103"/>
          <w:kern w:val="14"/>
          <w:lang w:val="en-GB" w:eastAsia="zh-CN"/>
        </w:rPr>
        <w:tab/>
        <w:t>10.</w:t>
      </w:r>
      <w:r w:rsidRPr="00A47266">
        <w:rPr>
          <w:b/>
          <w:spacing w:val="4"/>
          <w:w w:val="103"/>
          <w:kern w:val="14"/>
          <w:lang w:val="en-GB" w:eastAsia="zh-CN"/>
        </w:rPr>
        <w:tab/>
        <w:t>Annex 1, Appendix 3, part A</w:t>
      </w:r>
    </w:p>
    <w:p w14:paraId="1B198D4D" w14:textId="77777777" w:rsidR="00BC189E" w:rsidRPr="00A47266" w:rsidRDefault="00BC189E" w:rsidP="00BC189E">
      <w:pPr>
        <w:pStyle w:val="SingleTxtG"/>
        <w:rPr>
          <w:w w:val="103"/>
          <w:lang w:val="en-GB" w:eastAsia="zh-CN"/>
        </w:rPr>
      </w:pPr>
      <w:r w:rsidRPr="00A47266">
        <w:rPr>
          <w:w w:val="103"/>
          <w:lang w:val="en-GB" w:eastAsia="zh-CN"/>
        </w:rPr>
        <w:t>Delete both transitional provisions after the title.</w:t>
      </w:r>
    </w:p>
    <w:p w14:paraId="3E4E9312" w14:textId="0B5B244C" w:rsidR="00BC189E" w:rsidRPr="00A47266" w:rsidRDefault="00BC189E" w:rsidP="00BC189E">
      <w:pPr>
        <w:pStyle w:val="SingleTxtG"/>
        <w:rPr>
          <w:i/>
          <w:iCs/>
          <w:w w:val="103"/>
          <w:lang w:val="en-GB" w:eastAsia="zh-CN"/>
        </w:rPr>
      </w:pPr>
      <w:r w:rsidRPr="00A47266">
        <w:rPr>
          <w:i/>
          <w:iCs/>
          <w:w w:val="103"/>
          <w:lang w:val="en-GB" w:eastAsia="zh-CN"/>
        </w:rPr>
        <w:t xml:space="preserve">(Reference document : </w:t>
      </w:r>
      <w:hyperlink r:id="rId61" w:history="1">
        <w:r w:rsidRPr="00A47266">
          <w:rPr>
            <w:rStyle w:val="Lienhypertexte"/>
            <w:i/>
            <w:iCs/>
            <w:color w:val="auto"/>
            <w:w w:val="103"/>
            <w:lang w:val="en-GB" w:eastAsia="zh-CN"/>
          </w:rPr>
          <w:t>ECE/TRANS/WP.11/2023/14</w:t>
        </w:r>
      </w:hyperlink>
      <w:r w:rsidRPr="00A47266">
        <w:rPr>
          <w:i/>
          <w:iCs/>
          <w:w w:val="103"/>
          <w:lang w:val="en-GB" w:eastAsia="zh-CN"/>
        </w:rPr>
        <w:t>)</w:t>
      </w:r>
    </w:p>
    <w:p w14:paraId="676CFA0B" w14:textId="77777777" w:rsidR="00BC189E" w:rsidRPr="00A47266" w:rsidRDefault="00BC189E" w:rsidP="00BC189E">
      <w:pPr>
        <w:pStyle w:val="SingleTxtG"/>
        <w:rPr>
          <w:w w:val="103"/>
          <w:lang w:val="fr-FR" w:eastAsia="zh-CN"/>
        </w:rPr>
      </w:pPr>
      <w:r w:rsidRPr="00A47266">
        <w:rPr>
          <w:w w:val="103"/>
          <w:lang w:val="fr-FR" w:eastAsia="zh-CN"/>
        </w:rPr>
        <w:br w:type="page"/>
      </w:r>
    </w:p>
    <w:p w14:paraId="5AC17666" w14:textId="4E108C59" w:rsidR="00BC189E" w:rsidRPr="00A47266" w:rsidRDefault="00BC189E" w:rsidP="00BC189E">
      <w:pPr>
        <w:pStyle w:val="HChG"/>
        <w:rPr>
          <w:lang w:val="fr-FR"/>
        </w:rPr>
      </w:pPr>
      <w:r w:rsidRPr="00A47266">
        <w:rPr>
          <w:lang w:val="fr-FR"/>
        </w:rPr>
        <w:lastRenderedPageBreak/>
        <w:t>Annexe III</w:t>
      </w:r>
    </w:p>
    <w:p w14:paraId="4AE8114D" w14:textId="213D7725" w:rsidR="00BC189E" w:rsidRPr="00A47266" w:rsidRDefault="00BC189E" w:rsidP="00BC189E">
      <w:pPr>
        <w:pStyle w:val="SingleTxtG"/>
        <w:jc w:val="right"/>
        <w:rPr>
          <w:b/>
          <w:lang w:val="fr-FR"/>
        </w:rPr>
      </w:pPr>
      <w:r w:rsidRPr="00A47266">
        <w:rPr>
          <w:lang w:val="fr-FR"/>
        </w:rPr>
        <w:t>[Original : anglais et français]</w:t>
      </w:r>
    </w:p>
    <w:p w14:paraId="43ECA68A" w14:textId="77777777" w:rsidR="00BC189E" w:rsidRPr="00A47266" w:rsidRDefault="00BC189E" w:rsidP="00BC189E">
      <w:pPr>
        <w:pStyle w:val="HChG"/>
        <w:rPr>
          <w:lang w:val="en-GB"/>
        </w:rPr>
      </w:pPr>
      <w:r w:rsidRPr="00A47266">
        <w:rPr>
          <w:lang w:val="en-GB"/>
        </w:rPr>
        <w:tab/>
      </w:r>
      <w:r w:rsidRPr="00A47266">
        <w:rPr>
          <w:lang w:val="en-GB"/>
        </w:rPr>
        <w:tab/>
        <w:t>Additions to the ATP Handbook</w:t>
      </w:r>
    </w:p>
    <w:p w14:paraId="68BDE7BA" w14:textId="77777777" w:rsidR="00BC189E" w:rsidRPr="00A47266" w:rsidRDefault="00BC189E" w:rsidP="00BC189E">
      <w:pPr>
        <w:pStyle w:val="H23G"/>
        <w:rPr>
          <w:lang w:val="en-GB"/>
        </w:rPr>
      </w:pPr>
      <w:r w:rsidRPr="00A47266">
        <w:rPr>
          <w:lang w:val="en-GB"/>
        </w:rPr>
        <w:tab/>
        <w:t>1.</w:t>
      </w:r>
      <w:r w:rsidRPr="00A47266">
        <w:rPr>
          <w:lang w:val="en-GB"/>
        </w:rPr>
        <w:tab/>
        <w:t>Annex 2, Appendix 1, comments, paragraph 4</w:t>
      </w:r>
    </w:p>
    <w:p w14:paraId="586FC47A" w14:textId="0613E272" w:rsidR="00BC189E" w:rsidRPr="00A47266" w:rsidRDefault="00BC189E" w:rsidP="00BC189E">
      <w:pPr>
        <w:pStyle w:val="SingleTxtG"/>
        <w:rPr>
          <w:lang w:val="en-GB"/>
        </w:rPr>
      </w:pPr>
      <w:r w:rsidRPr="00A47266">
        <w:rPr>
          <w:lang w:val="en-GB"/>
        </w:rPr>
        <w:t>Amend the second bullet point to read as follows :</w:t>
      </w:r>
    </w:p>
    <w:p w14:paraId="52D16A77" w14:textId="42268CF2" w:rsidR="00BC189E" w:rsidRPr="00A47266" w:rsidRDefault="00BC189E" w:rsidP="00BC189E">
      <w:pPr>
        <w:pStyle w:val="SingleTxtG"/>
        <w:rPr>
          <w:shd w:val="clear" w:color="000000" w:fill="FFFFFF"/>
          <w:lang w:val="en-GB"/>
        </w:rPr>
      </w:pPr>
      <w:r w:rsidRPr="00A47266">
        <w:rPr>
          <w:shd w:val="clear" w:color="000000" w:fill="FFFFFF"/>
          <w:lang w:val="en-GB"/>
        </w:rPr>
        <w:t>"In the case of upper cold air distribution systems, near (to the left or right of) the corner furthest from the evaporator outlets, at the top (in the upper quarter of the height) ;"</w:t>
      </w:r>
    </w:p>
    <w:p w14:paraId="46EE3185" w14:textId="57726A0E" w:rsidR="00BC189E" w:rsidRPr="00A47266" w:rsidRDefault="00BC189E" w:rsidP="00BC189E">
      <w:pPr>
        <w:pStyle w:val="SingleTxtG"/>
        <w:rPr>
          <w:w w:val="103"/>
          <w:lang w:val="en-GB" w:eastAsia="zh-CN"/>
        </w:rPr>
      </w:pPr>
      <w:r w:rsidRPr="00A47266">
        <w:rPr>
          <w:i/>
          <w:iCs/>
          <w:w w:val="103"/>
          <w:lang w:val="en-GB" w:eastAsia="zh-CN"/>
        </w:rPr>
        <w:t xml:space="preserve">(Reference document : </w:t>
      </w:r>
      <w:hyperlink r:id="rId62" w:history="1">
        <w:r w:rsidRPr="00A47266">
          <w:rPr>
            <w:rStyle w:val="Lienhypertexte"/>
            <w:i/>
            <w:iCs/>
            <w:color w:val="auto"/>
            <w:w w:val="103"/>
            <w:lang w:val="en-GB" w:eastAsia="zh-CN"/>
          </w:rPr>
          <w:t>ECE/TRANS/WP.11/2023/10</w:t>
        </w:r>
      </w:hyperlink>
      <w:r w:rsidRPr="00A47266">
        <w:rPr>
          <w:i/>
          <w:iCs/>
          <w:w w:val="103"/>
          <w:lang w:val="en-GB" w:eastAsia="zh-CN"/>
        </w:rPr>
        <w:t>)</w:t>
      </w:r>
    </w:p>
    <w:p w14:paraId="25D4FF1E" w14:textId="669A8C44" w:rsidR="00F9573C" w:rsidRPr="00A47266" w:rsidRDefault="00BC189E" w:rsidP="00BC189E">
      <w:pPr>
        <w:pStyle w:val="SingleTxtG"/>
        <w:spacing w:before="240" w:after="0"/>
        <w:jc w:val="center"/>
        <w:rPr>
          <w:u w:val="single"/>
          <w:lang w:val="fr-FR"/>
        </w:rPr>
      </w:pPr>
      <w:r w:rsidRPr="00A47266">
        <w:rPr>
          <w:u w:val="single"/>
          <w:lang w:val="fr-FR"/>
        </w:rPr>
        <w:tab/>
      </w:r>
      <w:r w:rsidRPr="00A47266">
        <w:rPr>
          <w:u w:val="single"/>
          <w:lang w:val="fr-FR"/>
        </w:rPr>
        <w:tab/>
      </w:r>
      <w:r w:rsidRPr="00A47266">
        <w:rPr>
          <w:u w:val="single"/>
          <w:lang w:val="fr-FR"/>
        </w:rPr>
        <w:tab/>
      </w:r>
      <w:r w:rsidRPr="00A47266">
        <w:rPr>
          <w:u w:val="single"/>
          <w:lang w:val="fr-FR"/>
        </w:rPr>
        <w:tab/>
      </w:r>
    </w:p>
    <w:sectPr w:rsidR="00F9573C" w:rsidRPr="00A47266" w:rsidSect="00D8541A">
      <w:headerReference w:type="even" r:id="rId63"/>
      <w:headerReference w:type="default" r:id="rId64"/>
      <w:footerReference w:type="even" r:id="rId65"/>
      <w:footerReference w:type="default" r:id="rId66"/>
      <w:footerReference w:type="first" r:id="rId6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A366" w14:textId="77777777" w:rsidR="005F43F3" w:rsidRDefault="005F43F3" w:rsidP="00F95C08">
      <w:pPr>
        <w:spacing w:line="240" w:lineRule="auto"/>
      </w:pPr>
    </w:p>
  </w:endnote>
  <w:endnote w:type="continuationSeparator" w:id="0">
    <w:p w14:paraId="72CC9A1E" w14:textId="77777777" w:rsidR="005F43F3" w:rsidRPr="00AC3823" w:rsidRDefault="005F43F3" w:rsidP="00AC3823">
      <w:pPr>
        <w:pStyle w:val="Pieddepage"/>
      </w:pPr>
    </w:p>
  </w:endnote>
  <w:endnote w:type="continuationNotice" w:id="1">
    <w:p w14:paraId="1B7AF3C9" w14:textId="77777777" w:rsidR="005F43F3" w:rsidRDefault="005F43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23A3" w14:textId="5EFEAAAC" w:rsidR="00D8541A" w:rsidRPr="00D8541A" w:rsidRDefault="00D8541A" w:rsidP="00D8541A">
    <w:pPr>
      <w:pStyle w:val="Pieddepage"/>
      <w:tabs>
        <w:tab w:val="right" w:pos="9638"/>
      </w:tabs>
    </w:pPr>
    <w:r w:rsidRPr="00D8541A">
      <w:rPr>
        <w:b/>
        <w:sz w:val="18"/>
      </w:rPr>
      <w:fldChar w:fldCharType="begin"/>
    </w:r>
    <w:r w:rsidRPr="00D8541A">
      <w:rPr>
        <w:b/>
        <w:sz w:val="18"/>
      </w:rPr>
      <w:instrText xml:space="preserve"> PAGE  \* MERGEFORMAT </w:instrText>
    </w:r>
    <w:r w:rsidRPr="00D8541A">
      <w:rPr>
        <w:b/>
        <w:sz w:val="18"/>
      </w:rPr>
      <w:fldChar w:fldCharType="separate"/>
    </w:r>
    <w:r w:rsidRPr="00D8541A">
      <w:rPr>
        <w:b/>
        <w:noProof/>
        <w:sz w:val="18"/>
      </w:rPr>
      <w:t>2</w:t>
    </w:r>
    <w:r w:rsidRPr="00D8541A">
      <w:rPr>
        <w:b/>
        <w:sz w:val="18"/>
      </w:rPr>
      <w:fldChar w:fldCharType="end"/>
    </w:r>
    <w:r>
      <w:rPr>
        <w:b/>
        <w:sz w:val="18"/>
      </w:rPr>
      <w:tab/>
    </w:r>
    <w:r>
      <w:t>GE.23-24418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BBEF" w14:textId="2BD8999F" w:rsidR="00D8541A" w:rsidRPr="00D8541A" w:rsidRDefault="00D8541A" w:rsidP="00D8541A">
    <w:pPr>
      <w:pStyle w:val="Pieddepage"/>
      <w:tabs>
        <w:tab w:val="right" w:pos="9638"/>
      </w:tabs>
      <w:rPr>
        <w:b/>
        <w:sz w:val="18"/>
      </w:rPr>
    </w:pPr>
    <w:r>
      <w:t>GE.23-24418</w:t>
    </w:r>
    <w:r>
      <w:tab/>
    </w:r>
    <w:r w:rsidRPr="00D8541A">
      <w:rPr>
        <w:b/>
        <w:sz w:val="18"/>
      </w:rPr>
      <w:fldChar w:fldCharType="begin"/>
    </w:r>
    <w:r w:rsidRPr="00D8541A">
      <w:rPr>
        <w:b/>
        <w:sz w:val="18"/>
      </w:rPr>
      <w:instrText xml:space="preserve"> PAGE  \* MERGEFORMAT </w:instrText>
    </w:r>
    <w:r w:rsidRPr="00D8541A">
      <w:rPr>
        <w:b/>
        <w:sz w:val="18"/>
      </w:rPr>
      <w:fldChar w:fldCharType="separate"/>
    </w:r>
    <w:r w:rsidRPr="00D8541A">
      <w:rPr>
        <w:b/>
        <w:noProof/>
        <w:sz w:val="18"/>
      </w:rPr>
      <w:t>3</w:t>
    </w:r>
    <w:r w:rsidRPr="00D854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E061" w14:textId="7CBE5F73" w:rsidR="007F20FA" w:rsidRPr="00D8541A" w:rsidRDefault="00D8541A" w:rsidP="00D8541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1303DDA" wp14:editId="2DBE62C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23-24418  (F)</w:t>
    </w:r>
    <w:r>
      <w:rPr>
        <w:noProof/>
        <w:sz w:val="20"/>
      </w:rPr>
      <w:drawing>
        <wp:anchor distT="0" distB="0" distL="114300" distR="114300" simplePos="0" relativeHeight="251660288" behindDoc="0" locked="0" layoutInCell="1" allowOverlap="1" wp14:anchorId="3DB78B17" wp14:editId="1499970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150224    1</w:t>
    </w:r>
    <w:r w:rsidR="00792A8B">
      <w:rPr>
        <w:sz w:val="20"/>
      </w:rPr>
      <w:t>6</w:t>
    </w:r>
    <w:r>
      <w:rPr>
        <w:sz w:val="20"/>
      </w:rPr>
      <w:t>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C9A5" w14:textId="77777777" w:rsidR="005F43F3" w:rsidRPr="00AC3823" w:rsidRDefault="005F43F3" w:rsidP="00AC3823">
      <w:pPr>
        <w:pStyle w:val="Pieddepage"/>
        <w:tabs>
          <w:tab w:val="right" w:pos="2155"/>
        </w:tabs>
        <w:spacing w:after="80" w:line="240" w:lineRule="atLeast"/>
        <w:ind w:left="680"/>
        <w:rPr>
          <w:u w:val="single"/>
        </w:rPr>
      </w:pPr>
      <w:r>
        <w:rPr>
          <w:u w:val="single"/>
        </w:rPr>
        <w:tab/>
      </w:r>
    </w:p>
  </w:footnote>
  <w:footnote w:type="continuationSeparator" w:id="0">
    <w:p w14:paraId="26290992" w14:textId="77777777" w:rsidR="005F43F3" w:rsidRPr="00AC3823" w:rsidRDefault="005F43F3" w:rsidP="00AC3823">
      <w:pPr>
        <w:pStyle w:val="Pieddepage"/>
        <w:tabs>
          <w:tab w:val="right" w:pos="2155"/>
        </w:tabs>
        <w:spacing w:after="80" w:line="240" w:lineRule="atLeast"/>
        <w:ind w:left="680"/>
        <w:rPr>
          <w:u w:val="single"/>
        </w:rPr>
      </w:pPr>
      <w:r>
        <w:rPr>
          <w:u w:val="single"/>
        </w:rPr>
        <w:tab/>
      </w:r>
    </w:p>
  </w:footnote>
  <w:footnote w:type="continuationNotice" w:id="1">
    <w:p w14:paraId="174AEC27" w14:textId="77777777" w:rsidR="005F43F3" w:rsidRPr="00AC3823" w:rsidRDefault="005F43F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16D9" w14:textId="26667177" w:rsidR="00D8541A" w:rsidRPr="00D8541A" w:rsidRDefault="00792A8B">
    <w:pPr>
      <w:pStyle w:val="En-tte"/>
    </w:pPr>
    <w:r>
      <w:fldChar w:fldCharType="begin"/>
    </w:r>
    <w:r>
      <w:instrText xml:space="preserve"> TITLE  \* MERGEFORMAT </w:instrText>
    </w:r>
    <w:r>
      <w:fldChar w:fldCharType="separate"/>
    </w:r>
    <w:r w:rsidR="00D8541A">
      <w:t>ECE/TRANS/WP.11/251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8C3D" w14:textId="2268453E" w:rsidR="00D8541A" w:rsidRPr="00D8541A" w:rsidRDefault="00792A8B" w:rsidP="00D8541A">
    <w:pPr>
      <w:pStyle w:val="En-tte"/>
      <w:jc w:val="right"/>
    </w:pPr>
    <w:r>
      <w:fldChar w:fldCharType="begin"/>
    </w:r>
    <w:r>
      <w:instrText xml:space="preserve"> TITLE  \* MERGEFORMAT </w:instrText>
    </w:r>
    <w:r>
      <w:fldChar w:fldCharType="separate"/>
    </w:r>
    <w:r w:rsidR="00D8541A">
      <w:t>ECE/TRANS/WP.11/251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5975331"/>
    <w:multiLevelType w:val="hybridMultilevel"/>
    <w:tmpl w:val="75E655D6"/>
    <w:lvl w:ilvl="0" w:tplc="3ACA9FB6">
      <w:start w:val="1"/>
      <w:numFmt w:val="upperLetter"/>
      <w:lvlText w:val="%1."/>
      <w:lvlJc w:val="left"/>
      <w:pPr>
        <w:ind w:left="1130" w:hanging="510"/>
      </w:pPr>
      <w:rPr>
        <w:rFonts w:hint="default"/>
      </w:rPr>
    </w:lvl>
    <w:lvl w:ilvl="1" w:tplc="100C0019" w:tentative="1">
      <w:start w:val="1"/>
      <w:numFmt w:val="lowerLetter"/>
      <w:lvlText w:val="%2."/>
      <w:lvlJc w:val="left"/>
      <w:pPr>
        <w:ind w:left="1700" w:hanging="360"/>
      </w:pPr>
    </w:lvl>
    <w:lvl w:ilvl="2" w:tplc="100C001B" w:tentative="1">
      <w:start w:val="1"/>
      <w:numFmt w:val="lowerRoman"/>
      <w:lvlText w:val="%3."/>
      <w:lvlJc w:val="right"/>
      <w:pPr>
        <w:ind w:left="2420" w:hanging="180"/>
      </w:pPr>
    </w:lvl>
    <w:lvl w:ilvl="3" w:tplc="100C000F" w:tentative="1">
      <w:start w:val="1"/>
      <w:numFmt w:val="decimal"/>
      <w:lvlText w:val="%4."/>
      <w:lvlJc w:val="left"/>
      <w:pPr>
        <w:ind w:left="3140" w:hanging="360"/>
      </w:pPr>
    </w:lvl>
    <w:lvl w:ilvl="4" w:tplc="100C0019" w:tentative="1">
      <w:start w:val="1"/>
      <w:numFmt w:val="lowerLetter"/>
      <w:lvlText w:val="%5."/>
      <w:lvlJc w:val="left"/>
      <w:pPr>
        <w:ind w:left="3860" w:hanging="360"/>
      </w:pPr>
    </w:lvl>
    <w:lvl w:ilvl="5" w:tplc="100C001B" w:tentative="1">
      <w:start w:val="1"/>
      <w:numFmt w:val="lowerRoman"/>
      <w:lvlText w:val="%6."/>
      <w:lvlJc w:val="right"/>
      <w:pPr>
        <w:ind w:left="4580" w:hanging="180"/>
      </w:pPr>
    </w:lvl>
    <w:lvl w:ilvl="6" w:tplc="100C000F" w:tentative="1">
      <w:start w:val="1"/>
      <w:numFmt w:val="decimal"/>
      <w:lvlText w:val="%7."/>
      <w:lvlJc w:val="left"/>
      <w:pPr>
        <w:ind w:left="5300" w:hanging="360"/>
      </w:pPr>
    </w:lvl>
    <w:lvl w:ilvl="7" w:tplc="100C0019" w:tentative="1">
      <w:start w:val="1"/>
      <w:numFmt w:val="lowerLetter"/>
      <w:lvlText w:val="%8."/>
      <w:lvlJc w:val="left"/>
      <w:pPr>
        <w:ind w:left="6020" w:hanging="360"/>
      </w:pPr>
    </w:lvl>
    <w:lvl w:ilvl="8" w:tplc="100C001B" w:tentative="1">
      <w:start w:val="1"/>
      <w:numFmt w:val="lowerRoman"/>
      <w:lvlText w:val="%9."/>
      <w:lvlJc w:val="right"/>
      <w:pPr>
        <w:ind w:left="6740" w:hanging="180"/>
      </w:pPr>
    </w:lvl>
  </w:abstractNum>
  <w:abstractNum w:abstractNumId="13" w15:restartNumberingAfterBreak="0">
    <w:nsid w:val="2DAC5123"/>
    <w:multiLevelType w:val="hybridMultilevel"/>
    <w:tmpl w:val="366AEC62"/>
    <w:lvl w:ilvl="0" w:tplc="74A6863C">
      <w:start w:val="1"/>
      <w:numFmt w:val="upperLetter"/>
      <w:lvlText w:val="%1."/>
      <w:lvlJc w:val="left"/>
      <w:pPr>
        <w:ind w:left="1130" w:hanging="510"/>
      </w:pPr>
      <w:rPr>
        <w:rFonts w:hint="default"/>
      </w:rPr>
    </w:lvl>
    <w:lvl w:ilvl="1" w:tplc="100C0019" w:tentative="1">
      <w:start w:val="1"/>
      <w:numFmt w:val="lowerLetter"/>
      <w:lvlText w:val="%2."/>
      <w:lvlJc w:val="left"/>
      <w:pPr>
        <w:ind w:left="1700" w:hanging="360"/>
      </w:pPr>
    </w:lvl>
    <w:lvl w:ilvl="2" w:tplc="100C001B" w:tentative="1">
      <w:start w:val="1"/>
      <w:numFmt w:val="lowerRoman"/>
      <w:lvlText w:val="%3."/>
      <w:lvlJc w:val="right"/>
      <w:pPr>
        <w:ind w:left="2420" w:hanging="180"/>
      </w:pPr>
    </w:lvl>
    <w:lvl w:ilvl="3" w:tplc="100C000F" w:tentative="1">
      <w:start w:val="1"/>
      <w:numFmt w:val="decimal"/>
      <w:lvlText w:val="%4."/>
      <w:lvlJc w:val="left"/>
      <w:pPr>
        <w:ind w:left="3140" w:hanging="360"/>
      </w:pPr>
    </w:lvl>
    <w:lvl w:ilvl="4" w:tplc="100C0019" w:tentative="1">
      <w:start w:val="1"/>
      <w:numFmt w:val="lowerLetter"/>
      <w:lvlText w:val="%5."/>
      <w:lvlJc w:val="left"/>
      <w:pPr>
        <w:ind w:left="3860" w:hanging="360"/>
      </w:pPr>
    </w:lvl>
    <w:lvl w:ilvl="5" w:tplc="100C001B" w:tentative="1">
      <w:start w:val="1"/>
      <w:numFmt w:val="lowerRoman"/>
      <w:lvlText w:val="%6."/>
      <w:lvlJc w:val="right"/>
      <w:pPr>
        <w:ind w:left="4580" w:hanging="180"/>
      </w:pPr>
    </w:lvl>
    <w:lvl w:ilvl="6" w:tplc="100C000F" w:tentative="1">
      <w:start w:val="1"/>
      <w:numFmt w:val="decimal"/>
      <w:lvlText w:val="%7."/>
      <w:lvlJc w:val="left"/>
      <w:pPr>
        <w:ind w:left="5300" w:hanging="360"/>
      </w:pPr>
    </w:lvl>
    <w:lvl w:ilvl="7" w:tplc="100C0019" w:tentative="1">
      <w:start w:val="1"/>
      <w:numFmt w:val="lowerLetter"/>
      <w:lvlText w:val="%8."/>
      <w:lvlJc w:val="left"/>
      <w:pPr>
        <w:ind w:left="6020" w:hanging="360"/>
      </w:pPr>
    </w:lvl>
    <w:lvl w:ilvl="8" w:tplc="100C001B" w:tentative="1">
      <w:start w:val="1"/>
      <w:numFmt w:val="lowerRoman"/>
      <w:lvlText w:val="%9."/>
      <w:lvlJc w:val="right"/>
      <w:pPr>
        <w:ind w:left="6740" w:hanging="180"/>
      </w:p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7"/>
  </w:num>
  <w:num w:numId="18">
    <w:abstractNumId w:val="12"/>
  </w:num>
  <w:num w:numId="19">
    <w:abstractNumId w:val="13"/>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F3"/>
    <w:rsid w:val="00001265"/>
    <w:rsid w:val="00017F94"/>
    <w:rsid w:val="00023842"/>
    <w:rsid w:val="000334F9"/>
    <w:rsid w:val="00045FEB"/>
    <w:rsid w:val="00074962"/>
    <w:rsid w:val="0007796D"/>
    <w:rsid w:val="000B7790"/>
    <w:rsid w:val="00111F2F"/>
    <w:rsid w:val="0014365E"/>
    <w:rsid w:val="00143C66"/>
    <w:rsid w:val="00176178"/>
    <w:rsid w:val="001778D3"/>
    <w:rsid w:val="001F525A"/>
    <w:rsid w:val="00201148"/>
    <w:rsid w:val="00223272"/>
    <w:rsid w:val="0024779E"/>
    <w:rsid w:val="00257168"/>
    <w:rsid w:val="002744B8"/>
    <w:rsid w:val="002832AC"/>
    <w:rsid w:val="002C41C4"/>
    <w:rsid w:val="002D7C93"/>
    <w:rsid w:val="00305801"/>
    <w:rsid w:val="003916DE"/>
    <w:rsid w:val="00421996"/>
    <w:rsid w:val="00441C3B"/>
    <w:rsid w:val="00446FE5"/>
    <w:rsid w:val="00452396"/>
    <w:rsid w:val="00477EB2"/>
    <w:rsid w:val="00483266"/>
    <w:rsid w:val="004837D8"/>
    <w:rsid w:val="004E2EED"/>
    <w:rsid w:val="004E468C"/>
    <w:rsid w:val="0054680D"/>
    <w:rsid w:val="005505B7"/>
    <w:rsid w:val="00573BE5"/>
    <w:rsid w:val="00586ED3"/>
    <w:rsid w:val="00596AA9"/>
    <w:rsid w:val="005F43F3"/>
    <w:rsid w:val="00660ABA"/>
    <w:rsid w:val="0071601D"/>
    <w:rsid w:val="00792A8B"/>
    <w:rsid w:val="007A62E6"/>
    <w:rsid w:val="007C1423"/>
    <w:rsid w:val="007F20FA"/>
    <w:rsid w:val="0080684C"/>
    <w:rsid w:val="0082163A"/>
    <w:rsid w:val="00834135"/>
    <w:rsid w:val="00871C75"/>
    <w:rsid w:val="008776DC"/>
    <w:rsid w:val="008D5EF9"/>
    <w:rsid w:val="009446C0"/>
    <w:rsid w:val="00954340"/>
    <w:rsid w:val="009705C8"/>
    <w:rsid w:val="009C1CF4"/>
    <w:rsid w:val="009F6B74"/>
    <w:rsid w:val="00A170B7"/>
    <w:rsid w:val="00A3029F"/>
    <w:rsid w:val="00A30353"/>
    <w:rsid w:val="00A47266"/>
    <w:rsid w:val="00AC3823"/>
    <w:rsid w:val="00AE323C"/>
    <w:rsid w:val="00AF0CB5"/>
    <w:rsid w:val="00B00181"/>
    <w:rsid w:val="00B00B0D"/>
    <w:rsid w:val="00B45F2E"/>
    <w:rsid w:val="00B748F7"/>
    <w:rsid w:val="00B765F7"/>
    <w:rsid w:val="00B7746B"/>
    <w:rsid w:val="00B77993"/>
    <w:rsid w:val="00BA0CA9"/>
    <w:rsid w:val="00BC189E"/>
    <w:rsid w:val="00C02897"/>
    <w:rsid w:val="00C840E1"/>
    <w:rsid w:val="00C97039"/>
    <w:rsid w:val="00C97CC1"/>
    <w:rsid w:val="00CB7C3D"/>
    <w:rsid w:val="00D3439C"/>
    <w:rsid w:val="00D7622E"/>
    <w:rsid w:val="00D8338B"/>
    <w:rsid w:val="00D8541A"/>
    <w:rsid w:val="00DB1831"/>
    <w:rsid w:val="00DD3BFD"/>
    <w:rsid w:val="00DF6678"/>
    <w:rsid w:val="00E0299A"/>
    <w:rsid w:val="00E85C74"/>
    <w:rsid w:val="00EA6547"/>
    <w:rsid w:val="00ED2664"/>
    <w:rsid w:val="00ED7237"/>
    <w:rsid w:val="00EF2E22"/>
    <w:rsid w:val="00F35BAF"/>
    <w:rsid w:val="00F660DF"/>
    <w:rsid w:val="00F94664"/>
    <w:rsid w:val="00F9573C"/>
    <w:rsid w:val="00F95C08"/>
    <w:rsid w:val="00FB1683"/>
    <w:rsid w:val="00FB7F7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EF538"/>
  <w15:docId w15:val="{241D8129-524C-4616-BF98-71F8DF53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BC189E"/>
    <w:rPr>
      <w:rFonts w:ascii="Times New Roman" w:eastAsiaTheme="minorHAnsi" w:hAnsi="Times New Roman" w:cs="Times New Roman"/>
      <w:sz w:val="20"/>
      <w:szCs w:val="20"/>
      <w:lang w:eastAsia="en-US"/>
    </w:rPr>
  </w:style>
  <w:style w:type="character" w:customStyle="1" w:styleId="HChGChar">
    <w:name w:val="_ H _Ch_G Char"/>
    <w:link w:val="HChG"/>
    <w:rsid w:val="00BC189E"/>
    <w:rPr>
      <w:rFonts w:ascii="Times New Roman" w:eastAsiaTheme="minorHAnsi" w:hAnsi="Times New Roman" w:cs="Times New Roman"/>
      <w:b/>
      <w:sz w:val="28"/>
      <w:szCs w:val="20"/>
      <w:lang w:eastAsia="en-US"/>
    </w:rPr>
  </w:style>
  <w:style w:type="paragraph" w:styleId="Rvision">
    <w:name w:val="Revision"/>
    <w:hidden/>
    <w:uiPriority w:val="99"/>
    <w:semiHidden/>
    <w:rsid w:val="00BC189E"/>
    <w:pPr>
      <w:spacing w:after="0" w:line="240" w:lineRule="auto"/>
    </w:pPr>
    <w:rPr>
      <w:rFonts w:ascii="Times New Roman" w:eastAsiaTheme="minorHAnsi" w:hAnsi="Times New Roman" w:cs="Times New Roman"/>
      <w:sz w:val="20"/>
      <w:szCs w:val="20"/>
      <w:lang w:eastAsia="en-US"/>
    </w:rPr>
  </w:style>
  <w:style w:type="character" w:customStyle="1" w:styleId="H23GChar">
    <w:name w:val="_ H_2/3_G Char"/>
    <w:link w:val="H23G"/>
    <w:locked/>
    <w:rsid w:val="00BC189E"/>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A47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fr/ECE/TRANS/WP.11/2023/6" TargetMode="External"/><Relationship Id="rId21" Type="http://schemas.openxmlformats.org/officeDocument/2006/relationships/hyperlink" Target="https://unece.org/trade/working-party-agricultural-quality-standards-wp7" TargetMode="External"/><Relationship Id="rId42" Type="http://schemas.openxmlformats.org/officeDocument/2006/relationships/hyperlink" Target="http://undocs.org/fr/ECE/TRANS/WP.11/2023/17" TargetMode="External"/><Relationship Id="rId47" Type="http://schemas.openxmlformats.org/officeDocument/2006/relationships/hyperlink" Target="http://undocs.org/fr/ECE/TRANS/WP.11/2023/16"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undocs.org/fr/ECE/TRANS/328" TargetMode="External"/><Relationship Id="rId29" Type="http://schemas.openxmlformats.org/officeDocument/2006/relationships/hyperlink" Target="https://wiki.unece.org/pages/viewpage.action?pageId=224002693" TargetMode="External"/><Relationship Id="rId11" Type="http://schemas.openxmlformats.org/officeDocument/2006/relationships/hyperlink" Target="http://undocs.org/fr/ECE/TRANS/WP.11/250/Add.1" TargetMode="External"/><Relationship Id="rId24" Type="http://schemas.openxmlformats.org/officeDocument/2006/relationships/hyperlink" Target="https://unece.org/atp-competent-authorities-and-testing-stations" TargetMode="External"/><Relationship Id="rId32" Type="http://schemas.openxmlformats.org/officeDocument/2006/relationships/hyperlink" Target="http://undocs.org/fr/ECE/TRANS/WP.11/2023/5" TargetMode="External"/><Relationship Id="rId37" Type="http://schemas.openxmlformats.org/officeDocument/2006/relationships/hyperlink" Target="http://undocs.org/fr/ECE/TRANS/WP.11/2023/12" TargetMode="External"/><Relationship Id="rId40" Type="http://schemas.openxmlformats.org/officeDocument/2006/relationships/hyperlink" Target="https://unece.org/transport/transport-perishable-foodstuffs/guidance-and-reference-material" TargetMode="External"/><Relationship Id="rId45" Type="http://schemas.openxmlformats.org/officeDocument/2006/relationships/hyperlink" Target="http://undocs.org/fr/ECE/TRANS/WP.11/2023/21" TargetMode="External"/><Relationship Id="rId53" Type="http://schemas.openxmlformats.org/officeDocument/2006/relationships/hyperlink" Target="https://unece.org/road-map-accession-and-implementation-atp" TargetMode="External"/><Relationship Id="rId58" Type="http://schemas.openxmlformats.org/officeDocument/2006/relationships/hyperlink" Target="http://undocs.org/fr/ECE/TRANS/WP.11/2023/18"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undocs.org/fr/ECE/TRANS/WP.11/2023/14" TargetMode="External"/><Relationship Id="rId19" Type="http://schemas.openxmlformats.org/officeDocument/2006/relationships/hyperlink" Target="https://ozone.unep.org/system/%20files/documents/RTOC-assessment%20-report-2022.pdf" TargetMode="External"/><Relationship Id="rId14" Type="http://schemas.openxmlformats.org/officeDocument/2006/relationships/hyperlink" Target="http://undocs.org/fr/ECE/TRANS/WP.11/247" TargetMode="External"/><Relationship Id="rId22" Type="http://schemas.openxmlformats.org/officeDocument/2006/relationships/hyperlink" Target="https://unece.org/atp-competent-authorities-and-testing-stations" TargetMode="External"/><Relationship Id="rId27" Type="http://schemas.openxmlformats.org/officeDocument/2006/relationships/hyperlink" Target="https://wiki.unece.org/pages/viewpage.action?pageId=224002683" TargetMode="External"/><Relationship Id="rId30" Type="http://schemas.openxmlformats.org/officeDocument/2006/relationships/hyperlink" Target="http://undocs.org/fr/ECE/TRANS/WP.11/2023/3" TargetMode="External"/><Relationship Id="rId35" Type="http://schemas.openxmlformats.org/officeDocument/2006/relationships/hyperlink" Target="http://undocs.org/fr/ECE/TRANS/WP.11/2023/11" TargetMode="External"/><Relationship Id="rId43" Type="http://schemas.openxmlformats.org/officeDocument/2006/relationships/hyperlink" Target="http://undocs.org/fr/ECE/TRANS/WP.11/2023/19" TargetMode="External"/><Relationship Id="rId48" Type="http://schemas.openxmlformats.org/officeDocument/2006/relationships/hyperlink" Target="http://undocs.org/fr/ECE/TRANS/WP.11/2023/18" TargetMode="External"/><Relationship Id="rId56" Type="http://schemas.openxmlformats.org/officeDocument/2006/relationships/hyperlink" Target="http://undocs.org/fr/ECE/TRANS/WP.11/2023/14" TargetMode="External"/><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hyperlink" Target="http://undocs.org/fr/ECE/TRANS/WP.11/250" TargetMode="External"/><Relationship Id="rId51" Type="http://schemas.openxmlformats.org/officeDocument/2006/relationships/hyperlink" Target="http://undocs.org/fr/ECE/TRANS/WP.11/2023/10" TargetMode="External"/><Relationship Id="rId3" Type="http://schemas.openxmlformats.org/officeDocument/2006/relationships/settings" Target="settings.xml"/><Relationship Id="rId12" Type="http://schemas.openxmlformats.org/officeDocument/2006/relationships/hyperlink" Target="http://undocs.org/fr/ECE/TRANS/328" TargetMode="External"/><Relationship Id="rId17" Type="http://schemas.openxmlformats.org/officeDocument/2006/relationships/hyperlink" Target="http://undocs.org/fr/ECE/TRANS/2023/3" TargetMode="External"/><Relationship Id="rId25" Type="http://schemas.openxmlformats.org/officeDocument/2006/relationships/hyperlink" Target="http://undocs.org/fr/ECE/TRANS/WP.11/2023/2" TargetMode="External"/><Relationship Id="rId33" Type="http://schemas.openxmlformats.org/officeDocument/2006/relationships/hyperlink" Target="http://undocs.org/fr/ECE/TRANS/WP.11/2023/7" TargetMode="External"/><Relationship Id="rId38" Type="http://schemas.openxmlformats.org/officeDocument/2006/relationships/hyperlink" Target="http://undocs.org/fr/ECE/TRANS/WP.11/2023/15" TargetMode="External"/><Relationship Id="rId46" Type="http://schemas.openxmlformats.org/officeDocument/2006/relationships/hyperlink" Target="http://undocs.org/fr/ECE/TRANS/WP.11/2023/14" TargetMode="External"/><Relationship Id="rId59" Type="http://schemas.openxmlformats.org/officeDocument/2006/relationships/hyperlink" Target="http://undocs.org/fr/ECE/TRANS/WP.11/2023/12" TargetMode="External"/><Relationship Id="rId67" Type="http://schemas.openxmlformats.org/officeDocument/2006/relationships/footer" Target="footer3.xml"/><Relationship Id="rId20" Type="http://schemas.openxmlformats.org/officeDocument/2006/relationships/hyperlink" Target="https://unece.org/trade/wp7/%20food-loss-and-waste" TargetMode="External"/><Relationship Id="rId41" Type="http://schemas.openxmlformats.org/officeDocument/2006/relationships/hyperlink" Target="http://undocs.org/fr/ECE/TRANS/WP.11/2023/17" TargetMode="External"/><Relationship Id="rId54" Type="http://schemas.openxmlformats.org/officeDocument/2006/relationships/hyperlink" Target="http://undocs.org/fr/ECE/TRANS/WP.11/2023/16" TargetMode="External"/><Relationship Id="rId62" Type="http://schemas.openxmlformats.org/officeDocument/2006/relationships/hyperlink" Target="http://undocs.org/fr/ECE/TRANS/WP.11/2023/10" TargetMode="External"/><Relationship Id="rId7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ndocs.org/fr/ECE/TRANS/WP.11/249" TargetMode="External"/><Relationship Id="rId23" Type="http://schemas.openxmlformats.org/officeDocument/2006/relationships/hyperlink" Target="http://undocs.org/fr/ECE/TRANS/WP.11/2023/1" TargetMode="External"/><Relationship Id="rId28" Type="http://schemas.openxmlformats.org/officeDocument/2006/relationships/hyperlink" Target="http://undocs.org/fr/ECE/TRANS/WP.11/2023/9" TargetMode="External"/><Relationship Id="rId36" Type="http://schemas.openxmlformats.org/officeDocument/2006/relationships/hyperlink" Target="http://undocs.org/fr/ECE/TRANS/WP.11/2023/11" TargetMode="External"/><Relationship Id="rId49" Type="http://schemas.openxmlformats.org/officeDocument/2006/relationships/hyperlink" Target="http://undocs.org/fr/ECE/TRANS/WP.11/2023/20" TargetMode="External"/><Relationship Id="rId57" Type="http://schemas.openxmlformats.org/officeDocument/2006/relationships/hyperlink" Target="http://undocs.org/fr/ECE/TRANS/WP.11/2023/18" TargetMode="External"/><Relationship Id="rId10" Type="http://schemas.openxmlformats.org/officeDocument/2006/relationships/hyperlink" Target="http://undocs.org/fr/ECE/TRANS/WP.11/250" TargetMode="External"/><Relationship Id="rId31" Type="http://schemas.openxmlformats.org/officeDocument/2006/relationships/hyperlink" Target="http://undocs.org/fr/ECE/TRANS/WP.11/2023/4" TargetMode="External"/><Relationship Id="rId44" Type="http://schemas.openxmlformats.org/officeDocument/2006/relationships/hyperlink" Target="http://undocs.org/fr/ECE/TRANS/WP.11/2023/21" TargetMode="External"/><Relationship Id="rId52" Type="http://schemas.openxmlformats.org/officeDocument/2006/relationships/hyperlink" Target="http://undocs.org/fr/ECE/TRANS/WP.11/2023/13" TargetMode="External"/><Relationship Id="rId60" Type="http://schemas.openxmlformats.org/officeDocument/2006/relationships/hyperlink" Target="http://undocs.org/fr/ECE/TRANS/WP.11/2023/12"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ndocs.org/fr/ECE/TRANS/WP.11/250/Add.1" TargetMode="External"/><Relationship Id="rId13" Type="http://schemas.openxmlformats.org/officeDocument/2006/relationships/hyperlink" Target="http://undocs.org/fr/ECE/TRANS/328" TargetMode="External"/><Relationship Id="rId18" Type="http://schemas.openxmlformats.org/officeDocument/2006/relationships/hyperlink" Target="http://undocs.org/fr/ECE/TRANS/2023/21" TargetMode="External"/><Relationship Id="rId39" Type="http://schemas.openxmlformats.org/officeDocument/2006/relationships/hyperlink" Target="http://undocs.org/fr/ECE/TRANS/WP.11/2023/2" TargetMode="External"/><Relationship Id="rId34" Type="http://schemas.openxmlformats.org/officeDocument/2006/relationships/hyperlink" Target="http://undocs.org/fr/ECE/TRANS/WP.11/2023/8" TargetMode="External"/><Relationship Id="rId50" Type="http://schemas.openxmlformats.org/officeDocument/2006/relationships/hyperlink" Target="http://undocs.org/fr/ECE/TRANS/WP.11/2023/10" TargetMode="External"/><Relationship Id="rId55" Type="http://schemas.openxmlformats.org/officeDocument/2006/relationships/hyperlink" Target="http://undocs.org/fr/ECE/TRANS/WP.11/2023/1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3A5CD-E84E-4215-AE7B-9589AC342B01}"/>
</file>

<file path=customXml/itemProps2.xml><?xml version="1.0" encoding="utf-8"?>
<ds:datastoreItem xmlns:ds="http://schemas.openxmlformats.org/officeDocument/2006/customXml" ds:itemID="{A96EE99C-4BA6-4DCD-B187-DA7C3FAF5A8C}"/>
</file>

<file path=docProps/app.xml><?xml version="1.0" encoding="utf-8"?>
<Properties xmlns="http://schemas.openxmlformats.org/officeDocument/2006/extended-properties" xmlns:vt="http://schemas.openxmlformats.org/officeDocument/2006/docPropsVTypes">
  <Template>ECE_TRANS.dotm</Template>
  <TotalTime>0</TotalTime>
  <Pages>21</Pages>
  <Words>6776</Words>
  <Characters>47435</Characters>
  <Application>Microsoft Office Word</Application>
  <DocSecurity>0</DocSecurity>
  <Lines>3952</Lines>
  <Paragraphs>2168</Paragraphs>
  <ScaleCrop>false</ScaleCrop>
  <HeadingPairs>
    <vt:vector size="2" baseType="variant">
      <vt:variant>
        <vt:lpstr>Titre</vt:lpstr>
      </vt:variant>
      <vt:variant>
        <vt:i4>1</vt:i4>
      </vt:variant>
    </vt:vector>
  </HeadingPairs>
  <TitlesOfParts>
    <vt:vector size="1" baseType="lpstr">
      <vt:lpstr>ECE/TRANS/WP.11/251</vt:lpstr>
    </vt:vector>
  </TitlesOfParts>
  <Company>DCM</Company>
  <LinksUpToDate>false</LinksUpToDate>
  <CharactersWithSpaces>52043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ECE/TRANS/WP.11/251</dc:title>
  <dc:subject/>
  <dc:creator>Nicolas MORIN</dc:creator>
  <cp:keywords/>
  <cp:lastModifiedBy>Nicolas Morin</cp:lastModifiedBy>
  <cp:revision>3</cp:revision>
  <cp:lastPrinted>2014-05-14T10:59:00Z</cp:lastPrinted>
  <dcterms:created xsi:type="dcterms:W3CDTF">2024-02-16T10:59:00Z</dcterms:created>
  <dcterms:modified xsi:type="dcterms:W3CDTF">2024-02-16T11:27:00Z</dcterms:modified>
</cp:coreProperties>
</file>