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D307D0" w:rsidRPr="00DA352F" w14:paraId="01BAA760" w14:textId="77777777" w:rsidTr="00D5359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DC62CD0" w14:textId="77777777" w:rsidR="00D307D0" w:rsidRPr="00DA352F" w:rsidRDefault="00D307D0" w:rsidP="00D307D0">
            <w:pPr>
              <w:rPr>
                <w:lang w:val="fr-FR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0171B1B2" w14:textId="23C9210A" w:rsidR="00D307D0" w:rsidRPr="00DA352F" w:rsidRDefault="00D307D0" w:rsidP="00D307D0">
            <w:pPr>
              <w:jc w:val="right"/>
              <w:rPr>
                <w:lang w:val="fr-FR"/>
              </w:rPr>
            </w:pPr>
            <w:r w:rsidRPr="00DA352F">
              <w:rPr>
                <w:sz w:val="40"/>
                <w:lang w:val="fr-FR"/>
              </w:rPr>
              <w:t>E</w:t>
            </w:r>
            <w:r w:rsidRPr="00DA352F">
              <w:rPr>
                <w:lang w:val="fr-FR"/>
              </w:rPr>
              <w:t>/ECE/324/Rev</w:t>
            </w:r>
            <w:r w:rsidR="00497475" w:rsidRPr="00DA352F">
              <w:rPr>
                <w:lang w:val="fr-FR"/>
              </w:rPr>
              <w:t>.</w:t>
            </w:r>
            <w:r w:rsidRPr="00DA352F">
              <w:rPr>
                <w:lang w:val="fr-FR"/>
              </w:rPr>
              <w:t>1/Add</w:t>
            </w:r>
            <w:r w:rsidR="00497475" w:rsidRPr="00DA352F">
              <w:rPr>
                <w:lang w:val="fr-FR"/>
              </w:rPr>
              <w:t>.</w:t>
            </w:r>
            <w:r w:rsidRPr="00DA352F">
              <w:rPr>
                <w:lang w:val="fr-FR"/>
              </w:rPr>
              <w:t>64/Rev</w:t>
            </w:r>
            <w:r w:rsidR="00497475" w:rsidRPr="00DA352F">
              <w:rPr>
                <w:lang w:val="fr-FR"/>
              </w:rPr>
              <w:t>.</w:t>
            </w:r>
            <w:r w:rsidRPr="00DA352F">
              <w:rPr>
                <w:lang w:val="fr-FR"/>
              </w:rPr>
              <w:t>2/Amend</w:t>
            </w:r>
            <w:r w:rsidR="00497475" w:rsidRPr="00DA352F">
              <w:rPr>
                <w:lang w:val="fr-FR"/>
              </w:rPr>
              <w:t>.</w:t>
            </w:r>
            <w:r w:rsidRPr="00DA352F">
              <w:rPr>
                <w:lang w:val="fr-FR"/>
              </w:rPr>
              <w:t>5−</w:t>
            </w:r>
            <w:r w:rsidRPr="00DA352F">
              <w:rPr>
                <w:sz w:val="40"/>
                <w:lang w:val="fr-FR"/>
              </w:rPr>
              <w:t>E</w:t>
            </w:r>
            <w:r w:rsidRPr="00DA352F">
              <w:rPr>
                <w:lang w:val="fr-FR"/>
              </w:rPr>
              <w:t>/ECE/TRANS/505/Rev</w:t>
            </w:r>
            <w:r w:rsidR="00497475" w:rsidRPr="00DA352F">
              <w:rPr>
                <w:lang w:val="fr-FR"/>
              </w:rPr>
              <w:t>.</w:t>
            </w:r>
            <w:r w:rsidRPr="00DA352F">
              <w:rPr>
                <w:lang w:val="fr-FR"/>
              </w:rPr>
              <w:t>1/Add</w:t>
            </w:r>
            <w:r w:rsidR="00497475" w:rsidRPr="00DA352F">
              <w:rPr>
                <w:lang w:val="fr-FR"/>
              </w:rPr>
              <w:t>.</w:t>
            </w:r>
            <w:r w:rsidRPr="00DA352F">
              <w:rPr>
                <w:lang w:val="fr-FR"/>
              </w:rPr>
              <w:t>64/Rev</w:t>
            </w:r>
            <w:r w:rsidR="00497475" w:rsidRPr="00DA352F">
              <w:rPr>
                <w:lang w:val="fr-FR"/>
              </w:rPr>
              <w:t>.</w:t>
            </w:r>
            <w:r w:rsidRPr="00DA352F">
              <w:rPr>
                <w:lang w:val="fr-FR"/>
              </w:rPr>
              <w:t>2/Amend</w:t>
            </w:r>
            <w:r w:rsidR="00497475" w:rsidRPr="00DA352F">
              <w:rPr>
                <w:lang w:val="fr-FR"/>
              </w:rPr>
              <w:t>.</w:t>
            </w:r>
            <w:r w:rsidRPr="00DA352F">
              <w:rPr>
                <w:lang w:val="fr-FR"/>
              </w:rPr>
              <w:t>5</w:t>
            </w:r>
          </w:p>
        </w:tc>
      </w:tr>
      <w:tr w:rsidR="001433FD" w:rsidRPr="00DA352F" w14:paraId="594EB367" w14:textId="77777777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0B3B9B5" w14:textId="2B41F8E5" w:rsidR="001433FD" w:rsidRPr="00DA352F" w:rsidRDefault="001433FD" w:rsidP="00295CCA">
            <w:pPr>
              <w:spacing w:before="120"/>
              <w:jc w:val="center"/>
              <w:rPr>
                <w:lang w:val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E8440F" w14:textId="1CF63F70" w:rsidR="001433FD" w:rsidRPr="00DA352F" w:rsidRDefault="001433FD" w:rsidP="00295CCA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E87C2F3" w14:textId="43B17061" w:rsidR="00D307D0" w:rsidRPr="00DA352F" w:rsidRDefault="00D307D0" w:rsidP="00D307D0">
            <w:pPr>
              <w:spacing w:before="480" w:line="240" w:lineRule="exact"/>
              <w:rPr>
                <w:lang w:val="fr-FR"/>
              </w:rPr>
            </w:pPr>
            <w:r w:rsidRPr="00DA352F">
              <w:rPr>
                <w:lang w:val="fr-FR"/>
              </w:rPr>
              <w:t>22 novembre 2023</w:t>
            </w:r>
          </w:p>
        </w:tc>
      </w:tr>
    </w:tbl>
    <w:p w14:paraId="4C863098" w14:textId="15932895" w:rsidR="00D307D0" w:rsidRPr="00DA352F" w:rsidRDefault="00D307D0" w:rsidP="00D307D0">
      <w:pPr>
        <w:pStyle w:val="HChG"/>
        <w:rPr>
          <w:lang w:val="fr-FR"/>
        </w:rPr>
      </w:pPr>
      <w:r w:rsidRPr="00DA352F">
        <w:rPr>
          <w:lang w:val="fr-FR"/>
        </w:rPr>
        <w:tab/>
      </w:r>
      <w:r w:rsidRPr="00DA352F">
        <w:rPr>
          <w:lang w:val="fr-FR"/>
        </w:rPr>
        <w:tab/>
        <w:t>Accord</w:t>
      </w:r>
    </w:p>
    <w:p w14:paraId="5303213E" w14:textId="7ED3129B" w:rsidR="00D307D0" w:rsidRPr="00DA352F" w:rsidRDefault="00D307D0" w:rsidP="00D307D0">
      <w:pPr>
        <w:pStyle w:val="H1G"/>
        <w:rPr>
          <w:lang w:val="fr-FR"/>
        </w:rPr>
      </w:pPr>
      <w:r w:rsidRPr="00DA352F">
        <w:rPr>
          <w:lang w:val="fr-FR"/>
        </w:rPr>
        <w:tab/>
      </w:r>
      <w:r w:rsidRPr="00DA352F">
        <w:rPr>
          <w:lang w:val="fr-FR"/>
        </w:rPr>
        <w:tab/>
      </w:r>
      <w:r w:rsidRPr="00DA352F">
        <w:rPr>
          <w:lang w:val="fr-FR"/>
        </w:rPr>
        <w:tab/>
        <w:t>Concernant l</w:t>
      </w:r>
      <w:r w:rsidR="003B0288" w:rsidRPr="00DA352F">
        <w:rPr>
          <w:lang w:val="fr-FR"/>
        </w:rPr>
        <w:t>’</w:t>
      </w:r>
      <w:r w:rsidRPr="00DA352F">
        <w:rPr>
          <w:lang w:val="fr-FR"/>
        </w:rPr>
        <w:t>adoption de Règlements techniques harmonisés de l</w:t>
      </w:r>
      <w:r w:rsidR="003B0288" w:rsidRPr="00DA352F">
        <w:rPr>
          <w:lang w:val="fr-FR"/>
        </w:rPr>
        <w:t>’</w:t>
      </w:r>
      <w:r w:rsidRPr="00DA352F">
        <w:rPr>
          <w:lang w:val="fr-FR"/>
        </w:rPr>
        <w:t xml:space="preserve">ONU </w:t>
      </w:r>
      <w:r w:rsidRPr="00DA352F">
        <w:rPr>
          <w:rFonts w:ascii="Times New Roman Bold" w:hAnsi="Times New Roman Bold"/>
          <w:spacing w:val="2"/>
          <w:lang w:val="fr-FR"/>
        </w:rPr>
        <w:t>applicables aux véhicules à roues et aux équipements et pièces</w:t>
      </w:r>
      <w:r w:rsidRPr="00DA352F">
        <w:rPr>
          <w:lang w:val="fr-FR"/>
        </w:rPr>
        <w:t xml:space="preserve"> </w:t>
      </w:r>
      <w:r w:rsidRPr="00DA352F">
        <w:rPr>
          <w:rFonts w:ascii="Times New Roman Bold" w:hAnsi="Times New Roman Bold"/>
          <w:spacing w:val="-2"/>
          <w:lang w:val="fr-FR"/>
        </w:rPr>
        <w:t>susceptibles d</w:t>
      </w:r>
      <w:r w:rsidR="003B0288" w:rsidRPr="00DA352F">
        <w:rPr>
          <w:rFonts w:ascii="Times New Roman Bold" w:hAnsi="Times New Roman Bold"/>
          <w:spacing w:val="-2"/>
          <w:lang w:val="fr-FR"/>
        </w:rPr>
        <w:t>’</w:t>
      </w:r>
      <w:r w:rsidRPr="00DA352F">
        <w:rPr>
          <w:rFonts w:ascii="Times New Roman Bold" w:hAnsi="Times New Roman Bold"/>
          <w:spacing w:val="-2"/>
          <w:lang w:val="fr-FR"/>
        </w:rPr>
        <w:t xml:space="preserve">être montés ou utilisés sur les véhicules à roues </w:t>
      </w:r>
      <w:r w:rsidRPr="00DA352F">
        <w:rPr>
          <w:lang w:val="fr-FR"/>
        </w:rPr>
        <w:br/>
        <w:t xml:space="preserve">et les conditions de reconnaissance réciproque </w:t>
      </w:r>
      <w:r w:rsidRPr="00DA352F">
        <w:rPr>
          <w:lang w:val="fr-FR"/>
        </w:rPr>
        <w:br/>
        <w:t xml:space="preserve">des homologations délivrées conformément </w:t>
      </w:r>
      <w:r w:rsidRPr="00DA352F">
        <w:rPr>
          <w:lang w:val="fr-FR"/>
        </w:rPr>
        <w:br/>
        <w:t>à ces Règlements</w:t>
      </w:r>
      <w:r w:rsidRPr="00DA352F">
        <w:rPr>
          <w:rStyle w:val="FootnoteReference"/>
          <w:b w:val="0"/>
          <w:bCs/>
          <w:position w:val="4"/>
          <w:sz w:val="20"/>
          <w:vertAlign w:val="baseline"/>
          <w:lang w:val="fr-FR"/>
        </w:rPr>
        <w:footnoteReference w:customMarkFollows="1" w:id="2"/>
        <w:t>*</w:t>
      </w:r>
    </w:p>
    <w:p w14:paraId="3A1F2230" w14:textId="4B2339FF" w:rsidR="00D307D0" w:rsidRPr="00DA352F" w:rsidRDefault="00D307D0" w:rsidP="00D307D0">
      <w:pPr>
        <w:pStyle w:val="SingleTxtG"/>
        <w:rPr>
          <w:b/>
          <w:bCs/>
          <w:lang w:val="fr-FR"/>
        </w:rPr>
      </w:pPr>
      <w:r w:rsidRPr="00DA352F">
        <w:rPr>
          <w:lang w:val="fr-FR"/>
        </w:rPr>
        <w:t>(Révision 3, comprenant les amendements entrés en vigueur le 14 septembre 2017)</w:t>
      </w:r>
    </w:p>
    <w:p w14:paraId="576F5D09" w14:textId="77777777" w:rsidR="00D307D0" w:rsidRPr="00DA352F" w:rsidRDefault="00D307D0" w:rsidP="00D307D0">
      <w:pPr>
        <w:pStyle w:val="H1G"/>
        <w:spacing w:before="120"/>
        <w:ind w:left="0" w:right="0" w:firstLine="0"/>
        <w:jc w:val="center"/>
        <w:rPr>
          <w:lang w:val="fr-FR"/>
        </w:rPr>
      </w:pPr>
      <w:r w:rsidRPr="00DA352F">
        <w:rPr>
          <w:lang w:val="fr-FR"/>
        </w:rPr>
        <w:t>_________</w:t>
      </w:r>
    </w:p>
    <w:p w14:paraId="0277111F" w14:textId="77777777" w:rsidR="00D26ACC" w:rsidRPr="00DA352F" w:rsidRDefault="00D307D0" w:rsidP="00D307D0">
      <w:pPr>
        <w:pStyle w:val="H1G"/>
        <w:rPr>
          <w:lang w:val="fr-FR"/>
        </w:rPr>
      </w:pPr>
      <w:r w:rsidRPr="00DA352F">
        <w:rPr>
          <w:lang w:val="fr-FR"/>
        </w:rPr>
        <w:tab/>
      </w:r>
      <w:r w:rsidRPr="00DA352F">
        <w:rPr>
          <w:lang w:val="fr-FR"/>
        </w:rPr>
        <w:tab/>
        <w:t xml:space="preserve">Additif 64 </w:t>
      </w:r>
      <w:r w:rsidR="003B0288" w:rsidRPr="00DA352F">
        <w:rPr>
          <w:lang w:val="fr-FR"/>
        </w:rPr>
        <w:t>−</w:t>
      </w:r>
      <w:r w:rsidRPr="00DA352F">
        <w:rPr>
          <w:lang w:val="fr-FR"/>
        </w:rPr>
        <w:t xml:space="preserve"> Règlement ONU </w:t>
      </w:r>
      <w:r w:rsidR="003B0288" w:rsidRPr="00DA352F">
        <w:rPr>
          <w:lang w:val="fr-FR"/>
        </w:rPr>
        <w:t>n</w:t>
      </w:r>
      <w:r w:rsidR="003B0288" w:rsidRPr="00DA352F">
        <w:rPr>
          <w:vertAlign w:val="superscript"/>
          <w:lang w:val="fr-FR"/>
        </w:rPr>
        <w:t>o</w:t>
      </w:r>
      <w:r w:rsidRPr="00DA352F">
        <w:rPr>
          <w:lang w:val="fr-FR"/>
        </w:rPr>
        <w:t xml:space="preserve"> 65 </w:t>
      </w:r>
    </w:p>
    <w:p w14:paraId="6650F4B0" w14:textId="6974F9E9" w:rsidR="00D307D0" w:rsidRPr="00DA352F" w:rsidRDefault="00D26ACC" w:rsidP="00D26ACC">
      <w:pPr>
        <w:pStyle w:val="H1G"/>
        <w:rPr>
          <w:lang w:val="fr-FR"/>
        </w:rPr>
      </w:pPr>
      <w:r w:rsidRPr="00DA352F">
        <w:rPr>
          <w:lang w:val="fr-FR"/>
        </w:rPr>
        <w:tab/>
      </w:r>
      <w:r w:rsidR="00D307D0" w:rsidRPr="00DA352F">
        <w:rPr>
          <w:lang w:val="fr-FR"/>
        </w:rPr>
        <w:tab/>
        <w:t xml:space="preserve">Révision 2 </w:t>
      </w:r>
      <w:r w:rsidR="003B0288" w:rsidRPr="00DA352F">
        <w:rPr>
          <w:lang w:val="fr-FR"/>
        </w:rPr>
        <w:t>−</w:t>
      </w:r>
      <w:r w:rsidR="00D307D0" w:rsidRPr="00DA352F">
        <w:rPr>
          <w:lang w:val="fr-FR"/>
        </w:rPr>
        <w:t xml:space="preserve"> Amendement 5</w:t>
      </w:r>
    </w:p>
    <w:p w14:paraId="4AC7FCA6" w14:textId="62099F5D" w:rsidR="00D307D0" w:rsidRPr="00DA352F" w:rsidRDefault="00D307D0" w:rsidP="00D307D0">
      <w:pPr>
        <w:pStyle w:val="SingleTxtG"/>
        <w:rPr>
          <w:lang w:val="fr-FR"/>
        </w:rPr>
      </w:pPr>
      <w:r w:rsidRPr="00DA352F">
        <w:rPr>
          <w:lang w:val="fr-FR"/>
        </w:rPr>
        <w:t xml:space="preserve">Complément 12 </w:t>
      </w:r>
      <w:r w:rsidRPr="00DA352F">
        <w:rPr>
          <w:color w:val="000000"/>
          <w:lang w:val="fr-FR"/>
        </w:rPr>
        <w:t xml:space="preserve">à la version originale du </w:t>
      </w:r>
      <w:r w:rsidRPr="00DA352F">
        <w:rPr>
          <w:lang w:val="fr-FR"/>
        </w:rPr>
        <w:t xml:space="preserve">Règlement </w:t>
      </w:r>
      <w:r w:rsidR="003B0288" w:rsidRPr="00DA352F">
        <w:rPr>
          <w:lang w:val="fr-FR"/>
        </w:rPr>
        <w:t>−</w:t>
      </w:r>
      <w:r w:rsidRPr="00DA352F">
        <w:rPr>
          <w:lang w:val="fr-FR"/>
        </w:rPr>
        <w:t xml:space="preserve"> Date d</w:t>
      </w:r>
      <w:r w:rsidR="003B0288" w:rsidRPr="00DA352F">
        <w:rPr>
          <w:bCs/>
          <w:lang w:val="fr-FR"/>
        </w:rPr>
        <w:t>’</w:t>
      </w:r>
      <w:r w:rsidRPr="00DA352F">
        <w:rPr>
          <w:lang w:val="fr-FR"/>
        </w:rPr>
        <w:t>entrée en vigueur</w:t>
      </w:r>
      <w:r w:rsidR="003B0288" w:rsidRPr="00DA352F">
        <w:rPr>
          <w:lang w:val="fr-FR"/>
        </w:rPr>
        <w:t> :</w:t>
      </w:r>
      <w:r w:rsidRPr="00DA352F">
        <w:rPr>
          <w:lang w:val="fr-FR"/>
        </w:rPr>
        <w:t xml:space="preserve"> 24</w:t>
      </w:r>
      <w:r w:rsidR="00501EF2" w:rsidRPr="00DA352F">
        <w:rPr>
          <w:lang w:val="fr-FR"/>
        </w:rPr>
        <w:t> </w:t>
      </w:r>
      <w:r w:rsidRPr="00DA352F">
        <w:rPr>
          <w:lang w:val="fr-FR"/>
        </w:rPr>
        <w:t>septembre 2023</w:t>
      </w:r>
    </w:p>
    <w:p w14:paraId="2AD7EAB8" w14:textId="77777777" w:rsidR="003B0288" w:rsidRPr="00DA352F" w:rsidRDefault="00D307D0" w:rsidP="00D307D0">
      <w:pPr>
        <w:pStyle w:val="H1G"/>
        <w:rPr>
          <w:lang w:val="fr-FR"/>
        </w:rPr>
      </w:pPr>
      <w:r w:rsidRPr="00DA352F">
        <w:rPr>
          <w:lang w:val="fr-FR"/>
        </w:rPr>
        <w:tab/>
      </w:r>
      <w:r w:rsidRPr="00DA352F">
        <w:rPr>
          <w:lang w:val="fr-FR"/>
        </w:rPr>
        <w:tab/>
        <w:t>Prescriptions uniformes relatives à l</w:t>
      </w:r>
      <w:r w:rsidR="003B0288" w:rsidRPr="00DA352F">
        <w:rPr>
          <w:lang w:val="fr-FR"/>
        </w:rPr>
        <w:t>’</w:t>
      </w:r>
      <w:r w:rsidRPr="00DA352F">
        <w:rPr>
          <w:lang w:val="fr-FR"/>
        </w:rPr>
        <w:t>homologation des feux spéciaux d</w:t>
      </w:r>
      <w:r w:rsidR="003B0288" w:rsidRPr="00DA352F">
        <w:rPr>
          <w:lang w:val="fr-FR"/>
        </w:rPr>
        <w:t>’</w:t>
      </w:r>
      <w:r w:rsidRPr="00DA352F">
        <w:rPr>
          <w:lang w:val="fr-FR"/>
        </w:rPr>
        <w:t>avertissement pour véhicules à moteur et leurs remorques</w:t>
      </w:r>
    </w:p>
    <w:p w14:paraId="6F490412" w14:textId="661AD883" w:rsidR="00D307D0" w:rsidRPr="00DA352F" w:rsidRDefault="00D307D0" w:rsidP="00D307D0">
      <w:pPr>
        <w:pStyle w:val="SingleTxtG"/>
        <w:rPr>
          <w:b/>
          <w:lang w:val="fr-FR"/>
        </w:rPr>
      </w:pPr>
      <w:r w:rsidRPr="00DA352F">
        <w:rPr>
          <w:lang w:val="fr-FR"/>
        </w:rPr>
        <w:t>Le présent document est communiqué uniquement à titre d</w:t>
      </w:r>
      <w:r w:rsidR="003B0288" w:rsidRPr="00DA352F">
        <w:rPr>
          <w:bCs/>
          <w:lang w:val="fr-FR"/>
        </w:rPr>
        <w:t>’</w:t>
      </w:r>
      <w:r w:rsidRPr="00DA352F">
        <w:rPr>
          <w:lang w:val="fr-FR"/>
        </w:rPr>
        <w:t>information</w:t>
      </w:r>
      <w:r w:rsidR="00497475" w:rsidRPr="00DA352F">
        <w:rPr>
          <w:lang w:val="fr-FR"/>
        </w:rPr>
        <w:t>.</w:t>
      </w:r>
      <w:r w:rsidRPr="00DA352F">
        <w:rPr>
          <w:lang w:val="fr-FR"/>
        </w:rPr>
        <w:t xml:space="preserve"> Le texte authentique, juridiquement contraignant, est celui du document </w:t>
      </w:r>
      <w:hyperlink r:id="rId7" w:history="1">
        <w:r w:rsidRPr="00DA352F">
          <w:rPr>
            <w:rStyle w:val="Hyperlink"/>
            <w:lang w:val="fr-FR"/>
          </w:rPr>
          <w:t>ECE/TRANS/WP</w:t>
        </w:r>
        <w:r w:rsidR="00497475" w:rsidRPr="00DA352F">
          <w:rPr>
            <w:rStyle w:val="Hyperlink"/>
            <w:lang w:val="fr-FR"/>
          </w:rPr>
          <w:t>.</w:t>
        </w:r>
        <w:r w:rsidRPr="00DA352F">
          <w:rPr>
            <w:rStyle w:val="Hyperlink"/>
            <w:lang w:val="fr-FR"/>
          </w:rPr>
          <w:t>29/2023/34</w:t>
        </w:r>
      </w:hyperlink>
      <w:r w:rsidR="00497475" w:rsidRPr="00DA352F">
        <w:rPr>
          <w:lang w:val="fr-FR"/>
        </w:rPr>
        <w:t>.</w:t>
      </w:r>
    </w:p>
    <w:p w14:paraId="5F2E1C1A" w14:textId="3F03B313" w:rsidR="00D307D0" w:rsidRPr="00DA352F" w:rsidRDefault="00D26ACC" w:rsidP="00D307D0">
      <w:pPr>
        <w:suppressAutoHyphens w:val="0"/>
        <w:spacing w:line="240" w:lineRule="auto"/>
        <w:jc w:val="center"/>
        <w:rPr>
          <w:b/>
          <w:sz w:val="24"/>
          <w:lang w:val="fr-FR"/>
        </w:rPr>
      </w:pPr>
      <w:r w:rsidRPr="00DA352F">
        <w:rPr>
          <w:b/>
          <w:noProof/>
          <w:sz w:val="24"/>
          <w:lang w:val="fr-FR" w:eastAsia="en-GB"/>
        </w:rPr>
        <w:drawing>
          <wp:anchor distT="0" distB="137160" distL="114300" distR="114300" simplePos="0" relativeHeight="251662336" behindDoc="0" locked="0" layoutInCell="1" allowOverlap="1" wp14:anchorId="70EFF034" wp14:editId="0689D4FE">
            <wp:simplePos x="0" y="0"/>
            <wp:positionH relativeFrom="column">
              <wp:posOffset>2550160</wp:posOffset>
            </wp:positionH>
            <wp:positionV relativeFrom="paragraph">
              <wp:posOffset>175895</wp:posOffset>
            </wp:positionV>
            <wp:extent cx="1028700" cy="826770"/>
            <wp:effectExtent l="0" t="0" r="0" b="0"/>
            <wp:wrapTopAndBottom/>
            <wp:docPr id="18312339" name="Picture 2" descr="A logo of a wor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2339" name="Picture 2" descr="A logo of a wor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7D0" w:rsidRPr="00DA352F">
        <w:rPr>
          <w:b/>
          <w:sz w:val="24"/>
          <w:lang w:val="fr-FR"/>
        </w:rPr>
        <w:t>_________</w:t>
      </w:r>
    </w:p>
    <w:p w14:paraId="06F8EB23" w14:textId="77777777" w:rsidR="00D307D0" w:rsidRPr="00DA352F" w:rsidRDefault="00D307D0" w:rsidP="00D307D0">
      <w:pPr>
        <w:suppressAutoHyphens w:val="0"/>
        <w:spacing w:line="240" w:lineRule="auto"/>
        <w:jc w:val="center"/>
        <w:rPr>
          <w:b/>
          <w:sz w:val="24"/>
          <w:lang w:val="fr-FR"/>
        </w:rPr>
      </w:pPr>
      <w:r w:rsidRPr="00DA352F">
        <w:rPr>
          <w:b/>
          <w:sz w:val="24"/>
          <w:lang w:val="fr-FR"/>
        </w:rPr>
        <w:t>NATIONS UNIES</w:t>
      </w:r>
    </w:p>
    <w:p w14:paraId="30E45A69" w14:textId="16EDD3E9" w:rsidR="00D307D0" w:rsidRPr="00DA352F" w:rsidRDefault="00D307D0" w:rsidP="008B092F">
      <w:pPr>
        <w:pStyle w:val="SingleTxtG"/>
        <w:rPr>
          <w:bCs/>
          <w:i/>
          <w:lang w:val="fr-FR"/>
        </w:rPr>
      </w:pPr>
      <w:r w:rsidRPr="00DA352F">
        <w:rPr>
          <w:i/>
          <w:iCs/>
          <w:lang w:val="fr-FR"/>
        </w:rPr>
        <w:lastRenderedPageBreak/>
        <w:t>Table des matières, annexes,</w:t>
      </w:r>
      <w:r w:rsidRPr="00DA352F">
        <w:rPr>
          <w:lang w:val="fr-FR"/>
        </w:rPr>
        <w:t xml:space="preserve"> ajouter l</w:t>
      </w:r>
      <w:r w:rsidR="003B0288" w:rsidRPr="00DA352F">
        <w:rPr>
          <w:lang w:val="fr-FR"/>
        </w:rPr>
        <w:t>’</w:t>
      </w:r>
      <w:r w:rsidRPr="00DA352F">
        <w:rPr>
          <w:lang w:val="fr-FR"/>
        </w:rPr>
        <w:t>intitulé de la nouvelle annexe 9, libellé comme suit</w:t>
      </w:r>
      <w:r w:rsidR="003B0288" w:rsidRPr="00DA352F">
        <w:rPr>
          <w:lang w:val="fr-FR"/>
        </w:rPr>
        <w:t> :</w:t>
      </w:r>
    </w:p>
    <w:p w14:paraId="436D3B9F" w14:textId="057B1DF9" w:rsidR="00D307D0" w:rsidRPr="00DA352F" w:rsidRDefault="00D307D0" w:rsidP="00072369">
      <w:pPr>
        <w:pStyle w:val="SingleTxtG"/>
        <w:tabs>
          <w:tab w:val="clear" w:pos="1701"/>
          <w:tab w:val="clear" w:pos="2268"/>
          <w:tab w:val="clear" w:pos="2835"/>
          <w:tab w:val="left" w:pos="1985"/>
        </w:tabs>
        <w:rPr>
          <w:b/>
          <w:bCs/>
          <w:lang w:val="fr-FR"/>
        </w:rPr>
      </w:pPr>
      <w:r w:rsidRPr="00DA352F">
        <w:rPr>
          <w:lang w:val="fr-FR"/>
        </w:rPr>
        <w:t>«</w:t>
      </w:r>
      <w:r w:rsidRPr="00DA352F">
        <w:rPr>
          <w:b/>
          <w:bCs/>
          <w:lang w:val="fr-FR"/>
        </w:rPr>
        <w:t> </w:t>
      </w:r>
      <w:r w:rsidRPr="00DA352F">
        <w:rPr>
          <w:lang w:val="fr-FR"/>
        </w:rPr>
        <w:t>9</w:t>
      </w:r>
      <w:r w:rsidRPr="00DA352F">
        <w:rPr>
          <w:lang w:val="fr-FR"/>
        </w:rPr>
        <w:tab/>
        <w:t>Essai des semelles de fixation magnétiques des feux spéciaux d</w:t>
      </w:r>
      <w:r w:rsidR="003B0288" w:rsidRPr="00DA352F">
        <w:rPr>
          <w:lang w:val="fr-FR"/>
        </w:rPr>
        <w:t>’</w:t>
      </w:r>
      <w:r w:rsidRPr="00DA352F">
        <w:rPr>
          <w:lang w:val="fr-FR"/>
        </w:rPr>
        <w:t>avertissement</w:t>
      </w:r>
      <w:r w:rsidRPr="00DA352F">
        <w:rPr>
          <w:b/>
          <w:bCs/>
          <w:lang w:val="fr-FR"/>
        </w:rPr>
        <w:t> </w:t>
      </w:r>
      <w:r w:rsidRPr="00DA352F">
        <w:rPr>
          <w:lang w:val="fr-FR"/>
        </w:rPr>
        <w:t>»</w:t>
      </w:r>
      <w:r w:rsidR="00497475" w:rsidRPr="00DA352F">
        <w:rPr>
          <w:lang w:val="fr-FR"/>
        </w:rPr>
        <w:t>.</w:t>
      </w:r>
    </w:p>
    <w:p w14:paraId="5095158F" w14:textId="40B1FE09" w:rsidR="00D307D0" w:rsidRPr="00DA352F" w:rsidRDefault="00D307D0" w:rsidP="00D307D0">
      <w:pPr>
        <w:pStyle w:val="SingleTxtG"/>
        <w:keepNext/>
        <w:rPr>
          <w:lang w:val="fr-FR"/>
        </w:rPr>
      </w:pPr>
      <w:r w:rsidRPr="00DA352F">
        <w:rPr>
          <w:i/>
          <w:iCs/>
          <w:lang w:val="fr-FR"/>
        </w:rPr>
        <w:t>Ajouter le nouveau paragraphe 5</w:t>
      </w:r>
      <w:r w:rsidR="00497475" w:rsidRPr="00DA352F">
        <w:rPr>
          <w:i/>
          <w:iCs/>
          <w:lang w:val="fr-FR"/>
        </w:rPr>
        <w:t>.</w:t>
      </w:r>
      <w:r w:rsidRPr="00DA352F">
        <w:rPr>
          <w:i/>
          <w:iCs/>
          <w:lang w:val="fr-FR"/>
        </w:rPr>
        <w:t>10</w:t>
      </w:r>
      <w:r w:rsidRPr="00DA352F">
        <w:rPr>
          <w:lang w:val="fr-FR"/>
        </w:rPr>
        <w:t>, libellé comme suit</w:t>
      </w:r>
      <w:r w:rsidR="003B0288" w:rsidRPr="00DA352F">
        <w:rPr>
          <w:lang w:val="fr-FR"/>
        </w:rPr>
        <w:t> :</w:t>
      </w:r>
    </w:p>
    <w:p w14:paraId="0268DDC7" w14:textId="0CDC5A48" w:rsidR="00D307D0" w:rsidRPr="00DA352F" w:rsidRDefault="00D307D0" w:rsidP="00072369">
      <w:pPr>
        <w:pStyle w:val="SingleTxtG"/>
        <w:tabs>
          <w:tab w:val="clear" w:pos="1701"/>
          <w:tab w:val="clear" w:pos="2268"/>
          <w:tab w:val="clear" w:pos="2835"/>
          <w:tab w:val="left" w:pos="1985"/>
        </w:tabs>
        <w:ind w:left="1985" w:hanging="851"/>
        <w:rPr>
          <w:lang w:val="fr-FR"/>
        </w:rPr>
      </w:pPr>
      <w:r w:rsidRPr="00DA352F">
        <w:rPr>
          <w:lang w:val="fr-FR"/>
        </w:rPr>
        <w:t>« 5</w:t>
      </w:r>
      <w:r w:rsidR="00497475" w:rsidRPr="00DA352F">
        <w:rPr>
          <w:lang w:val="fr-FR"/>
        </w:rPr>
        <w:t>.</w:t>
      </w:r>
      <w:r w:rsidRPr="00DA352F">
        <w:rPr>
          <w:lang w:val="fr-FR"/>
        </w:rPr>
        <w:t>10</w:t>
      </w:r>
      <w:r w:rsidRPr="00DA352F">
        <w:rPr>
          <w:lang w:val="fr-FR"/>
        </w:rPr>
        <w:tab/>
        <w:t>Dans le cas d</w:t>
      </w:r>
      <w:r w:rsidR="003B0288" w:rsidRPr="00DA352F">
        <w:rPr>
          <w:lang w:val="fr-FR"/>
        </w:rPr>
        <w:t>’</w:t>
      </w:r>
      <w:r w:rsidRPr="00DA352F">
        <w:rPr>
          <w:lang w:val="fr-FR"/>
        </w:rPr>
        <w:t>une fixation par semelle magnétique, le feu spécial d</w:t>
      </w:r>
      <w:r w:rsidR="003B0288" w:rsidRPr="00DA352F">
        <w:rPr>
          <w:lang w:val="fr-FR"/>
        </w:rPr>
        <w:t>’</w:t>
      </w:r>
      <w:r w:rsidRPr="00DA352F">
        <w:rPr>
          <w:lang w:val="fr-FR"/>
        </w:rPr>
        <w:t>avertissement doit être soumis à l</w:t>
      </w:r>
      <w:r w:rsidR="003B0288" w:rsidRPr="00DA352F">
        <w:rPr>
          <w:lang w:val="fr-FR"/>
        </w:rPr>
        <w:t>’</w:t>
      </w:r>
      <w:r w:rsidRPr="00DA352F">
        <w:rPr>
          <w:lang w:val="fr-FR"/>
        </w:rPr>
        <w:t>essai décrit à l</w:t>
      </w:r>
      <w:r w:rsidR="003B0288" w:rsidRPr="00DA352F">
        <w:rPr>
          <w:lang w:val="fr-FR"/>
        </w:rPr>
        <w:t>’</w:t>
      </w:r>
      <w:r w:rsidRPr="00DA352F">
        <w:rPr>
          <w:lang w:val="fr-FR"/>
        </w:rPr>
        <w:t>annexe</w:t>
      </w:r>
      <w:r w:rsidR="00F554B6" w:rsidRPr="00DA352F">
        <w:rPr>
          <w:lang w:val="fr-FR"/>
        </w:rPr>
        <w:t> </w:t>
      </w:r>
      <w:r w:rsidRPr="00DA352F">
        <w:rPr>
          <w:lang w:val="fr-FR"/>
        </w:rPr>
        <w:t>9 du présent Règlement</w:t>
      </w:r>
      <w:r w:rsidR="00497475" w:rsidRPr="00DA352F">
        <w:rPr>
          <w:lang w:val="fr-FR"/>
        </w:rPr>
        <w:t>.</w:t>
      </w:r>
      <w:r w:rsidRPr="00DA352F">
        <w:rPr>
          <w:lang w:val="fr-FR"/>
        </w:rPr>
        <w:t xml:space="preserve"> Pendant l</w:t>
      </w:r>
      <w:r w:rsidR="003B0288" w:rsidRPr="00DA352F">
        <w:rPr>
          <w:lang w:val="fr-FR"/>
        </w:rPr>
        <w:t>’</w:t>
      </w:r>
      <w:r w:rsidRPr="00DA352F">
        <w:rPr>
          <w:lang w:val="fr-FR"/>
        </w:rPr>
        <w:t>essai, la semelle de fixation magnétique ne doit pas se déplacer de plus de 200 mm par rapport à sa position initiale</w:t>
      </w:r>
      <w:r w:rsidRPr="00DA352F">
        <w:rPr>
          <w:sz w:val="18"/>
          <w:szCs w:val="18"/>
          <w:vertAlign w:val="superscript"/>
          <w:lang w:val="fr-FR"/>
        </w:rPr>
        <w:t>1</w:t>
      </w:r>
      <w:r w:rsidR="00497475" w:rsidRPr="00DA352F">
        <w:rPr>
          <w:lang w:val="fr-FR"/>
        </w:rPr>
        <w:t>.</w:t>
      </w:r>
      <w:r w:rsidRPr="00DA352F">
        <w:rPr>
          <w:lang w:val="fr-FR"/>
        </w:rPr>
        <w:t> »</w:t>
      </w:r>
      <w:r w:rsidR="00497475" w:rsidRPr="00DA352F">
        <w:rPr>
          <w:lang w:val="fr-FR"/>
        </w:rPr>
        <w:t>.</w:t>
      </w:r>
    </w:p>
    <w:p w14:paraId="0C10D212" w14:textId="27C0BFD0" w:rsidR="00D307D0" w:rsidRPr="00DA352F" w:rsidRDefault="00D307D0" w:rsidP="00D307D0">
      <w:pPr>
        <w:pStyle w:val="SingleTxtG"/>
        <w:keepNext/>
        <w:rPr>
          <w:lang w:val="fr-FR"/>
        </w:rPr>
      </w:pPr>
      <w:r w:rsidRPr="00DA352F">
        <w:rPr>
          <w:i/>
          <w:iCs/>
          <w:lang w:val="fr-FR"/>
        </w:rPr>
        <w:t>Paragraphe 5</w:t>
      </w:r>
      <w:r w:rsidR="00497475" w:rsidRPr="00DA352F">
        <w:rPr>
          <w:i/>
          <w:iCs/>
          <w:lang w:val="fr-FR"/>
        </w:rPr>
        <w:t>.</w:t>
      </w:r>
      <w:r w:rsidRPr="00DA352F">
        <w:rPr>
          <w:i/>
          <w:iCs/>
          <w:lang w:val="fr-FR"/>
        </w:rPr>
        <w:t>10, ajouter la note de bas de page 1</w:t>
      </w:r>
      <w:r w:rsidRPr="00DA352F">
        <w:rPr>
          <w:lang w:val="fr-FR"/>
        </w:rPr>
        <w:t>, libellée comme suit</w:t>
      </w:r>
      <w:r w:rsidR="003B0288" w:rsidRPr="00DA352F">
        <w:rPr>
          <w:lang w:val="fr-FR"/>
        </w:rPr>
        <w:t> :</w:t>
      </w:r>
    </w:p>
    <w:p w14:paraId="7C57A78C" w14:textId="0A3E4ECE" w:rsidR="00D307D0" w:rsidRPr="00DA352F" w:rsidRDefault="00D307D0" w:rsidP="00C66F61">
      <w:pPr>
        <w:pStyle w:val="FootnoteText"/>
        <w:tabs>
          <w:tab w:val="clear" w:pos="1021"/>
          <w:tab w:val="left" w:pos="567"/>
          <w:tab w:val="left" w:pos="1560"/>
        </w:tabs>
        <w:spacing w:after="240"/>
        <w:ind w:hanging="14"/>
        <w:rPr>
          <w:lang w:val="fr-FR"/>
        </w:rPr>
      </w:pPr>
      <w:r w:rsidRPr="00DA352F">
        <w:rPr>
          <w:lang w:val="fr-FR"/>
        </w:rPr>
        <w:t>« </w:t>
      </w:r>
      <w:r w:rsidRPr="00DA352F">
        <w:rPr>
          <w:vertAlign w:val="superscript"/>
          <w:lang w:val="fr-FR"/>
        </w:rPr>
        <w:t>1</w:t>
      </w:r>
      <w:r w:rsidRPr="00DA352F">
        <w:rPr>
          <w:lang w:val="fr-FR"/>
        </w:rPr>
        <w:tab/>
        <w:t>Le fabricant doit informer l</w:t>
      </w:r>
      <w:r w:rsidR="003B0288" w:rsidRPr="00DA352F">
        <w:rPr>
          <w:lang w:val="fr-FR"/>
        </w:rPr>
        <w:t>’</w:t>
      </w:r>
      <w:r w:rsidRPr="00DA352F">
        <w:rPr>
          <w:lang w:val="fr-FR"/>
        </w:rPr>
        <w:t>utilisateur que ce mode de fixation n</w:t>
      </w:r>
      <w:r w:rsidR="003B0288" w:rsidRPr="00DA352F">
        <w:rPr>
          <w:lang w:val="fr-FR"/>
        </w:rPr>
        <w:t>’</w:t>
      </w:r>
      <w:r w:rsidRPr="00DA352F">
        <w:rPr>
          <w:lang w:val="fr-FR"/>
        </w:rPr>
        <w:t>est utilisable que sur un toit en acier adapté ou sur une plaque de montage en acier</w:t>
      </w:r>
      <w:r w:rsidR="00497475" w:rsidRPr="00DA352F">
        <w:rPr>
          <w:lang w:val="fr-FR"/>
        </w:rPr>
        <w:t>.</w:t>
      </w:r>
      <w:r w:rsidRPr="00DA352F">
        <w:rPr>
          <w:lang w:val="fr-FR"/>
        </w:rPr>
        <w:t> »</w:t>
      </w:r>
      <w:r w:rsidR="00497475" w:rsidRPr="00DA352F">
        <w:rPr>
          <w:lang w:val="fr-FR"/>
        </w:rPr>
        <w:t>.</w:t>
      </w:r>
    </w:p>
    <w:p w14:paraId="49C3A0BB" w14:textId="1CC139E7" w:rsidR="00D307D0" w:rsidRPr="00DA352F" w:rsidRDefault="00D307D0" w:rsidP="00D307D0">
      <w:pPr>
        <w:pStyle w:val="SingleTxtG"/>
        <w:keepNext/>
        <w:rPr>
          <w:bCs/>
          <w:lang w:val="fr-FR"/>
        </w:rPr>
      </w:pPr>
      <w:r w:rsidRPr="00DA352F">
        <w:rPr>
          <w:i/>
          <w:iCs/>
          <w:lang w:val="fr-FR"/>
        </w:rPr>
        <w:t>Ajouter la nouvelle annexe 9</w:t>
      </w:r>
      <w:r w:rsidRPr="00DA352F">
        <w:rPr>
          <w:lang w:val="fr-FR"/>
        </w:rPr>
        <w:t>, libellée comme suit</w:t>
      </w:r>
      <w:r w:rsidR="003B0288" w:rsidRPr="00DA352F">
        <w:rPr>
          <w:lang w:val="fr-FR"/>
        </w:rPr>
        <w:t> :</w:t>
      </w:r>
    </w:p>
    <w:p w14:paraId="70FA12CD" w14:textId="77777777" w:rsidR="00D307D0" w:rsidRPr="00DA352F" w:rsidRDefault="00D307D0" w:rsidP="00D307D0">
      <w:pPr>
        <w:pStyle w:val="HChG"/>
        <w:rPr>
          <w:lang w:val="fr-FR"/>
        </w:rPr>
      </w:pPr>
      <w:r w:rsidRPr="00DA352F">
        <w:rPr>
          <w:b w:val="0"/>
          <w:bCs/>
          <w:sz w:val="20"/>
          <w:lang w:val="fr-FR"/>
        </w:rPr>
        <w:t>« </w:t>
      </w:r>
      <w:r w:rsidRPr="00DA352F">
        <w:rPr>
          <w:lang w:val="fr-FR"/>
        </w:rPr>
        <w:t>Annexe 9</w:t>
      </w:r>
    </w:p>
    <w:p w14:paraId="44B03FC1" w14:textId="15E8449F" w:rsidR="00D307D0" w:rsidRPr="00DA352F" w:rsidRDefault="00D307D0" w:rsidP="00D307D0">
      <w:pPr>
        <w:pStyle w:val="HChG"/>
        <w:rPr>
          <w:lang w:val="fr-FR"/>
        </w:rPr>
      </w:pPr>
      <w:r w:rsidRPr="00DA352F">
        <w:rPr>
          <w:lang w:val="fr-FR"/>
        </w:rPr>
        <w:tab/>
      </w:r>
      <w:r w:rsidRPr="00DA352F">
        <w:rPr>
          <w:lang w:val="fr-FR"/>
        </w:rPr>
        <w:tab/>
        <w:t>Essai des semelles de fixation magnétiques des feux spéciaux d</w:t>
      </w:r>
      <w:r w:rsidR="003B0288" w:rsidRPr="00DA352F">
        <w:rPr>
          <w:lang w:val="fr-FR"/>
        </w:rPr>
        <w:t>’</w:t>
      </w:r>
      <w:r w:rsidRPr="00DA352F">
        <w:rPr>
          <w:lang w:val="fr-FR"/>
        </w:rPr>
        <w:t>avertissement</w:t>
      </w:r>
    </w:p>
    <w:p w14:paraId="388A9D90" w14:textId="4810C955" w:rsidR="00D307D0" w:rsidRPr="00DA352F" w:rsidRDefault="00D307D0" w:rsidP="00FF25E0">
      <w:pPr>
        <w:pStyle w:val="SingleTxtG"/>
        <w:ind w:firstLine="567"/>
        <w:rPr>
          <w:lang w:val="fr-FR"/>
        </w:rPr>
      </w:pPr>
      <w:r w:rsidRPr="00DA352F">
        <w:rPr>
          <w:lang w:val="fr-FR"/>
        </w:rPr>
        <w:t xml:space="preserve">Les essais doivent être effectués à une température ambiante de 23 </w:t>
      </w:r>
      <w:r w:rsidRPr="00DA352F">
        <w:rPr>
          <w:lang w:val="fr-FR"/>
        </w:rPr>
        <w:sym w:font="Symbol" w:char="F0B1"/>
      </w:r>
      <w:r w:rsidRPr="00DA352F">
        <w:rPr>
          <w:lang w:val="fr-FR"/>
        </w:rPr>
        <w:t>5 °C sur une surface métallique de taille suffisante et répondant aux spécifications suivantes</w:t>
      </w:r>
      <w:r w:rsidR="003B0288" w:rsidRPr="00DA352F">
        <w:rPr>
          <w:lang w:val="fr-FR"/>
        </w:rPr>
        <w:t> :</w:t>
      </w:r>
    </w:p>
    <w:p w14:paraId="38CB7DF9" w14:textId="01F58868" w:rsidR="00D307D0" w:rsidRPr="00DA352F" w:rsidRDefault="00D307D0" w:rsidP="00FF25E0">
      <w:pPr>
        <w:pStyle w:val="Bullet1G"/>
        <w:rPr>
          <w:lang w:val="fr-FR"/>
        </w:rPr>
      </w:pPr>
      <w:r w:rsidRPr="00DA352F">
        <w:rPr>
          <w:lang w:val="fr-FR"/>
        </w:rPr>
        <w:t>type de métal</w:t>
      </w:r>
      <w:r w:rsidR="003B0288" w:rsidRPr="00DA352F">
        <w:rPr>
          <w:lang w:val="fr-FR"/>
        </w:rPr>
        <w:t> :</w:t>
      </w:r>
      <w:r w:rsidRPr="00DA352F">
        <w:rPr>
          <w:lang w:val="fr-FR"/>
        </w:rPr>
        <w:t xml:space="preserve"> acier, avec une limite nominale d</w:t>
      </w:r>
      <w:r w:rsidR="003B0288" w:rsidRPr="00DA352F">
        <w:rPr>
          <w:lang w:val="fr-FR"/>
        </w:rPr>
        <w:t>’</w:t>
      </w:r>
      <w:r w:rsidRPr="00DA352F">
        <w:rPr>
          <w:lang w:val="fr-FR"/>
        </w:rPr>
        <w:t>élasticité comprise entre 180 N/mm</w:t>
      </w:r>
      <w:r w:rsidRPr="00DA352F">
        <w:rPr>
          <w:vertAlign w:val="superscript"/>
          <w:lang w:val="fr-FR"/>
        </w:rPr>
        <w:t>2</w:t>
      </w:r>
      <w:r w:rsidRPr="00DA352F">
        <w:rPr>
          <w:lang w:val="fr-FR"/>
        </w:rPr>
        <w:t xml:space="preserve"> et 240 N/mm</w:t>
      </w:r>
      <w:r w:rsidRPr="00DA352F">
        <w:rPr>
          <w:vertAlign w:val="superscript"/>
          <w:lang w:val="fr-FR"/>
        </w:rPr>
        <w:t>2</w:t>
      </w:r>
      <w:r w:rsidR="003B0288" w:rsidRPr="00DA352F">
        <w:rPr>
          <w:lang w:val="fr-FR"/>
        </w:rPr>
        <w:t> ;</w:t>
      </w:r>
    </w:p>
    <w:p w14:paraId="71AC7912" w14:textId="6E37E497" w:rsidR="00D307D0" w:rsidRPr="00DA352F" w:rsidRDefault="00D307D0" w:rsidP="00FF25E0">
      <w:pPr>
        <w:pStyle w:val="Bullet1G"/>
        <w:rPr>
          <w:lang w:val="fr-FR"/>
        </w:rPr>
      </w:pPr>
      <w:r w:rsidRPr="00DA352F">
        <w:rPr>
          <w:lang w:val="fr-FR"/>
        </w:rPr>
        <w:t>épaisseur de la surface métallique</w:t>
      </w:r>
      <w:r w:rsidR="003B0288" w:rsidRPr="00DA352F">
        <w:rPr>
          <w:lang w:val="fr-FR"/>
        </w:rPr>
        <w:t> :</w:t>
      </w:r>
      <w:r w:rsidRPr="00DA352F">
        <w:rPr>
          <w:lang w:val="fr-FR"/>
        </w:rPr>
        <w:t xml:space="preserve"> 0,7 +0,1/-0 mm</w:t>
      </w:r>
      <w:r w:rsidR="003B0288" w:rsidRPr="00DA352F">
        <w:rPr>
          <w:lang w:val="fr-FR"/>
        </w:rPr>
        <w:t> ;</w:t>
      </w:r>
    </w:p>
    <w:p w14:paraId="00AD898D" w14:textId="25820739" w:rsidR="00D307D0" w:rsidRPr="00DA352F" w:rsidRDefault="00D307D0" w:rsidP="00FF25E0">
      <w:pPr>
        <w:pStyle w:val="Bullet1G"/>
        <w:rPr>
          <w:lang w:val="fr-FR"/>
        </w:rPr>
      </w:pPr>
      <w:r w:rsidRPr="00DA352F">
        <w:rPr>
          <w:lang w:val="fr-FR"/>
        </w:rPr>
        <w:t>rayon de courbure</w:t>
      </w:r>
      <w:r w:rsidR="003B0288" w:rsidRPr="00DA352F">
        <w:rPr>
          <w:lang w:val="fr-FR"/>
        </w:rPr>
        <w:t> :</w:t>
      </w:r>
      <w:r w:rsidRPr="00DA352F">
        <w:rPr>
          <w:lang w:val="fr-FR"/>
        </w:rPr>
        <w:t xml:space="preserve"> ≤5 000 mm</w:t>
      </w:r>
      <w:r w:rsidR="003B0288" w:rsidRPr="00DA352F">
        <w:rPr>
          <w:lang w:val="fr-FR"/>
        </w:rPr>
        <w:t> ;</w:t>
      </w:r>
    </w:p>
    <w:p w14:paraId="1C8289D1" w14:textId="457E1385" w:rsidR="00D307D0" w:rsidRPr="00DA352F" w:rsidRDefault="00D307D0" w:rsidP="00FF25E0">
      <w:pPr>
        <w:pStyle w:val="Bullet1G"/>
        <w:rPr>
          <w:lang w:val="fr-FR"/>
        </w:rPr>
      </w:pPr>
      <w:r w:rsidRPr="00DA352F">
        <w:rPr>
          <w:lang w:val="fr-FR"/>
        </w:rPr>
        <w:t>épaisseur de la peinture</w:t>
      </w:r>
      <w:r w:rsidR="003B0288" w:rsidRPr="00DA352F">
        <w:rPr>
          <w:lang w:val="fr-FR"/>
        </w:rPr>
        <w:t> :</w:t>
      </w:r>
      <w:r w:rsidRPr="00DA352F">
        <w:rPr>
          <w:lang w:val="fr-FR"/>
        </w:rPr>
        <w:t xml:space="preserve"> 120 </w:t>
      </w:r>
      <w:r w:rsidRPr="00DA352F">
        <w:rPr>
          <w:lang w:val="fr-FR"/>
        </w:rPr>
        <w:sym w:font="Symbol" w:char="F0B1"/>
      </w:r>
      <w:r w:rsidRPr="00DA352F">
        <w:rPr>
          <w:lang w:val="fr-FR"/>
        </w:rPr>
        <w:t>20 μm</w:t>
      </w:r>
      <w:r w:rsidR="003B0288" w:rsidRPr="00DA352F">
        <w:rPr>
          <w:lang w:val="fr-FR"/>
        </w:rPr>
        <w:t> ;</w:t>
      </w:r>
    </w:p>
    <w:p w14:paraId="56EDD51E" w14:textId="25AC57D3" w:rsidR="00D307D0" w:rsidRPr="00DA352F" w:rsidRDefault="00D307D0" w:rsidP="00FF25E0">
      <w:pPr>
        <w:pStyle w:val="Bullet1G"/>
        <w:rPr>
          <w:lang w:val="fr-FR"/>
        </w:rPr>
      </w:pPr>
      <w:r w:rsidRPr="00DA352F">
        <w:rPr>
          <w:lang w:val="fr-FR"/>
        </w:rPr>
        <w:t>protection de la peinture</w:t>
      </w:r>
      <w:r w:rsidR="003B0288" w:rsidRPr="00DA352F">
        <w:rPr>
          <w:lang w:val="fr-FR"/>
        </w:rPr>
        <w:t> :</w:t>
      </w:r>
      <w:r w:rsidRPr="00DA352F">
        <w:rPr>
          <w:lang w:val="fr-FR"/>
        </w:rPr>
        <w:t xml:space="preserve"> film de polyuréthane</w:t>
      </w:r>
      <w:r w:rsidR="003B0288" w:rsidRPr="00DA352F">
        <w:rPr>
          <w:lang w:val="fr-FR"/>
        </w:rPr>
        <w:t> ;</w:t>
      </w:r>
    </w:p>
    <w:p w14:paraId="7D15BC18" w14:textId="4AF67939" w:rsidR="00D307D0" w:rsidRPr="00DA352F" w:rsidRDefault="00D307D0" w:rsidP="00FF25E0">
      <w:pPr>
        <w:pStyle w:val="Bullet1G"/>
        <w:rPr>
          <w:lang w:val="fr-FR"/>
        </w:rPr>
      </w:pPr>
      <w:r w:rsidRPr="00DA352F">
        <w:rPr>
          <w:lang w:val="fr-FR"/>
        </w:rPr>
        <w:t>épaisseur du film de protection de la peinture</w:t>
      </w:r>
      <w:r w:rsidR="003B0288" w:rsidRPr="00DA352F">
        <w:rPr>
          <w:lang w:val="fr-FR"/>
        </w:rPr>
        <w:t> :</w:t>
      </w:r>
      <w:r w:rsidRPr="00DA352F">
        <w:rPr>
          <w:lang w:val="fr-FR"/>
        </w:rPr>
        <w:t xml:space="preserve"> ≥ 200 μm, colle comprise</w:t>
      </w:r>
      <w:r w:rsidR="003B0288" w:rsidRPr="00DA352F">
        <w:rPr>
          <w:lang w:val="fr-FR"/>
        </w:rPr>
        <w:t> ;</w:t>
      </w:r>
    </w:p>
    <w:p w14:paraId="45DDE54C" w14:textId="548E6AF5" w:rsidR="00D307D0" w:rsidRPr="00DA352F" w:rsidRDefault="00D307D0" w:rsidP="00FF25E0">
      <w:pPr>
        <w:pStyle w:val="Bullet1G"/>
        <w:rPr>
          <w:lang w:val="fr-FR"/>
        </w:rPr>
      </w:pPr>
      <w:r w:rsidRPr="00DA352F">
        <w:rPr>
          <w:lang w:val="fr-FR"/>
        </w:rPr>
        <w:t>surface métallique &gt;20 mm au-dessus de tout autre matériau ferreux ou magnétique</w:t>
      </w:r>
      <w:r w:rsidR="00497475" w:rsidRPr="00DA352F">
        <w:rPr>
          <w:lang w:val="fr-FR"/>
        </w:rPr>
        <w:t>.</w:t>
      </w:r>
    </w:p>
    <w:p w14:paraId="6CB262C2" w14:textId="77777777" w:rsidR="00D307D0" w:rsidRPr="00DA352F" w:rsidRDefault="00D307D0" w:rsidP="00D307D0">
      <w:pPr>
        <w:pStyle w:val="Heading1"/>
        <w:rPr>
          <w:b/>
          <w:lang w:val="fr-FR"/>
        </w:rPr>
      </w:pPr>
      <w:r w:rsidRPr="00DA352F">
        <w:rPr>
          <w:lang w:val="fr-FR"/>
        </w:rPr>
        <w:t>Figure 1</w:t>
      </w:r>
    </w:p>
    <w:p w14:paraId="128397A1" w14:textId="191CE1B6" w:rsidR="00D307D0" w:rsidRPr="00DA352F" w:rsidRDefault="00D307D0" w:rsidP="00D307D0">
      <w:pPr>
        <w:pStyle w:val="SingleTxtG"/>
        <w:keepNext/>
        <w:jc w:val="left"/>
        <w:rPr>
          <w:b/>
          <w:bCs/>
          <w:lang w:val="fr-FR"/>
        </w:rPr>
      </w:pPr>
      <w:r w:rsidRPr="00DA352F">
        <w:rPr>
          <w:b/>
          <w:bCs/>
          <w:lang w:val="fr-FR"/>
        </w:rPr>
        <w:t>Surface métallique avec peinture et film de protection de la peinture</w:t>
      </w:r>
    </w:p>
    <w:p w14:paraId="5D5CA55F" w14:textId="5967071F" w:rsidR="00D307D0" w:rsidRPr="00DA352F" w:rsidRDefault="00497475" w:rsidP="00D307D0">
      <w:pPr>
        <w:pStyle w:val="SingleTxtG"/>
        <w:rPr>
          <w:lang w:val="fr-FR"/>
        </w:rPr>
      </w:pPr>
      <w:r w:rsidRPr="00DA352F">
        <w:rPr>
          <w:lang w:val="fr-FR"/>
        </w:rPr>
        <w:drawing>
          <wp:inline distT="0" distB="0" distL="0" distR="0" wp14:anchorId="608909E0" wp14:editId="6A70E22C">
            <wp:extent cx="4680000" cy="741600"/>
            <wp:effectExtent l="0" t="0" r="0" b="1905"/>
            <wp:docPr id="760695223" name="Picture 1" descr="A blue rectangular object with red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695223" name="Picture 1" descr="A blue rectangular object with red line&#10;&#10;Description automatically generated"/>
                    <pic:cNvPicPr/>
                  </pic:nvPicPr>
                  <pic:blipFill rotWithShape="1">
                    <a:blip r:embed="rId9"/>
                    <a:srcRect l="2600" t="8334" r="3246"/>
                    <a:stretch/>
                  </pic:blipFill>
                  <pic:spPr bwMode="auto">
                    <a:xfrm>
                      <a:off x="0" y="0"/>
                      <a:ext cx="4680000" cy="74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411BF5" w14:textId="46961D40" w:rsidR="00D307D0" w:rsidRPr="00DA352F" w:rsidRDefault="00D307D0" w:rsidP="00FF25E0">
      <w:pPr>
        <w:pStyle w:val="SingleTxtG"/>
        <w:ind w:firstLine="567"/>
        <w:rPr>
          <w:lang w:val="fr-FR"/>
        </w:rPr>
      </w:pPr>
      <w:r w:rsidRPr="00DA352F">
        <w:rPr>
          <w:lang w:val="fr-FR"/>
        </w:rPr>
        <w:t>Le feu spécial d</w:t>
      </w:r>
      <w:r w:rsidR="003B0288" w:rsidRPr="00DA352F">
        <w:rPr>
          <w:lang w:val="fr-FR"/>
        </w:rPr>
        <w:t>’</w:t>
      </w:r>
      <w:r w:rsidRPr="00DA352F">
        <w:rPr>
          <w:lang w:val="fr-FR"/>
        </w:rPr>
        <w:t>avertissement doit être fixé sur la surface métallique plane à l</w:t>
      </w:r>
      <w:r w:rsidR="003B0288" w:rsidRPr="00DA352F">
        <w:rPr>
          <w:lang w:val="fr-FR"/>
        </w:rPr>
        <w:t>’</w:t>
      </w:r>
      <w:r w:rsidRPr="00DA352F">
        <w:rPr>
          <w:lang w:val="fr-FR"/>
        </w:rPr>
        <w:t>aide d</w:t>
      </w:r>
      <w:r w:rsidR="003B0288" w:rsidRPr="00DA352F">
        <w:rPr>
          <w:lang w:val="fr-FR"/>
        </w:rPr>
        <w:t>’</w:t>
      </w:r>
      <w:r w:rsidRPr="00DA352F">
        <w:rPr>
          <w:lang w:val="fr-FR"/>
        </w:rPr>
        <w:t>une semelle magnétique et soumis à une impulsion de choc avec une accélération minimale de 16 g pendant 30 ms</w:t>
      </w:r>
      <w:r w:rsidR="00497475" w:rsidRPr="00DA352F">
        <w:rPr>
          <w:lang w:val="fr-FR"/>
        </w:rPr>
        <w:t>.</w:t>
      </w:r>
    </w:p>
    <w:p w14:paraId="3D75CA44" w14:textId="1A9C39BD" w:rsidR="00446FE5" w:rsidRPr="00DA352F" w:rsidRDefault="00D307D0" w:rsidP="00FF25E0">
      <w:pPr>
        <w:pStyle w:val="SingleTxtG"/>
        <w:ind w:firstLine="567"/>
        <w:rPr>
          <w:lang w:val="fr-FR"/>
        </w:rPr>
      </w:pPr>
      <w:r w:rsidRPr="00DA352F">
        <w:rPr>
          <w:lang w:val="fr-FR"/>
        </w:rPr>
        <w:t>La direction de l</w:t>
      </w:r>
      <w:r w:rsidR="003B0288" w:rsidRPr="00DA352F">
        <w:rPr>
          <w:lang w:val="fr-FR"/>
        </w:rPr>
        <w:t>’</w:t>
      </w:r>
      <w:r w:rsidRPr="00DA352F">
        <w:rPr>
          <w:lang w:val="fr-FR"/>
        </w:rPr>
        <w:t>accélération doit être horizontale</w:t>
      </w:r>
      <w:r w:rsidR="00497475" w:rsidRPr="00DA352F">
        <w:rPr>
          <w:lang w:val="fr-FR"/>
        </w:rPr>
        <w:t>.</w:t>
      </w:r>
      <w:r w:rsidRPr="00DA352F">
        <w:rPr>
          <w:lang w:val="fr-FR"/>
        </w:rPr>
        <w:t> »</w:t>
      </w:r>
      <w:r w:rsidR="00497475" w:rsidRPr="00DA352F">
        <w:rPr>
          <w:lang w:val="fr-FR"/>
        </w:rPr>
        <w:t>.</w:t>
      </w:r>
    </w:p>
    <w:p w14:paraId="58B89765" w14:textId="3C94D429" w:rsidR="00D307D0" w:rsidRPr="00DA352F" w:rsidRDefault="00D307D0" w:rsidP="00D307D0">
      <w:pPr>
        <w:pStyle w:val="SingleTxtG"/>
        <w:spacing w:before="240" w:after="0"/>
        <w:jc w:val="center"/>
        <w:rPr>
          <w:u w:val="single"/>
          <w:lang w:val="fr-FR"/>
        </w:rPr>
      </w:pPr>
      <w:r w:rsidRPr="00DA352F">
        <w:rPr>
          <w:u w:val="single"/>
          <w:lang w:val="fr-FR"/>
        </w:rPr>
        <w:tab/>
      </w:r>
      <w:r w:rsidRPr="00DA352F">
        <w:rPr>
          <w:u w:val="single"/>
          <w:lang w:val="fr-FR"/>
        </w:rPr>
        <w:tab/>
      </w:r>
      <w:r w:rsidRPr="00DA352F">
        <w:rPr>
          <w:u w:val="single"/>
          <w:lang w:val="fr-FR"/>
        </w:rPr>
        <w:tab/>
      </w:r>
    </w:p>
    <w:sectPr w:rsidR="00D307D0" w:rsidRPr="00DA352F" w:rsidSect="00D307D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EA6F" w14:textId="77777777" w:rsidR="008C2C4F" w:rsidRDefault="008C2C4F" w:rsidP="00F95C08">
      <w:pPr>
        <w:spacing w:line="240" w:lineRule="auto"/>
      </w:pPr>
    </w:p>
  </w:endnote>
  <w:endnote w:type="continuationSeparator" w:id="0">
    <w:p w14:paraId="6BBFB442" w14:textId="77777777" w:rsidR="008C2C4F" w:rsidRPr="00AC3823" w:rsidRDefault="008C2C4F" w:rsidP="00AC3823">
      <w:pPr>
        <w:pStyle w:val="Footer"/>
      </w:pPr>
    </w:p>
  </w:endnote>
  <w:endnote w:type="continuationNotice" w:id="1">
    <w:p w14:paraId="42188753" w14:textId="77777777" w:rsidR="008C2C4F" w:rsidRDefault="008C2C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4D3D" w14:textId="53DA2860" w:rsidR="00D307D0" w:rsidRPr="00D307D0" w:rsidRDefault="00D307D0" w:rsidP="00D307D0">
    <w:pPr>
      <w:pStyle w:val="Footer"/>
      <w:tabs>
        <w:tab w:val="right" w:pos="9638"/>
      </w:tabs>
    </w:pPr>
    <w:r w:rsidRPr="00D307D0">
      <w:rPr>
        <w:b/>
        <w:sz w:val="18"/>
      </w:rPr>
      <w:fldChar w:fldCharType="begin"/>
    </w:r>
    <w:r w:rsidRPr="00D307D0">
      <w:rPr>
        <w:b/>
        <w:sz w:val="18"/>
      </w:rPr>
      <w:instrText xml:space="preserve"> PAGE  \* MERGEFORMAT </w:instrText>
    </w:r>
    <w:r w:rsidRPr="00D307D0">
      <w:rPr>
        <w:b/>
        <w:sz w:val="18"/>
      </w:rPr>
      <w:fldChar w:fldCharType="separate"/>
    </w:r>
    <w:r w:rsidRPr="00D307D0">
      <w:rPr>
        <w:b/>
        <w:noProof/>
        <w:sz w:val="18"/>
      </w:rPr>
      <w:t>2</w:t>
    </w:r>
    <w:r w:rsidRPr="00D307D0">
      <w:rPr>
        <w:b/>
        <w:sz w:val="18"/>
      </w:rPr>
      <w:fldChar w:fldCharType="end"/>
    </w:r>
    <w:r>
      <w:rPr>
        <w:b/>
        <w:sz w:val="18"/>
      </w:rPr>
      <w:tab/>
    </w:r>
    <w:r>
      <w:t>GE.23-23008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726F" w14:textId="55137EE8" w:rsidR="00D307D0" w:rsidRPr="00D307D0" w:rsidRDefault="00D307D0" w:rsidP="00D307D0">
    <w:pPr>
      <w:pStyle w:val="Footer"/>
      <w:tabs>
        <w:tab w:val="right" w:pos="9638"/>
      </w:tabs>
      <w:rPr>
        <w:b/>
        <w:sz w:val="18"/>
      </w:rPr>
    </w:pPr>
    <w:r>
      <w:t>GE.23-23008</w:t>
    </w:r>
    <w:r>
      <w:tab/>
    </w:r>
    <w:r w:rsidRPr="00D307D0">
      <w:rPr>
        <w:b/>
        <w:sz w:val="18"/>
      </w:rPr>
      <w:fldChar w:fldCharType="begin"/>
    </w:r>
    <w:r w:rsidRPr="00D307D0">
      <w:rPr>
        <w:b/>
        <w:sz w:val="18"/>
      </w:rPr>
      <w:instrText xml:space="preserve"> PAGE  \* MERGEFORMAT </w:instrText>
    </w:r>
    <w:r w:rsidRPr="00D307D0">
      <w:rPr>
        <w:b/>
        <w:sz w:val="18"/>
      </w:rPr>
      <w:fldChar w:fldCharType="separate"/>
    </w:r>
    <w:r w:rsidRPr="00D307D0">
      <w:rPr>
        <w:b/>
        <w:noProof/>
        <w:sz w:val="18"/>
      </w:rPr>
      <w:t>3</w:t>
    </w:r>
    <w:r w:rsidRPr="00D307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FE50" w14:textId="6304D8E8" w:rsidR="000D3EE9" w:rsidRPr="00D307D0" w:rsidRDefault="00D307D0" w:rsidP="00D307D0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86986D5" wp14:editId="15E0663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23-23008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9B3ABE6" wp14:editId="700A6BC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3722803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532">
      <w:rPr>
        <w:sz w:val="20"/>
      </w:rPr>
      <w:t xml:space="preserve">    200224    200224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0CFB" w14:textId="77777777" w:rsidR="008C2C4F" w:rsidRPr="00AC3823" w:rsidRDefault="008C2C4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241F93" w14:textId="77777777" w:rsidR="008C2C4F" w:rsidRPr="00AC3823" w:rsidRDefault="008C2C4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59EA74A" w14:textId="77777777" w:rsidR="008C2C4F" w:rsidRPr="00AC3823" w:rsidRDefault="008C2C4F">
      <w:pPr>
        <w:spacing w:line="240" w:lineRule="auto"/>
        <w:rPr>
          <w:sz w:val="2"/>
          <w:szCs w:val="2"/>
        </w:rPr>
      </w:pPr>
    </w:p>
  </w:footnote>
  <w:footnote w:id="2">
    <w:p w14:paraId="00779CF1" w14:textId="4ECBA2AD" w:rsidR="00D307D0" w:rsidRDefault="00D307D0" w:rsidP="00D307D0">
      <w:pPr>
        <w:pStyle w:val="FootnoteText"/>
      </w:pPr>
      <w:r>
        <w:rPr>
          <w:rStyle w:val="FootnoteReference"/>
        </w:rPr>
        <w:tab/>
      </w:r>
      <w:r w:rsidRPr="00D307D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Anciens titres de l</w:t>
      </w:r>
      <w:r w:rsidR="003B0288">
        <w:t>’</w:t>
      </w:r>
      <w:r>
        <w:t>Accord</w:t>
      </w:r>
      <w:r w:rsidR="003B0288">
        <w:t> :</w:t>
      </w:r>
    </w:p>
    <w:p w14:paraId="07CC83EC" w14:textId="447D3D9B" w:rsidR="00D307D0" w:rsidRDefault="00D307D0" w:rsidP="00D307D0">
      <w:pPr>
        <w:pStyle w:val="FootnoteText"/>
      </w:pPr>
      <w:r>
        <w:tab/>
      </w:r>
      <w:r>
        <w:tab/>
        <w:t>Accord concernant l</w:t>
      </w:r>
      <w:r w:rsidR="003B0288">
        <w:t>’</w:t>
      </w:r>
      <w:r>
        <w:t>adoption de conditions uniformes d</w:t>
      </w:r>
      <w:r w:rsidR="003B0288">
        <w:t>’</w:t>
      </w:r>
      <w:r>
        <w:t>homologation et la reconnaissance réciproque de l</w:t>
      </w:r>
      <w:r w:rsidR="003B0288">
        <w:t>’</w:t>
      </w:r>
      <w:r>
        <w:t>homologation des équipements et pièces de véhicules à moteur, en date, à Genève, du 20</w:t>
      </w:r>
      <w:r w:rsidR="00704468">
        <w:t> </w:t>
      </w:r>
      <w:r>
        <w:t>mars 1958 (version originale)</w:t>
      </w:r>
      <w:r w:rsidR="003B0288">
        <w:t> ;</w:t>
      </w:r>
    </w:p>
    <w:p w14:paraId="60283EE3" w14:textId="4D3CFA39" w:rsidR="00D307D0" w:rsidRPr="00D307D0" w:rsidRDefault="00D307D0" w:rsidP="00D307D0">
      <w:pPr>
        <w:pStyle w:val="FootnoteText"/>
        <w:rPr>
          <w:lang w:val="fr-FR"/>
        </w:rPr>
      </w:pPr>
      <w:r w:rsidRPr="00247CA9">
        <w:tab/>
      </w:r>
      <w:r w:rsidRPr="00247CA9">
        <w:tab/>
      </w:r>
      <w:r>
        <w:t>Accord concernant l</w:t>
      </w:r>
      <w:r w:rsidR="003B0288">
        <w:t>’</w:t>
      </w:r>
      <w:r>
        <w:t>adoption de prescriptions techniques uniformes applicables aux véhicules à roues, aux équipements et aux pièces susceptibles d</w:t>
      </w:r>
      <w:r w:rsidR="003B0288">
        <w:t>’</w:t>
      </w:r>
      <w:r>
        <w:t>être montés ou utilisés sur un véhicule à roues et les conditions de reconnaissance réciproque des homologations délivrées conformément à ces prescriptions, en date, à Genève, du 5 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E8FB" w14:textId="575470CB" w:rsidR="00D307D0" w:rsidRPr="00D307D0" w:rsidRDefault="00D307D0">
    <w:pPr>
      <w:pStyle w:val="Header"/>
      <w:rPr>
        <w:lang w:val="en-US"/>
      </w:rPr>
    </w:pPr>
    <w:r>
      <w:fldChar w:fldCharType="begin"/>
    </w:r>
    <w:r w:rsidRPr="00D307D0">
      <w:rPr>
        <w:lang w:val="en-US"/>
      </w:rPr>
      <w:instrText xml:space="preserve"> TITLE  \* MERGEFORMAT </w:instrText>
    </w:r>
    <w:r>
      <w:fldChar w:fldCharType="separate"/>
    </w:r>
    <w:r w:rsidR="00C66F61">
      <w:rPr>
        <w:lang w:val="en-US"/>
      </w:rPr>
      <w:t>E/ECE/324/Rev.1/Add.64/Rev.2/Amend.5</w:t>
    </w:r>
    <w:r>
      <w:fldChar w:fldCharType="end"/>
    </w:r>
    <w:r w:rsidRPr="00D307D0">
      <w:rPr>
        <w:lang w:val="en-US"/>
      </w:rPr>
      <w:br/>
    </w:r>
    <w:r>
      <w:fldChar w:fldCharType="begin"/>
    </w:r>
    <w:r w:rsidRPr="00D307D0">
      <w:rPr>
        <w:lang w:val="en-US"/>
      </w:rPr>
      <w:instrText xml:space="preserve"> KEYWORDS  \* MERGEFORMAT </w:instrText>
    </w:r>
    <w:r>
      <w:fldChar w:fldCharType="separate"/>
    </w:r>
    <w:r w:rsidR="00C66F61">
      <w:rPr>
        <w:lang w:val="en-US"/>
      </w:rPr>
      <w:t>E/ECE/TRANS/505/Rev.1/Add.64/Rev.2/Amend.5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076A" w14:textId="6596FFB2" w:rsidR="00D307D0" w:rsidRPr="00D307D0" w:rsidRDefault="00D307D0" w:rsidP="00D307D0">
    <w:pPr>
      <w:pStyle w:val="Header"/>
      <w:jc w:val="right"/>
      <w:rPr>
        <w:lang w:val="en-US"/>
      </w:rPr>
    </w:pPr>
    <w:r>
      <w:fldChar w:fldCharType="begin"/>
    </w:r>
    <w:r w:rsidRPr="00D307D0">
      <w:rPr>
        <w:lang w:val="en-US"/>
      </w:rPr>
      <w:instrText xml:space="preserve"> TITLE  \* MERGEFORMAT </w:instrText>
    </w:r>
    <w:r>
      <w:fldChar w:fldCharType="separate"/>
    </w:r>
    <w:r w:rsidR="00C66F61">
      <w:rPr>
        <w:lang w:val="en-US"/>
      </w:rPr>
      <w:t>E/ECE/324/Rev.1/Add.64/Rev.2/Amend.5</w:t>
    </w:r>
    <w:r>
      <w:fldChar w:fldCharType="end"/>
    </w:r>
    <w:r w:rsidRPr="00D307D0">
      <w:rPr>
        <w:lang w:val="en-US"/>
      </w:rPr>
      <w:br/>
    </w:r>
    <w:r>
      <w:fldChar w:fldCharType="begin"/>
    </w:r>
    <w:r w:rsidRPr="00D307D0">
      <w:rPr>
        <w:lang w:val="en-US"/>
      </w:rPr>
      <w:instrText xml:space="preserve"> KEYWORDS  \* MERGEFORMAT </w:instrText>
    </w:r>
    <w:r>
      <w:fldChar w:fldCharType="separate"/>
    </w:r>
    <w:r w:rsidR="00C66F61">
      <w:rPr>
        <w:lang w:val="en-US"/>
      </w:rPr>
      <w:t>E/ECE/TRANS/505/Rev.1/Add.64/Rev.2/Amend.5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185439817">
    <w:abstractNumId w:val="12"/>
  </w:num>
  <w:num w:numId="2" w16cid:durableId="2132702910">
    <w:abstractNumId w:val="11"/>
  </w:num>
  <w:num w:numId="3" w16cid:durableId="44835225">
    <w:abstractNumId w:val="10"/>
  </w:num>
  <w:num w:numId="4" w16cid:durableId="508523988">
    <w:abstractNumId w:val="8"/>
  </w:num>
  <w:num w:numId="5" w16cid:durableId="51121027">
    <w:abstractNumId w:val="3"/>
  </w:num>
  <w:num w:numId="6" w16cid:durableId="1070467683">
    <w:abstractNumId w:val="2"/>
  </w:num>
  <w:num w:numId="7" w16cid:durableId="2073384492">
    <w:abstractNumId w:val="1"/>
  </w:num>
  <w:num w:numId="8" w16cid:durableId="430978678">
    <w:abstractNumId w:val="0"/>
  </w:num>
  <w:num w:numId="9" w16cid:durableId="753168642">
    <w:abstractNumId w:val="9"/>
  </w:num>
  <w:num w:numId="10" w16cid:durableId="1307470847">
    <w:abstractNumId w:val="7"/>
  </w:num>
  <w:num w:numId="11" w16cid:durableId="1503156322">
    <w:abstractNumId w:val="6"/>
  </w:num>
  <w:num w:numId="12" w16cid:durableId="2003770734">
    <w:abstractNumId w:val="5"/>
  </w:num>
  <w:num w:numId="13" w16cid:durableId="1945459612">
    <w:abstractNumId w:val="4"/>
  </w:num>
  <w:num w:numId="14" w16cid:durableId="1106655526">
    <w:abstractNumId w:val="12"/>
  </w:num>
  <w:num w:numId="15" w16cid:durableId="1893806583">
    <w:abstractNumId w:val="11"/>
  </w:num>
  <w:num w:numId="16" w16cid:durableId="1352675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4F"/>
    <w:rsid w:val="00017F94"/>
    <w:rsid w:val="00023842"/>
    <w:rsid w:val="000334F9"/>
    <w:rsid w:val="00072369"/>
    <w:rsid w:val="0007796D"/>
    <w:rsid w:val="000938E9"/>
    <w:rsid w:val="000B7790"/>
    <w:rsid w:val="000D3EE9"/>
    <w:rsid w:val="00111F2F"/>
    <w:rsid w:val="001433FD"/>
    <w:rsid w:val="0014365E"/>
    <w:rsid w:val="001541D3"/>
    <w:rsid w:val="00176178"/>
    <w:rsid w:val="001F525A"/>
    <w:rsid w:val="00223272"/>
    <w:rsid w:val="0024779E"/>
    <w:rsid w:val="002832AC"/>
    <w:rsid w:val="00295CCA"/>
    <w:rsid w:val="002D729D"/>
    <w:rsid w:val="002D7C93"/>
    <w:rsid w:val="00392828"/>
    <w:rsid w:val="003B0288"/>
    <w:rsid w:val="00441C3B"/>
    <w:rsid w:val="00446B0A"/>
    <w:rsid w:val="00446FE5"/>
    <w:rsid w:val="00452396"/>
    <w:rsid w:val="00497475"/>
    <w:rsid w:val="004C4EA0"/>
    <w:rsid w:val="004E468C"/>
    <w:rsid w:val="00501EF2"/>
    <w:rsid w:val="00506BE1"/>
    <w:rsid w:val="005316B0"/>
    <w:rsid w:val="005505B7"/>
    <w:rsid w:val="00573BE5"/>
    <w:rsid w:val="00586ED3"/>
    <w:rsid w:val="00596AA9"/>
    <w:rsid w:val="005C3313"/>
    <w:rsid w:val="005F2353"/>
    <w:rsid w:val="00656532"/>
    <w:rsid w:val="00704468"/>
    <w:rsid w:val="00706363"/>
    <w:rsid w:val="0071601D"/>
    <w:rsid w:val="0074674C"/>
    <w:rsid w:val="007A62E6"/>
    <w:rsid w:val="0080684C"/>
    <w:rsid w:val="00871C75"/>
    <w:rsid w:val="008776DC"/>
    <w:rsid w:val="008B092F"/>
    <w:rsid w:val="008C2C4F"/>
    <w:rsid w:val="009705C8"/>
    <w:rsid w:val="009C1CF4"/>
    <w:rsid w:val="00A30353"/>
    <w:rsid w:val="00AA113A"/>
    <w:rsid w:val="00AC3823"/>
    <w:rsid w:val="00AE323C"/>
    <w:rsid w:val="00B00181"/>
    <w:rsid w:val="00B00B0D"/>
    <w:rsid w:val="00B765F7"/>
    <w:rsid w:val="00BA0CA9"/>
    <w:rsid w:val="00C02897"/>
    <w:rsid w:val="00C66F61"/>
    <w:rsid w:val="00D26ACC"/>
    <w:rsid w:val="00D307D0"/>
    <w:rsid w:val="00D3439C"/>
    <w:rsid w:val="00DA352F"/>
    <w:rsid w:val="00DB1831"/>
    <w:rsid w:val="00DD3BFD"/>
    <w:rsid w:val="00DF6678"/>
    <w:rsid w:val="00EF2E22"/>
    <w:rsid w:val="00F554B6"/>
    <w:rsid w:val="00F660DF"/>
    <w:rsid w:val="00F95C08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A165B"/>
  <w15:docId w15:val="{2B88935C-864A-4C3B-A33A-BF50BAC1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7467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307D0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D307D0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D307D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3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undocs.org/fr/ECE/TRANS/WP.29/2023/3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454</Words>
  <Characters>2440</Characters>
  <Application>Microsoft Office Word</Application>
  <DocSecurity>0</DocSecurity>
  <Lines>58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E/ECE/324/Rev.1/Add.64/Rev.2/Amend.5</vt:lpstr>
      <vt:lpstr/>
    </vt:vector>
  </TitlesOfParts>
  <Company>DCM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E/ECE/324/Rev.1/Add.64/Rev.2/Amend.5</dc:title>
  <dc:creator>Luisa PENA-MONTERO</dc:creator>
  <cp:keywords>E/ECE/TRANS/505/Rev.1/Add.64/Rev.2/Amend.5</cp:keywords>
  <cp:lastModifiedBy>Luisa PENA-MONTERO</cp:lastModifiedBy>
  <cp:revision>2</cp:revision>
  <cp:lastPrinted>2014-05-14T10:59:00Z</cp:lastPrinted>
  <dcterms:created xsi:type="dcterms:W3CDTF">2024-02-20T14:41:00Z</dcterms:created>
  <dcterms:modified xsi:type="dcterms:W3CDTF">2024-02-20T14:41:00Z</dcterms:modified>
</cp:coreProperties>
</file>