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DAB89A6" w14:textId="77777777" w:rsidTr="00387CD4">
        <w:trPr>
          <w:trHeight w:hRule="exact" w:val="851"/>
        </w:trPr>
        <w:tc>
          <w:tcPr>
            <w:tcW w:w="142" w:type="dxa"/>
            <w:tcBorders>
              <w:bottom w:val="single" w:sz="4" w:space="0" w:color="auto"/>
            </w:tcBorders>
          </w:tcPr>
          <w:p w14:paraId="0C3D1092" w14:textId="77777777" w:rsidR="002D5AAC" w:rsidRDefault="002D5AAC" w:rsidP="00022AD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DB1576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772E442" w14:textId="3ED514DD" w:rsidR="002D5AAC" w:rsidRDefault="00022ADE" w:rsidP="00022ADE">
            <w:pPr>
              <w:jc w:val="right"/>
            </w:pPr>
            <w:r w:rsidRPr="00022ADE">
              <w:rPr>
                <w:sz w:val="40"/>
              </w:rPr>
              <w:t>ECE</w:t>
            </w:r>
            <w:r>
              <w:t>/TRANS/WP.29/GRE/2024/8</w:t>
            </w:r>
          </w:p>
        </w:tc>
      </w:tr>
      <w:tr w:rsidR="002D5AAC" w:rsidRPr="00AE5452" w14:paraId="7935BE1A" w14:textId="77777777" w:rsidTr="00387CD4">
        <w:trPr>
          <w:trHeight w:hRule="exact" w:val="2835"/>
        </w:trPr>
        <w:tc>
          <w:tcPr>
            <w:tcW w:w="1280" w:type="dxa"/>
            <w:gridSpan w:val="2"/>
            <w:tcBorders>
              <w:top w:val="single" w:sz="4" w:space="0" w:color="auto"/>
              <w:bottom w:val="single" w:sz="12" w:space="0" w:color="auto"/>
            </w:tcBorders>
          </w:tcPr>
          <w:p w14:paraId="48CC7EB2" w14:textId="77777777" w:rsidR="002D5AAC" w:rsidRDefault="002E5067" w:rsidP="00387CD4">
            <w:pPr>
              <w:spacing w:before="120"/>
              <w:jc w:val="center"/>
            </w:pPr>
            <w:r>
              <w:rPr>
                <w:noProof/>
                <w:lang w:val="fr-CH" w:eastAsia="fr-CH"/>
              </w:rPr>
              <w:drawing>
                <wp:inline distT="0" distB="0" distL="0" distR="0" wp14:anchorId="7365B595" wp14:editId="1FF4033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82540E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D312EA9" w14:textId="77777777" w:rsidR="002D5AAC" w:rsidRDefault="00022ADE" w:rsidP="00387CD4">
            <w:pPr>
              <w:spacing w:before="240"/>
              <w:rPr>
                <w:lang w:val="en-US"/>
              </w:rPr>
            </w:pPr>
            <w:r>
              <w:rPr>
                <w:lang w:val="en-US"/>
              </w:rPr>
              <w:t>Distr.: General</w:t>
            </w:r>
          </w:p>
          <w:p w14:paraId="6E9307B4" w14:textId="5E2ED830" w:rsidR="00022ADE" w:rsidRPr="00A824B2" w:rsidRDefault="00B42CC2" w:rsidP="00022ADE">
            <w:pPr>
              <w:spacing w:line="240" w:lineRule="exact"/>
              <w:rPr>
                <w:lang w:val="en-US"/>
              </w:rPr>
            </w:pPr>
            <w:r w:rsidRPr="00A824B2">
              <w:rPr>
                <w:lang w:val="en-US"/>
              </w:rPr>
              <w:t>6 February 2024</w:t>
            </w:r>
          </w:p>
          <w:p w14:paraId="50A4D2B6" w14:textId="77777777" w:rsidR="00022ADE" w:rsidRDefault="00022ADE" w:rsidP="00022ADE">
            <w:pPr>
              <w:spacing w:line="240" w:lineRule="exact"/>
              <w:rPr>
                <w:lang w:val="en-US"/>
              </w:rPr>
            </w:pPr>
            <w:r>
              <w:rPr>
                <w:lang w:val="en-US"/>
              </w:rPr>
              <w:t>Russian</w:t>
            </w:r>
          </w:p>
          <w:p w14:paraId="78373694" w14:textId="1DE295E2" w:rsidR="00022ADE" w:rsidRPr="008D53B6" w:rsidRDefault="00022ADE" w:rsidP="00022ADE">
            <w:pPr>
              <w:spacing w:line="240" w:lineRule="exact"/>
              <w:rPr>
                <w:lang w:val="en-US"/>
              </w:rPr>
            </w:pPr>
            <w:r>
              <w:rPr>
                <w:lang w:val="en-US"/>
              </w:rPr>
              <w:t>Original: English</w:t>
            </w:r>
          </w:p>
        </w:tc>
      </w:tr>
    </w:tbl>
    <w:p w14:paraId="1DCAF2D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9C77CB8" w14:textId="77777777" w:rsidR="00022ADE" w:rsidRPr="009E7FF5" w:rsidRDefault="00022ADE" w:rsidP="00022ADE">
      <w:pPr>
        <w:spacing w:before="120"/>
        <w:rPr>
          <w:sz w:val="28"/>
          <w:szCs w:val="28"/>
        </w:rPr>
      </w:pPr>
      <w:r w:rsidRPr="009E7FF5">
        <w:rPr>
          <w:sz w:val="28"/>
          <w:szCs w:val="28"/>
        </w:rPr>
        <w:t>Комитет по внутреннему транспорту</w:t>
      </w:r>
    </w:p>
    <w:p w14:paraId="7B258724" w14:textId="1D99D170" w:rsidR="00022ADE" w:rsidRPr="00A824B2" w:rsidRDefault="00022ADE" w:rsidP="00022ADE">
      <w:pPr>
        <w:spacing w:before="120"/>
        <w:rPr>
          <w:b/>
          <w:sz w:val="24"/>
          <w:szCs w:val="24"/>
        </w:rPr>
      </w:pPr>
      <w:r w:rsidRPr="00A824B2">
        <w:rPr>
          <w:b/>
          <w:bCs/>
          <w:sz w:val="24"/>
          <w:szCs w:val="24"/>
        </w:rPr>
        <w:t xml:space="preserve">Всемирный форум по согласованию правил </w:t>
      </w:r>
      <w:r w:rsidR="00B42CC2" w:rsidRPr="00A824B2">
        <w:rPr>
          <w:b/>
          <w:bCs/>
          <w:sz w:val="24"/>
          <w:szCs w:val="24"/>
        </w:rPr>
        <w:br/>
      </w:r>
      <w:r w:rsidRPr="00A824B2">
        <w:rPr>
          <w:b/>
          <w:bCs/>
          <w:sz w:val="24"/>
          <w:szCs w:val="24"/>
        </w:rPr>
        <w:t>в области транспортных средств</w:t>
      </w:r>
    </w:p>
    <w:p w14:paraId="465CD491" w14:textId="1459BE5E" w:rsidR="00022ADE" w:rsidRPr="009E7FF5" w:rsidRDefault="00022ADE" w:rsidP="00022ADE">
      <w:pPr>
        <w:spacing w:before="120" w:after="120"/>
        <w:rPr>
          <w:b/>
          <w:bCs/>
        </w:rPr>
      </w:pPr>
      <w:r>
        <w:rPr>
          <w:b/>
          <w:bCs/>
        </w:rPr>
        <w:t xml:space="preserve">Рабочая группа по вопросам освещения </w:t>
      </w:r>
      <w:r w:rsidR="00B42CC2">
        <w:rPr>
          <w:b/>
          <w:bCs/>
        </w:rPr>
        <w:br/>
      </w:r>
      <w:r>
        <w:rPr>
          <w:b/>
          <w:bCs/>
        </w:rPr>
        <w:t>и световой сигнализации</w:t>
      </w:r>
    </w:p>
    <w:p w14:paraId="725391D8" w14:textId="77777777" w:rsidR="00022ADE" w:rsidRPr="009E7FF5" w:rsidRDefault="00022ADE" w:rsidP="00022ADE">
      <w:pPr>
        <w:ind w:right="1134"/>
        <w:rPr>
          <w:b/>
        </w:rPr>
      </w:pPr>
      <w:r>
        <w:rPr>
          <w:b/>
          <w:bCs/>
        </w:rPr>
        <w:t>Девяностая сессия</w:t>
      </w:r>
    </w:p>
    <w:p w14:paraId="0B0EFD23" w14:textId="77777777" w:rsidR="00022ADE" w:rsidRPr="009E7FF5" w:rsidRDefault="00022ADE" w:rsidP="00022ADE">
      <w:pPr>
        <w:ind w:right="1134"/>
      </w:pPr>
      <w:r>
        <w:t>Женева, 29 апреля — 3 мая 2024 года</w:t>
      </w:r>
    </w:p>
    <w:p w14:paraId="5911F052" w14:textId="77777777" w:rsidR="00022ADE" w:rsidRPr="00F44912" w:rsidRDefault="00022ADE" w:rsidP="00022ADE">
      <w:pPr>
        <w:ind w:right="1134"/>
        <w:rPr>
          <w:bCs/>
        </w:rPr>
      </w:pPr>
      <w:r>
        <w:t>Пункт 7 b) предварительной повестки дня</w:t>
      </w:r>
    </w:p>
    <w:p w14:paraId="203D5401" w14:textId="77777777" w:rsidR="00022ADE" w:rsidRDefault="00022ADE" w:rsidP="00022ADE">
      <w:pPr>
        <w:ind w:right="1467"/>
        <w:rPr>
          <w:b/>
          <w:bCs/>
        </w:rPr>
      </w:pPr>
      <w:r>
        <w:rPr>
          <w:b/>
          <w:bCs/>
        </w:rPr>
        <w:t xml:space="preserve">Правила ООН, касающиеся устройств: </w:t>
      </w:r>
    </w:p>
    <w:p w14:paraId="6BCC7883" w14:textId="77777777" w:rsidR="00022ADE" w:rsidRPr="00611E5D" w:rsidRDefault="00022ADE" w:rsidP="00022ADE">
      <w:pPr>
        <w:ind w:right="1467"/>
        <w:rPr>
          <w:b/>
          <w:bCs/>
        </w:rPr>
      </w:pPr>
      <w:r>
        <w:rPr>
          <w:b/>
          <w:bCs/>
        </w:rPr>
        <w:t>Правила № 149 ООН (устройства освещения дороги)</w:t>
      </w:r>
    </w:p>
    <w:p w14:paraId="1E3824BD" w14:textId="323A2974" w:rsidR="00022ADE" w:rsidRPr="009E7FF5" w:rsidRDefault="00022ADE" w:rsidP="00022ADE">
      <w:pPr>
        <w:pStyle w:val="HChG"/>
      </w:pPr>
      <w:r>
        <w:tab/>
      </w:r>
      <w:r>
        <w:tab/>
      </w:r>
      <w:r>
        <w:rPr>
          <w:bCs/>
        </w:rPr>
        <w:t>Предложение по дополнению к поправкам серии 01 к</w:t>
      </w:r>
      <w:r>
        <w:rPr>
          <w:bCs/>
          <w:lang w:val="fr-CH"/>
        </w:rPr>
        <w:t> </w:t>
      </w:r>
      <w:r>
        <w:rPr>
          <w:bCs/>
        </w:rPr>
        <w:t>Правилам № 149 ООН</w:t>
      </w:r>
    </w:p>
    <w:p w14:paraId="6AE636E8" w14:textId="65867564" w:rsidR="00022ADE" w:rsidRPr="009E7FF5" w:rsidRDefault="00022ADE" w:rsidP="00022ADE">
      <w:pPr>
        <w:pStyle w:val="H1G"/>
        <w:rPr>
          <w:szCs w:val="24"/>
        </w:rPr>
      </w:pPr>
      <w:r>
        <w:tab/>
      </w:r>
      <w:r>
        <w:tab/>
      </w:r>
      <w:r>
        <w:rPr>
          <w:bCs/>
        </w:rPr>
        <w:t>Представлено экспертами от Международной группы экспертов по</w:t>
      </w:r>
      <w:r>
        <w:rPr>
          <w:bCs/>
          <w:lang w:val="fr-CH"/>
        </w:rPr>
        <w:t> </w:t>
      </w:r>
      <w:r>
        <w:rPr>
          <w:bCs/>
        </w:rPr>
        <w:t>вопросам автомобильного освещения и световой сигнализации</w:t>
      </w:r>
      <w:r w:rsidRPr="00022ADE">
        <w:rPr>
          <w:b w:val="0"/>
          <w:sz w:val="20"/>
        </w:rPr>
        <w:t>*</w:t>
      </w:r>
      <w:r>
        <w:t xml:space="preserve"> </w:t>
      </w:r>
    </w:p>
    <w:p w14:paraId="2DAB37D6" w14:textId="1C2E1416" w:rsidR="00022ADE" w:rsidRDefault="00022ADE" w:rsidP="00022ADE">
      <w:pPr>
        <w:pStyle w:val="SingleTxtG"/>
      </w:pPr>
      <w:r>
        <w:tab/>
      </w:r>
      <w:r>
        <w:footnoteReference w:customMarkFollows="1" w:id="1"/>
        <w:t>Воспроизведенный ниже текст был подготовлен экспертами от Международной группы экспертов по автомобильному освещению и световой сигнализации (БРГ) с целью уточнения маркировки. Предлагаемые изменения к существующему тексту Правил ООН выделены жирным шрифтом в случае новых положений или зачеркиванием в случае исключенных элементов.</w:t>
      </w:r>
    </w:p>
    <w:p w14:paraId="2EC54B09" w14:textId="77777777" w:rsidR="00022ADE" w:rsidRDefault="00022ADE">
      <w:pPr>
        <w:suppressAutoHyphens w:val="0"/>
        <w:spacing w:line="240" w:lineRule="auto"/>
        <w:rPr>
          <w:rFonts w:eastAsia="Times New Roman" w:cs="Times New Roman"/>
          <w:szCs w:val="20"/>
        </w:rPr>
      </w:pPr>
      <w:r>
        <w:br w:type="page"/>
      </w:r>
    </w:p>
    <w:p w14:paraId="02C81599" w14:textId="77777777" w:rsidR="00022ADE" w:rsidRPr="009E7FF5" w:rsidRDefault="00022ADE" w:rsidP="00022ADE">
      <w:pPr>
        <w:pStyle w:val="HChG"/>
      </w:pPr>
      <w:r>
        <w:rPr>
          <w:bCs/>
        </w:rPr>
        <w:lastRenderedPageBreak/>
        <w:tab/>
        <w:t>I.</w:t>
      </w:r>
      <w:r>
        <w:tab/>
      </w:r>
      <w:r>
        <w:rPr>
          <w:bCs/>
        </w:rPr>
        <w:t>Предложение</w:t>
      </w:r>
    </w:p>
    <w:p w14:paraId="50F13A0A" w14:textId="77777777" w:rsidR="00022ADE" w:rsidRPr="009E7FF5" w:rsidRDefault="00022ADE" w:rsidP="00022ADE">
      <w:pPr>
        <w:pStyle w:val="SingleTxtG"/>
      </w:pPr>
      <w:r>
        <w:rPr>
          <w:i/>
          <w:iCs/>
        </w:rPr>
        <w:t>Включить новые пункты 3.3.2.4.8. и 3.3.2.4.9</w:t>
      </w:r>
      <w:r>
        <w:t xml:space="preserve"> следующего содержания:</w:t>
      </w:r>
    </w:p>
    <w:p w14:paraId="514C78F6" w14:textId="56138FA2" w:rsidR="00022ADE" w:rsidRPr="009E7FF5" w:rsidRDefault="00022ADE" w:rsidP="00022ADE">
      <w:pPr>
        <w:pStyle w:val="para"/>
        <w:rPr>
          <w:b/>
          <w:lang w:val="ru-RU"/>
        </w:rPr>
      </w:pPr>
      <w:r w:rsidRPr="002B2567">
        <w:rPr>
          <w:lang w:val="ru-RU"/>
        </w:rPr>
        <w:t>«</w:t>
      </w:r>
      <w:r>
        <w:rPr>
          <w:b/>
          <w:bCs/>
          <w:lang w:val="ru-RU"/>
        </w:rPr>
        <w:t>3.3.2.4.8</w:t>
      </w:r>
      <w:r>
        <w:rPr>
          <w:lang w:val="ru-RU"/>
        </w:rPr>
        <w:tab/>
      </w:r>
      <w:r>
        <w:rPr>
          <w:b/>
          <w:bCs/>
          <w:lang w:val="ru-RU"/>
        </w:rPr>
        <w:t xml:space="preserve">На фарах, отвечающих требованиям настоящих Правил в отношении луча ближнего света класса С и луча дальнего света класса В, условным обозначением лучей ближнего и дальнего света может служить маркировка </w:t>
      </w:r>
      <w:r w:rsidR="002B2567" w:rsidRPr="002B2567">
        <w:rPr>
          <w:b/>
          <w:bCs/>
          <w:lang w:val="ru-RU"/>
        </w:rPr>
        <w:t>“</w:t>
      </w:r>
      <w:r>
        <w:rPr>
          <w:b/>
          <w:bCs/>
          <w:lang w:val="ru-RU"/>
        </w:rPr>
        <w:t>HCR</w:t>
      </w:r>
      <w:r w:rsidR="002B2567" w:rsidRPr="002B2567">
        <w:rPr>
          <w:b/>
          <w:bCs/>
          <w:lang w:val="ru-RU"/>
        </w:rPr>
        <w:t>”</w:t>
      </w:r>
      <w:r>
        <w:rPr>
          <w:b/>
          <w:bCs/>
          <w:lang w:val="ru-RU"/>
        </w:rPr>
        <w:t>.</w:t>
      </w:r>
    </w:p>
    <w:p w14:paraId="7DC9525A" w14:textId="0530885E" w:rsidR="00022ADE" w:rsidRPr="009E7FF5" w:rsidRDefault="00022ADE" w:rsidP="00022ADE">
      <w:pPr>
        <w:pStyle w:val="para"/>
        <w:rPr>
          <w:i/>
          <w:lang w:val="ru-RU"/>
        </w:rPr>
      </w:pPr>
      <w:r>
        <w:rPr>
          <w:b/>
          <w:bCs/>
          <w:lang w:val="ru-RU"/>
        </w:rPr>
        <w:t>3.3.2.4.9</w:t>
      </w:r>
      <w:r>
        <w:rPr>
          <w:lang w:val="ru-RU"/>
        </w:rPr>
        <w:tab/>
      </w:r>
      <w:r>
        <w:rPr>
          <w:b/>
          <w:bCs/>
          <w:lang w:val="ru-RU"/>
        </w:rPr>
        <w:t xml:space="preserve">На фарах, отвечающих требованиям настоящих Правил в отношении луча как ближнего, так и дальнего света и имеющих одинаковые классы BS, CS или DS, буквами </w:t>
      </w:r>
      <w:r w:rsidR="002B2567" w:rsidRPr="002B2567">
        <w:rPr>
          <w:b/>
          <w:bCs/>
          <w:lang w:val="ru-RU"/>
        </w:rPr>
        <w:t>“</w:t>
      </w:r>
      <w:r>
        <w:rPr>
          <w:b/>
          <w:bCs/>
          <w:lang w:val="ru-RU"/>
        </w:rPr>
        <w:t>CR-BS</w:t>
      </w:r>
      <w:r w:rsidR="002B2567" w:rsidRPr="002B2567">
        <w:rPr>
          <w:b/>
          <w:bCs/>
          <w:lang w:val="ru-RU"/>
        </w:rPr>
        <w:t>”</w:t>
      </w:r>
      <w:r>
        <w:rPr>
          <w:b/>
          <w:bCs/>
          <w:lang w:val="ru-RU"/>
        </w:rPr>
        <w:t xml:space="preserve"> обозначаются фары класса BS, буквами </w:t>
      </w:r>
      <w:r w:rsidR="002B2567" w:rsidRPr="002B2567">
        <w:rPr>
          <w:b/>
          <w:bCs/>
          <w:lang w:val="ru-RU"/>
        </w:rPr>
        <w:t>“</w:t>
      </w:r>
      <w:r>
        <w:rPr>
          <w:b/>
          <w:bCs/>
          <w:lang w:val="ru-RU"/>
        </w:rPr>
        <w:t>WCR-CS</w:t>
      </w:r>
      <w:r w:rsidR="002B2567" w:rsidRPr="002B2567">
        <w:rPr>
          <w:b/>
          <w:bCs/>
          <w:lang w:val="ru-RU"/>
        </w:rPr>
        <w:t>”</w:t>
      </w:r>
      <w:r>
        <w:rPr>
          <w:b/>
          <w:bCs/>
          <w:lang w:val="ru-RU"/>
        </w:rPr>
        <w:t xml:space="preserve"> </w:t>
      </w:r>
      <w:r w:rsidR="002B2567" w:rsidRPr="002B2567">
        <w:rPr>
          <w:b/>
          <w:bCs/>
          <w:lang w:val="ru-RU"/>
        </w:rPr>
        <w:t>—</w:t>
      </w:r>
      <w:r>
        <w:rPr>
          <w:b/>
          <w:bCs/>
          <w:lang w:val="ru-RU"/>
        </w:rPr>
        <w:t xml:space="preserve"> фары класса CS и буквами </w:t>
      </w:r>
      <w:r w:rsidR="002B2567" w:rsidRPr="002B2567">
        <w:rPr>
          <w:b/>
          <w:bCs/>
          <w:lang w:val="ru-RU"/>
        </w:rPr>
        <w:t>“</w:t>
      </w:r>
      <w:r>
        <w:rPr>
          <w:b/>
          <w:bCs/>
          <w:lang w:val="ru-RU"/>
        </w:rPr>
        <w:t>WCR-DS</w:t>
      </w:r>
      <w:r w:rsidR="002B2567" w:rsidRPr="002B2567">
        <w:rPr>
          <w:b/>
          <w:bCs/>
          <w:lang w:val="ru-RU"/>
        </w:rPr>
        <w:t>”</w:t>
      </w:r>
      <w:r>
        <w:rPr>
          <w:b/>
          <w:bCs/>
          <w:lang w:val="ru-RU"/>
        </w:rPr>
        <w:t xml:space="preserve"> </w:t>
      </w:r>
      <w:r w:rsidR="002B2567" w:rsidRPr="002B2567">
        <w:rPr>
          <w:b/>
          <w:bCs/>
          <w:lang w:val="ru-RU"/>
        </w:rPr>
        <w:t>—</w:t>
      </w:r>
      <w:r>
        <w:rPr>
          <w:b/>
          <w:bCs/>
          <w:lang w:val="ru-RU"/>
        </w:rPr>
        <w:t xml:space="preserve"> фары класса DS</w:t>
      </w:r>
      <w:r w:rsidRPr="002B2567">
        <w:rPr>
          <w:lang w:val="ru-RU"/>
        </w:rPr>
        <w:t>».</w:t>
      </w:r>
    </w:p>
    <w:p w14:paraId="2F69307F" w14:textId="77777777" w:rsidR="00022ADE" w:rsidRPr="009E7FF5" w:rsidRDefault="00022ADE" w:rsidP="00022ADE">
      <w:pPr>
        <w:pStyle w:val="SingleTxtG"/>
      </w:pPr>
      <w:r>
        <w:rPr>
          <w:i/>
          <w:iCs/>
        </w:rPr>
        <w:t>Пункт 3.3.2.5</w:t>
      </w:r>
      <w:r>
        <w:t xml:space="preserve"> изменить следующим образом:</w:t>
      </w:r>
    </w:p>
    <w:p w14:paraId="71763DE4" w14:textId="17E950C2" w:rsidR="00022ADE" w:rsidRPr="00AD5AA8" w:rsidRDefault="00022ADE" w:rsidP="00022ADE">
      <w:pPr>
        <w:pStyle w:val="para"/>
        <w:rPr>
          <w:lang w:val="ru-RU"/>
        </w:rPr>
      </w:pPr>
      <w:r>
        <w:rPr>
          <w:lang w:val="ru-RU"/>
        </w:rPr>
        <w:t>«3.3.2.5</w:t>
      </w:r>
      <w:r>
        <w:rPr>
          <w:lang w:val="ru-RU"/>
        </w:rPr>
        <w:tab/>
        <w:t xml:space="preserve">Номер официального утверждения, условные обозначения и дополнительные знаки должны проставляться вблизи круга над или под буквой “Е” либо справа или слева от этой буквы. Цифры номера официального утверждения должны располагаться с той же стороны по отношению к букве “Е” и должны быть ориентированы в том же направлении. </w:t>
      </w:r>
      <w:r>
        <w:rPr>
          <w:b/>
          <w:bCs/>
          <w:lang w:val="ru-RU"/>
        </w:rPr>
        <w:t>Если не указано иное, то каждое условное обозначение должно иметь индивидуальную маркировку в соответствии с таблицей 1</w:t>
      </w:r>
      <w:r>
        <w:rPr>
          <w:lang w:val="ru-RU"/>
        </w:rPr>
        <w:t>»</w:t>
      </w:r>
      <w:r w:rsidR="00AD5AA8" w:rsidRPr="00AD5AA8">
        <w:rPr>
          <w:lang w:val="ru-RU"/>
        </w:rPr>
        <w:t>.</w:t>
      </w:r>
    </w:p>
    <w:p w14:paraId="60315826" w14:textId="77777777" w:rsidR="00022ADE" w:rsidRPr="009E7FF5" w:rsidRDefault="00022ADE" w:rsidP="00022ADE">
      <w:pPr>
        <w:pStyle w:val="SingleTxtG"/>
        <w:spacing w:before="240"/>
      </w:pPr>
      <w:r>
        <w:rPr>
          <w:i/>
          <w:iCs/>
        </w:rPr>
        <w:t>Приложение 13, рис. A13-I</w:t>
      </w:r>
      <w:r>
        <w:t xml:space="preserve"> изменить следующим образом:</w:t>
      </w:r>
    </w:p>
    <w:p w14:paraId="600FA19D" w14:textId="18B91634" w:rsidR="00022ADE" w:rsidRPr="00AD5AA8" w:rsidRDefault="00AD5AA8" w:rsidP="00022ADE">
      <w:pPr>
        <w:pStyle w:val="SingleTxtG"/>
      </w:pPr>
      <w:r>
        <w:t>«</w:t>
      </w:r>
    </w:p>
    <w:tbl>
      <w:tblPr>
        <w:tblStyle w:val="a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5"/>
        <w:gridCol w:w="4395"/>
      </w:tblGrid>
      <w:tr w:rsidR="00022ADE" w:rsidRPr="00F44912" w14:paraId="74221267" w14:textId="77777777" w:rsidTr="004E2CDA">
        <w:trPr>
          <w:trHeight w:val="841"/>
        </w:trPr>
        <w:tc>
          <w:tcPr>
            <w:tcW w:w="3965" w:type="dxa"/>
            <w:tcBorders>
              <w:top w:val="single" w:sz="2" w:space="0" w:color="000000" w:themeColor="text1"/>
              <w:left w:val="single" w:sz="2" w:space="0" w:color="000000" w:themeColor="text1"/>
            </w:tcBorders>
          </w:tcPr>
          <w:p w14:paraId="52B7EEE2" w14:textId="6AFF954F" w:rsidR="00022ADE" w:rsidRPr="00611E5D" w:rsidRDefault="00022ADE" w:rsidP="00A84EAB">
            <w:pPr>
              <w:spacing w:before="120" w:after="120"/>
              <w:ind w:left="56" w:right="101"/>
              <w:jc w:val="center"/>
            </w:pPr>
            <w:r>
              <w:t xml:space="preserve">Рис. A13-I </w:t>
            </w:r>
            <w:r w:rsidR="00740628">
              <w:t>—</w:t>
            </w:r>
            <w:r>
              <w:t xml:space="preserve"> Пример маркировки 1</w:t>
            </w:r>
          </w:p>
          <w:p w14:paraId="75542EB0" w14:textId="77777777" w:rsidR="00022ADE" w:rsidRDefault="00022ADE" w:rsidP="00A84EAB">
            <w:pPr>
              <w:adjustRightInd w:val="0"/>
              <w:snapToGrid w:val="0"/>
              <w:spacing w:before="120" w:after="120"/>
              <w:jc w:val="center"/>
            </w:pPr>
            <w:r>
              <w:rPr>
                <w:noProof/>
              </w:rPr>
              <w:drawing>
                <wp:inline distT="0" distB="0" distL="0" distR="0" wp14:anchorId="6942D1B3" wp14:editId="4373A10F">
                  <wp:extent cx="2512060" cy="2298700"/>
                  <wp:effectExtent l="0" t="0" r="0" b="0"/>
                  <wp:docPr id="18387329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2512060" cy="2298700"/>
                          </a:xfrm>
                          <a:prstGeom prst="rect">
                            <a:avLst/>
                          </a:prstGeom>
                          <a:noFill/>
                        </pic:spPr>
                      </pic:pic>
                    </a:graphicData>
                  </a:graphic>
                </wp:inline>
              </w:drawing>
            </w:r>
          </w:p>
          <w:p w14:paraId="399006EE" w14:textId="78BB691E" w:rsidR="00022ADE" w:rsidRPr="009E7FF5" w:rsidRDefault="00022ADE" w:rsidP="00A84EAB">
            <w:pPr>
              <w:spacing w:before="120" w:after="120"/>
              <w:ind w:left="56" w:right="101"/>
              <w:jc w:val="both"/>
              <w:rPr>
                <w:b/>
              </w:rPr>
            </w:pPr>
            <w:r>
              <w:t>a = см. п. 3.3.1.2.1 настоящих Правил</w:t>
            </w:r>
          </w:p>
        </w:tc>
        <w:tc>
          <w:tcPr>
            <w:tcW w:w="4395" w:type="dxa"/>
            <w:tcBorders>
              <w:top w:val="single" w:sz="2" w:space="0" w:color="000000" w:themeColor="text1"/>
              <w:right w:val="single" w:sz="2" w:space="0" w:color="000000" w:themeColor="text1"/>
            </w:tcBorders>
          </w:tcPr>
          <w:p w14:paraId="6566AF00" w14:textId="77777777" w:rsidR="00022ADE" w:rsidRPr="009E7FF5" w:rsidRDefault="00022ADE" w:rsidP="00A84EAB">
            <w:pPr>
              <w:spacing w:before="120" w:after="120"/>
              <w:ind w:left="56" w:right="101"/>
              <w:jc w:val="both"/>
            </w:pPr>
            <w:r>
              <w:t>Устройство, на которое нанесена приведенная слева маркировка официального утверждения, является встраиваемым модулем АСПО, официально утвержденным в Нидерландах (Е4) под номером официального утверждения 19243 на основании настоящих Правил.</w:t>
            </w:r>
          </w:p>
          <w:p w14:paraId="2F548B56" w14:textId="77777777" w:rsidR="00022ADE" w:rsidRPr="009E7FF5" w:rsidRDefault="00022ADE" w:rsidP="00A84EAB">
            <w:pPr>
              <w:spacing w:before="120" w:after="120"/>
              <w:ind w:left="56" w:right="101"/>
              <w:jc w:val="both"/>
            </w:pPr>
            <w:r>
              <w:t xml:space="preserve">Номер после 149R указывает, что официальное утверждение было предоставлено в соответствии с требованиями настоящих Правил </w:t>
            </w:r>
            <w:r>
              <w:rPr>
                <w:b/>
                <w:bCs/>
              </w:rPr>
              <w:t>с поправками серии 01</w:t>
            </w:r>
            <w:r>
              <w:t xml:space="preserve"> </w:t>
            </w:r>
            <w:r>
              <w:rPr>
                <w:strike/>
              </w:rPr>
              <w:t>в их первоначальном виде (00)</w:t>
            </w:r>
            <w:r>
              <w:t>.</w:t>
            </w:r>
          </w:p>
          <w:p w14:paraId="3F63D653" w14:textId="1EC23EA8" w:rsidR="00022ADE" w:rsidRPr="009E7FF5" w:rsidRDefault="00022ADE" w:rsidP="004E2CDA">
            <w:pPr>
              <w:spacing w:before="120" w:after="120"/>
              <w:ind w:left="56" w:right="101"/>
              <w:jc w:val="both"/>
            </w:pPr>
            <w:r>
              <w:t>Обозначения, идентифицирующие соответствующие функции, указывают на то, что официальное</w:t>
            </w:r>
            <w:r w:rsidR="00740628">
              <w:t xml:space="preserve"> </w:t>
            </w:r>
            <w:r>
              <w:t xml:space="preserve">утверждение было предоставлено в отношении луча дальнего света (R) и луча ближнего света класса C и класса V. Стрелка в обе стороны означает, что луч ближнего света может использоваться для обоих направлений движения после надлежащей корректировки оптического элемента или источника света на транспортном средстве. Луч ближнего света класса C, луч ближнего света класса V и луч дальнего света соответствуют положениям о подсветке поворотов, на что указывает буква T. Горизонтальная черта над буквой R указывает, что функция луча дальнего света обеспечивается более чем одним встраиваемым модулем на этой стороне системы. </w:t>
            </w:r>
          </w:p>
        </w:tc>
      </w:tr>
      <w:tr w:rsidR="00C44553" w:rsidRPr="00F44912" w14:paraId="5B5D8145" w14:textId="77777777" w:rsidTr="004E2CDA">
        <w:trPr>
          <w:trHeight w:val="841"/>
        </w:trPr>
        <w:tc>
          <w:tcPr>
            <w:tcW w:w="3965" w:type="dxa"/>
            <w:tcBorders>
              <w:left w:val="single" w:sz="2" w:space="0" w:color="000000" w:themeColor="text1"/>
              <w:bottom w:val="single" w:sz="2" w:space="0" w:color="000000" w:themeColor="text1"/>
            </w:tcBorders>
          </w:tcPr>
          <w:p w14:paraId="239F59F6" w14:textId="77777777" w:rsidR="00C44553" w:rsidRDefault="00C44553" w:rsidP="00A84EAB">
            <w:pPr>
              <w:spacing w:before="120" w:after="120"/>
              <w:ind w:left="56" w:right="101"/>
              <w:jc w:val="center"/>
            </w:pPr>
          </w:p>
        </w:tc>
        <w:tc>
          <w:tcPr>
            <w:tcW w:w="4395" w:type="dxa"/>
            <w:tcBorders>
              <w:bottom w:val="single" w:sz="2" w:space="0" w:color="000000" w:themeColor="text1"/>
              <w:right w:val="single" w:sz="2" w:space="0" w:color="000000" w:themeColor="text1"/>
            </w:tcBorders>
          </w:tcPr>
          <w:p w14:paraId="334AE5C5" w14:textId="2C178E7E" w:rsidR="00C44553" w:rsidRDefault="004E2CDA" w:rsidP="00A84EAB">
            <w:pPr>
              <w:spacing w:before="120" w:after="120"/>
              <w:ind w:left="56" w:right="101"/>
              <w:jc w:val="both"/>
            </w:pPr>
            <w:r>
              <w:t xml:space="preserve">Число 30 указывает, что максимальная сила света луча дальнего света составляет </w:t>
            </w:r>
            <w:r>
              <w:rPr>
                <w:b/>
                <w:bCs/>
              </w:rPr>
              <w:t>1,24∙10</w:t>
            </w:r>
            <w:r>
              <w:rPr>
                <w:b/>
                <w:bCs/>
                <w:vertAlign w:val="superscript"/>
              </w:rPr>
              <w:t>5 </w:t>
            </w:r>
            <w:r w:rsidRPr="00740628">
              <w:rPr>
                <w:b/>
                <w:bCs/>
              </w:rPr>
              <w:t>–</w:t>
            </w:r>
            <w:r>
              <w:rPr>
                <w:b/>
                <w:bCs/>
              </w:rPr>
              <w:t>1,45∙10</w:t>
            </w:r>
            <w:r>
              <w:rPr>
                <w:b/>
                <w:bCs/>
                <w:vertAlign w:val="superscript"/>
              </w:rPr>
              <w:t>5</w:t>
            </w:r>
            <w:r>
              <w:t xml:space="preserve"> </w:t>
            </w:r>
            <w:r>
              <w:rPr>
                <w:strike/>
              </w:rPr>
              <w:t>123 625−145 125</w:t>
            </w:r>
            <w:r>
              <w:t xml:space="preserve"> кандел.</w:t>
            </w:r>
          </w:p>
        </w:tc>
      </w:tr>
    </w:tbl>
    <w:p w14:paraId="5A28FAF8" w14:textId="77777777" w:rsidR="00022ADE" w:rsidRDefault="00022ADE" w:rsidP="00022ADE">
      <w:pPr>
        <w:ind w:left="1134"/>
      </w:pPr>
      <w:r>
        <w:t>»</w:t>
      </w:r>
    </w:p>
    <w:p w14:paraId="7130D82E" w14:textId="63D5656A" w:rsidR="00022ADE" w:rsidRPr="009E7FF5" w:rsidRDefault="00022ADE" w:rsidP="00022ADE">
      <w:pPr>
        <w:pStyle w:val="SingleTxtG"/>
      </w:pPr>
      <w:r>
        <w:rPr>
          <w:i/>
          <w:iCs/>
        </w:rPr>
        <w:t>Приложение 13, рис. A13-</w:t>
      </w:r>
      <w:r>
        <w:rPr>
          <w:i/>
          <w:lang w:eastAsia="ja-JP"/>
        </w:rPr>
        <w:t>II</w:t>
      </w:r>
      <w:r>
        <w:t xml:space="preserve"> изменить следующим образом:</w:t>
      </w:r>
    </w:p>
    <w:p w14:paraId="79E23F9D" w14:textId="77777777" w:rsidR="00022ADE" w:rsidRPr="0049696B" w:rsidRDefault="00022ADE" w:rsidP="00022ADE">
      <w:pPr>
        <w:pStyle w:val="SingleTxtG"/>
        <w:rPr>
          <w:iCs/>
        </w:rPr>
      </w:pPr>
      <w:r>
        <w:t>«</w:t>
      </w:r>
    </w:p>
    <w:tbl>
      <w:tblPr>
        <w:tblStyle w:val="ac"/>
        <w:tblW w:w="0" w:type="auto"/>
        <w:tblInd w:w="1134" w:type="dxa"/>
        <w:tblLayout w:type="fixed"/>
        <w:tblLook w:val="04A0" w:firstRow="1" w:lastRow="0" w:firstColumn="1" w:lastColumn="0" w:noHBand="0" w:noVBand="1"/>
      </w:tblPr>
      <w:tblGrid>
        <w:gridCol w:w="3965"/>
        <w:gridCol w:w="4395"/>
      </w:tblGrid>
      <w:tr w:rsidR="00022ADE" w:rsidRPr="00F44912" w14:paraId="0664A83A" w14:textId="77777777" w:rsidTr="00A84EAB">
        <w:trPr>
          <w:trHeight w:val="2648"/>
        </w:trPr>
        <w:tc>
          <w:tcPr>
            <w:tcW w:w="3965" w:type="dxa"/>
          </w:tcPr>
          <w:p w14:paraId="77AF613E" w14:textId="4B3CE4D3" w:rsidR="00022ADE" w:rsidRPr="00611E5D" w:rsidRDefault="00022ADE" w:rsidP="00A84EAB">
            <w:pPr>
              <w:adjustRightInd w:val="0"/>
              <w:snapToGrid w:val="0"/>
              <w:spacing w:before="120" w:after="120"/>
              <w:jc w:val="center"/>
            </w:pPr>
            <w:r>
              <w:t>Рис. A13-I</w:t>
            </w:r>
            <w:r w:rsidR="00740628">
              <w:rPr>
                <w:lang w:val="fr-CH"/>
              </w:rPr>
              <w:t>I</w:t>
            </w:r>
            <w:r>
              <w:t xml:space="preserve"> </w:t>
            </w:r>
            <w:r w:rsidR="00740628">
              <w:t>—</w:t>
            </w:r>
            <w:r>
              <w:t xml:space="preserve"> Пример маркировки 2</w:t>
            </w:r>
          </w:p>
          <w:p w14:paraId="1E32876E" w14:textId="77777777" w:rsidR="00022ADE" w:rsidRPr="00B93372" w:rsidRDefault="00022ADE" w:rsidP="00A84EAB">
            <w:pPr>
              <w:adjustRightInd w:val="0"/>
              <w:snapToGrid w:val="0"/>
              <w:spacing w:before="120" w:after="120"/>
              <w:jc w:val="center"/>
              <w:rPr>
                <w:lang w:eastAsia="de-DE"/>
              </w:rPr>
            </w:pPr>
            <w:r w:rsidRPr="002A625B">
              <w:rPr>
                <w:noProof/>
                <w:lang w:val="fr-FR" w:eastAsia="fr-FR"/>
              </w:rPr>
              <w:drawing>
                <wp:inline distT="0" distB="0" distL="0" distR="0" wp14:anchorId="45F69EE8" wp14:editId="213AF7AF">
                  <wp:extent cx="2084320" cy="159821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rotWithShape="1">
                          <a:blip r:embed="rId9"/>
                          <a:srcRect t="3558" b="9076"/>
                          <a:stretch/>
                        </pic:blipFill>
                        <pic:spPr bwMode="auto">
                          <a:xfrm>
                            <a:off x="0" y="0"/>
                            <a:ext cx="2088514" cy="1601428"/>
                          </a:xfrm>
                          <a:prstGeom prst="rect">
                            <a:avLst/>
                          </a:prstGeom>
                          <a:ln>
                            <a:noFill/>
                          </a:ln>
                          <a:extLst>
                            <a:ext uri="{53640926-AAD7-44D8-BBD7-CCE9431645EC}">
                              <a14:shadowObscured xmlns:a14="http://schemas.microsoft.com/office/drawing/2010/main"/>
                            </a:ext>
                          </a:extLst>
                        </pic:spPr>
                      </pic:pic>
                    </a:graphicData>
                  </a:graphic>
                </wp:inline>
              </w:drawing>
            </w:r>
          </w:p>
        </w:tc>
        <w:tc>
          <w:tcPr>
            <w:tcW w:w="4395" w:type="dxa"/>
          </w:tcPr>
          <w:p w14:paraId="13823CD6" w14:textId="0D49A353" w:rsidR="00022ADE" w:rsidRPr="009E7FF5" w:rsidRDefault="00022ADE" w:rsidP="00A84EAB">
            <w:pPr>
              <w:spacing w:before="120" w:after="120"/>
              <w:ind w:left="56" w:right="101"/>
              <w:jc w:val="both"/>
            </w:pPr>
            <w:r>
              <w:t xml:space="preserve">Огонь, на котором проставлена приведенная слева маркировка официального утверждения, представляет собой фару ближнего света (C) только для левостороннего движения (стрелка) c рассеивателем из пластического материала (PL), официально утвержденную в Австрии (Е12) на основании настоящих Правил </w:t>
            </w:r>
            <w:r>
              <w:rPr>
                <w:strike/>
              </w:rPr>
              <w:t>(149R)</w:t>
            </w:r>
            <w:r>
              <w:t xml:space="preserve"> с поправками серии 01 (149R01) </w:t>
            </w:r>
            <w:r>
              <w:rPr>
                <w:b/>
                <w:bCs/>
              </w:rPr>
              <w:t>и</w:t>
            </w:r>
            <w:r>
              <w:t xml:space="preserve"> </w:t>
            </w:r>
            <w:r>
              <w:rPr>
                <w:strike/>
              </w:rPr>
              <w:t>в сочетании</w:t>
            </w:r>
            <w:r>
              <w:t xml:space="preserve"> </w:t>
            </w:r>
            <w:r>
              <w:rPr>
                <w:b/>
                <w:bCs/>
              </w:rPr>
              <w:t>сгруппированную</w:t>
            </w:r>
            <w:r>
              <w:t xml:space="preserve"> с передним габаритным огнем (А), как это предусмотрено в первоначальной серии поправок (00) к Правилам</w:t>
            </w:r>
            <w:r w:rsidR="00505F40">
              <w:rPr>
                <w:lang w:val="es-ES"/>
              </w:rPr>
              <w:t> </w:t>
            </w:r>
            <w:r>
              <w:t xml:space="preserve">№ 148 ООН (148R00) </w:t>
            </w:r>
            <w:r>
              <w:rPr>
                <w:strike/>
              </w:rPr>
              <w:t>Правилам, касающимся устройств световой сигнализации (148R)</w:t>
            </w:r>
            <w:r>
              <w:t xml:space="preserve">. Оба огня (обе функции) официально утверждены под номером официального утверждения 4554. </w:t>
            </w:r>
          </w:p>
        </w:tc>
      </w:tr>
    </w:tbl>
    <w:p w14:paraId="5E965B50" w14:textId="77777777" w:rsidR="00022ADE" w:rsidRPr="009E7FF5" w:rsidRDefault="00022ADE" w:rsidP="00022ADE">
      <w:pPr>
        <w:pStyle w:val="SingleTxtG"/>
        <w:spacing w:before="120"/>
        <w:rPr>
          <w:iCs/>
        </w:rPr>
      </w:pPr>
      <w:r>
        <w:t>»</w:t>
      </w:r>
    </w:p>
    <w:p w14:paraId="4939E647" w14:textId="77777777" w:rsidR="00022ADE" w:rsidRPr="009E7FF5" w:rsidRDefault="00022ADE" w:rsidP="00022ADE">
      <w:pPr>
        <w:pStyle w:val="SingleTxtG"/>
        <w:spacing w:before="120"/>
      </w:pPr>
      <w:r>
        <w:rPr>
          <w:i/>
          <w:iCs/>
        </w:rPr>
        <w:t>Приложение 13, рис. A13-III</w:t>
      </w:r>
      <w:r>
        <w:t xml:space="preserve"> изменить следующим образом:</w:t>
      </w:r>
    </w:p>
    <w:p w14:paraId="4D43FFF1" w14:textId="77777777" w:rsidR="00022ADE" w:rsidRPr="009E7FF5" w:rsidRDefault="00022ADE" w:rsidP="00022ADE">
      <w:pPr>
        <w:adjustRightInd w:val="0"/>
        <w:snapToGrid w:val="0"/>
        <w:spacing w:before="120" w:line="240" w:lineRule="auto"/>
        <w:ind w:left="2268"/>
        <w:rPr>
          <w:snapToGrid w:val="0"/>
          <w:szCs w:val="24"/>
        </w:rPr>
      </w:pPr>
      <w:r>
        <w:t>«Рис. A13-III</w:t>
      </w:r>
    </w:p>
    <w:p w14:paraId="44BEABB3" w14:textId="77777777" w:rsidR="00022ADE" w:rsidRPr="009E7FF5" w:rsidRDefault="00022ADE" w:rsidP="00022ADE">
      <w:pPr>
        <w:tabs>
          <w:tab w:val="left" w:pos="4483"/>
        </w:tabs>
        <w:adjustRightInd w:val="0"/>
        <w:snapToGrid w:val="0"/>
        <w:spacing w:after="120" w:line="240" w:lineRule="auto"/>
        <w:ind w:left="2268"/>
        <w:rPr>
          <w:b/>
          <w:bCs/>
          <w:snapToGrid w:val="0"/>
          <w:szCs w:val="24"/>
        </w:rPr>
      </w:pPr>
      <w:r>
        <w:rPr>
          <w:b/>
          <w:bCs/>
        </w:rPr>
        <w:t>Пример маркировки 3-a</w:t>
      </w:r>
    </w:p>
    <w:p w14:paraId="61CDC220" w14:textId="77777777" w:rsidR="00022ADE" w:rsidRDefault="00022ADE" w:rsidP="00022ADE">
      <w:pPr>
        <w:tabs>
          <w:tab w:val="left" w:pos="4483"/>
        </w:tabs>
        <w:adjustRightInd w:val="0"/>
        <w:snapToGrid w:val="0"/>
        <w:spacing w:after="120" w:line="240" w:lineRule="auto"/>
        <w:ind w:left="2268"/>
        <w:rPr>
          <w:b/>
          <w:bCs/>
          <w:snapToGrid w:val="0"/>
          <w:szCs w:val="24"/>
        </w:rPr>
      </w:pPr>
      <w:r>
        <w:rPr>
          <w:b/>
          <w:bCs/>
          <w:noProof/>
          <w:snapToGrid w:val="0"/>
          <w:szCs w:val="24"/>
        </w:rPr>
        <w:drawing>
          <wp:inline distT="0" distB="0" distL="0" distR="0" wp14:anchorId="6E3CC066" wp14:editId="2BAE025D">
            <wp:extent cx="3498574" cy="1163849"/>
            <wp:effectExtent l="0" t="0" r="6985" b="0"/>
            <wp:docPr id="40215944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0" y="0"/>
                      <a:ext cx="3555895" cy="1182918"/>
                    </a:xfrm>
                    <a:prstGeom prst="rect">
                      <a:avLst/>
                    </a:prstGeom>
                    <a:noFill/>
                  </pic:spPr>
                </pic:pic>
              </a:graphicData>
            </a:graphic>
          </wp:inline>
        </w:drawing>
      </w:r>
    </w:p>
    <w:p w14:paraId="2D9D2622" w14:textId="77777777" w:rsidR="00022ADE" w:rsidRDefault="00022ADE" w:rsidP="00022ADE">
      <w:pPr>
        <w:tabs>
          <w:tab w:val="left" w:pos="4483"/>
        </w:tabs>
        <w:adjustRightInd w:val="0"/>
        <w:snapToGrid w:val="0"/>
        <w:spacing w:after="120" w:line="240" w:lineRule="auto"/>
        <w:ind w:left="2268"/>
        <w:rPr>
          <w:b/>
          <w:bCs/>
          <w:snapToGrid w:val="0"/>
        </w:rPr>
      </w:pPr>
      <w:r>
        <w:rPr>
          <w:b/>
          <w:bCs/>
        </w:rPr>
        <w:t>Пример маркировки 3-b</w:t>
      </w:r>
    </w:p>
    <w:p w14:paraId="00CCBE66" w14:textId="77777777" w:rsidR="00022ADE" w:rsidRPr="007F07B3" w:rsidRDefault="00022ADE" w:rsidP="00022ADE">
      <w:pPr>
        <w:tabs>
          <w:tab w:val="left" w:pos="4483"/>
        </w:tabs>
        <w:adjustRightInd w:val="0"/>
        <w:snapToGrid w:val="0"/>
        <w:spacing w:after="120" w:line="240" w:lineRule="auto"/>
        <w:ind w:left="2268"/>
        <w:rPr>
          <w:b/>
          <w:bCs/>
          <w:snapToGrid w:val="0"/>
          <w:szCs w:val="24"/>
        </w:rPr>
      </w:pPr>
      <w:r>
        <w:rPr>
          <w:b/>
          <w:bCs/>
          <w:noProof/>
          <w:snapToGrid w:val="0"/>
          <w:szCs w:val="24"/>
        </w:rPr>
        <w:drawing>
          <wp:inline distT="0" distB="0" distL="0" distR="0" wp14:anchorId="4D9D869F" wp14:editId="2F425DA0">
            <wp:extent cx="3498215" cy="1042507"/>
            <wp:effectExtent l="0" t="0" r="6985" b="5715"/>
            <wp:docPr id="67481778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3524337" cy="1050292"/>
                    </a:xfrm>
                    <a:prstGeom prst="rect">
                      <a:avLst/>
                    </a:prstGeom>
                    <a:noFill/>
                  </pic:spPr>
                </pic:pic>
              </a:graphicData>
            </a:graphic>
          </wp:inline>
        </w:drawing>
      </w:r>
    </w:p>
    <w:p w14:paraId="49B0EC94" w14:textId="77777777" w:rsidR="00022ADE" w:rsidRPr="009E7FF5" w:rsidRDefault="00022ADE" w:rsidP="00022ADE">
      <w:pPr>
        <w:adjustRightInd w:val="0"/>
        <w:snapToGrid w:val="0"/>
        <w:spacing w:after="120"/>
        <w:ind w:left="2268" w:right="1134"/>
        <w:jc w:val="both"/>
        <w:rPr>
          <w:snapToGrid w:val="0"/>
        </w:rPr>
      </w:pPr>
      <w:r>
        <w:rPr>
          <w:i/>
          <w:iCs/>
        </w:rPr>
        <w:t>Примечание:</w:t>
      </w:r>
      <w:r>
        <w:t xml:space="preserve"> Примеры 3-a и 3-b на рис. A13-III соответствуют устройству освещения, на которое нанесена маркировка официального утверждения, включающему:</w:t>
      </w:r>
    </w:p>
    <w:p w14:paraId="2370B2F9" w14:textId="3EFB6FCE" w:rsidR="00022ADE" w:rsidRPr="00611E5D" w:rsidRDefault="00022ADE" w:rsidP="00022ADE">
      <w:pPr>
        <w:spacing w:after="120"/>
        <w:ind w:left="2835" w:right="1134" w:hanging="567"/>
        <w:jc w:val="both"/>
      </w:pPr>
      <w:r>
        <w:t>a)</w:t>
      </w:r>
      <w:r>
        <w:tab/>
        <w:t>передний габаритный огонь, официально утвержденный на основании Правил № 148 ООН с поправками серии</w:t>
      </w:r>
      <w:r>
        <w:rPr>
          <w:b/>
          <w:bCs/>
        </w:rPr>
        <w:t xml:space="preserve"> 01</w:t>
      </w:r>
      <w:r>
        <w:rPr>
          <w:strike/>
        </w:rPr>
        <w:t>00</w:t>
      </w:r>
      <w:r>
        <w:t>. Горизонтальная стрелка указывает сторону, на которой</w:t>
      </w:r>
      <w:r w:rsidR="00505F40" w:rsidRPr="00505F40">
        <w:t xml:space="preserve"> </w:t>
      </w:r>
      <w:r>
        <w:t>требующиеся фотометрические характеристики обеспечены в пределах угла 80° Н;</w:t>
      </w:r>
    </w:p>
    <w:p w14:paraId="358ECB28" w14:textId="6E919C71" w:rsidR="00022ADE" w:rsidRPr="00611E5D" w:rsidRDefault="00022ADE" w:rsidP="00022ADE">
      <w:pPr>
        <w:spacing w:after="120"/>
        <w:ind w:left="2835" w:right="1134" w:hanging="567"/>
        <w:jc w:val="both"/>
      </w:pPr>
      <w:r>
        <w:t>b)</w:t>
      </w:r>
      <w:r>
        <w:tab/>
        <w:t xml:space="preserve">фару </w:t>
      </w:r>
      <w:r>
        <w:rPr>
          <w:b/>
          <w:bCs/>
        </w:rPr>
        <w:t>ближнего света</w:t>
      </w:r>
      <w:r>
        <w:t xml:space="preserve"> класса</w:t>
      </w:r>
      <w:r>
        <w:rPr>
          <w:b/>
          <w:bCs/>
        </w:rPr>
        <w:t xml:space="preserve"> C</w:t>
      </w:r>
      <w:r>
        <w:rPr>
          <w:strike/>
        </w:rPr>
        <w:t>B</w:t>
      </w:r>
      <w:r>
        <w:t xml:space="preserve">, предназначенную только для правостороннего движения, и фару дальнего света </w:t>
      </w:r>
      <w:r>
        <w:rPr>
          <w:b/>
          <w:bCs/>
        </w:rPr>
        <w:t>класса B</w:t>
      </w:r>
      <w:r>
        <w:t xml:space="preserve"> с максимальной силой света в пределах </w:t>
      </w:r>
      <w:r>
        <w:rPr>
          <w:b/>
          <w:bCs/>
        </w:rPr>
        <w:t>1,24∙10</w:t>
      </w:r>
      <w:r>
        <w:rPr>
          <w:b/>
          <w:bCs/>
          <w:vertAlign w:val="superscript"/>
        </w:rPr>
        <w:t>5</w:t>
      </w:r>
      <w:r w:rsidR="00505F40" w:rsidRPr="00505F40">
        <w:rPr>
          <w:b/>
          <w:bCs/>
        </w:rPr>
        <w:t>–</w:t>
      </w:r>
      <w:r>
        <w:rPr>
          <w:b/>
          <w:bCs/>
        </w:rPr>
        <w:t>1,45∙10</w:t>
      </w:r>
      <w:r>
        <w:rPr>
          <w:b/>
          <w:bCs/>
          <w:vertAlign w:val="superscript"/>
        </w:rPr>
        <w:t>5</w:t>
      </w:r>
      <w:r w:rsidR="00D26A96">
        <w:t> </w:t>
      </w:r>
      <w:r>
        <w:rPr>
          <w:strike/>
        </w:rPr>
        <w:t>123</w:t>
      </w:r>
      <w:r w:rsidR="00D26A96">
        <w:rPr>
          <w:strike/>
        </w:rPr>
        <w:t xml:space="preserve"> </w:t>
      </w:r>
      <w:r>
        <w:rPr>
          <w:strike/>
        </w:rPr>
        <w:t xml:space="preserve">625 </w:t>
      </w:r>
      <w:r w:rsidR="00F85875">
        <w:rPr>
          <w:strike/>
        </w:rPr>
        <w:t>–</w:t>
      </w:r>
      <w:r>
        <w:rPr>
          <w:strike/>
        </w:rPr>
        <w:t xml:space="preserve"> 145</w:t>
      </w:r>
      <w:r w:rsidR="00D26A96">
        <w:rPr>
          <w:strike/>
        </w:rPr>
        <w:t xml:space="preserve"> </w:t>
      </w:r>
      <w:r>
        <w:rPr>
          <w:strike/>
        </w:rPr>
        <w:t xml:space="preserve">125 </w:t>
      </w:r>
      <w:r w:rsidRPr="00EF798E">
        <w:t>кандел</w:t>
      </w:r>
      <w:r>
        <w:t xml:space="preserve"> (на что указывает число 30), официально утвержденную на основании требований настоящих Правил ООН с поправками серии </w:t>
      </w:r>
      <w:r>
        <w:rPr>
          <w:b/>
          <w:bCs/>
        </w:rPr>
        <w:t>01</w:t>
      </w:r>
      <w:r>
        <w:t xml:space="preserve"> </w:t>
      </w:r>
      <w:r>
        <w:rPr>
          <w:strike/>
        </w:rPr>
        <w:t>00</w:t>
      </w:r>
      <w:r>
        <w:t xml:space="preserve"> и имеющую рассеиватель из пластического материала;</w:t>
      </w:r>
    </w:p>
    <w:p w14:paraId="4214890F" w14:textId="6F56F19B" w:rsidR="00022ADE" w:rsidRPr="009E7FF5" w:rsidRDefault="00022ADE" w:rsidP="00022ADE">
      <w:pPr>
        <w:spacing w:after="120"/>
        <w:ind w:left="2835" w:right="1134" w:hanging="567"/>
        <w:jc w:val="both"/>
      </w:pPr>
      <w:r>
        <w:t>c)</w:t>
      </w:r>
      <w:r>
        <w:tab/>
        <w:t xml:space="preserve">переднюю противотуманную фару, официально утвержденную в соответствии с поправками серии </w:t>
      </w:r>
      <w:r>
        <w:rPr>
          <w:b/>
          <w:bCs/>
        </w:rPr>
        <w:t>01</w:t>
      </w:r>
      <w:r>
        <w:rPr>
          <w:strike/>
        </w:rPr>
        <w:t>00</w:t>
      </w:r>
      <w:r>
        <w:t xml:space="preserve"> к настоящим Правилам и оснащенную рассеивателем из пластического материала;</w:t>
      </w:r>
    </w:p>
    <w:p w14:paraId="28DAE1E3" w14:textId="757FC616" w:rsidR="00022ADE" w:rsidRPr="009E7FF5" w:rsidRDefault="00022ADE" w:rsidP="00022ADE">
      <w:pPr>
        <w:spacing w:after="120"/>
        <w:ind w:left="2835" w:right="1134" w:hanging="567"/>
        <w:jc w:val="both"/>
      </w:pPr>
      <w:r>
        <w:t>d)</w:t>
      </w:r>
      <w:r>
        <w:tab/>
        <w:t>передний указатель поворота категории 1а, официально утвержденный на основании поправок серии</w:t>
      </w:r>
      <w:r w:rsidR="00505F40">
        <w:rPr>
          <w:lang w:val="es-ES"/>
        </w:rPr>
        <w:t> </w:t>
      </w:r>
      <w:r>
        <w:rPr>
          <w:b/>
          <w:bCs/>
        </w:rPr>
        <w:t>01</w:t>
      </w:r>
      <w:r>
        <w:rPr>
          <w:strike/>
        </w:rPr>
        <w:t>00</w:t>
      </w:r>
      <w:r w:rsidRPr="00505F40">
        <w:t xml:space="preserve"> </w:t>
      </w:r>
      <w:r>
        <w:t xml:space="preserve">к </w:t>
      </w:r>
      <w:r w:rsidR="00505F40">
        <w:br/>
      </w:r>
      <w:r>
        <w:t>Правилам № 148 ООН»</w:t>
      </w:r>
      <w:r w:rsidR="003B2F49" w:rsidRPr="003B2F49">
        <w:t>.</w:t>
      </w:r>
    </w:p>
    <w:p w14:paraId="70188858" w14:textId="1D5D5F10" w:rsidR="00022ADE" w:rsidRPr="009E7FF5" w:rsidRDefault="00022ADE" w:rsidP="00022ADE">
      <w:pPr>
        <w:pStyle w:val="SingleTxtG"/>
        <w:spacing w:before="120"/>
      </w:pPr>
      <w:r>
        <w:rPr>
          <w:i/>
          <w:iCs/>
        </w:rPr>
        <w:t>Приложение 13, рис. A13</w:t>
      </w:r>
      <w:r w:rsidR="00AA73A4" w:rsidRPr="00887AC1">
        <w:rPr>
          <w:i/>
          <w:iCs/>
        </w:rPr>
        <w:t>-</w:t>
      </w:r>
      <w:r>
        <w:rPr>
          <w:i/>
          <w:iCs/>
        </w:rPr>
        <w:t>IV</w:t>
      </w:r>
      <w:r>
        <w:t xml:space="preserve"> изменить следующим образом:</w:t>
      </w:r>
    </w:p>
    <w:p w14:paraId="783391B9" w14:textId="7BE04F2A" w:rsidR="00022ADE" w:rsidRPr="009E7FF5" w:rsidRDefault="00022ADE" w:rsidP="00022ADE">
      <w:pPr>
        <w:adjustRightInd w:val="0"/>
        <w:snapToGrid w:val="0"/>
        <w:spacing w:before="120" w:line="240" w:lineRule="auto"/>
        <w:ind w:left="1134" w:firstLine="6"/>
        <w:rPr>
          <w:snapToGrid w:val="0"/>
        </w:rPr>
      </w:pPr>
      <w:r>
        <w:t>«Рис. A13-IV</w:t>
      </w:r>
    </w:p>
    <w:p w14:paraId="6D6A6CDA" w14:textId="77777777" w:rsidR="00022ADE" w:rsidRPr="009E7FF5" w:rsidRDefault="00022ADE" w:rsidP="00022ADE">
      <w:pPr>
        <w:adjustRightInd w:val="0"/>
        <w:snapToGrid w:val="0"/>
        <w:spacing w:after="120" w:line="240" w:lineRule="auto"/>
        <w:ind w:left="1134"/>
        <w:rPr>
          <w:b/>
          <w:bCs/>
          <w:snapToGrid w:val="0"/>
          <w:szCs w:val="24"/>
        </w:rPr>
      </w:pPr>
      <w:r>
        <w:rPr>
          <w:b/>
          <w:bCs/>
        </w:rPr>
        <w:t>Пример маркировки 4</w:t>
      </w:r>
    </w:p>
    <w:p w14:paraId="26DED0C5" w14:textId="13E56366" w:rsidR="00022ADE" w:rsidRDefault="00022ADE" w:rsidP="00022ADE">
      <w:pPr>
        <w:spacing w:after="120"/>
        <w:ind w:left="1134" w:right="1134"/>
        <w:jc w:val="both"/>
      </w:pPr>
      <w:r>
        <w:t>Данный пример соответствует адаптивной системе переднего освещения, состоящей из двух встраиваемых модулей, находящихся на левой стороне транспортного средства, и одного встраиваемого модуля, находящегося на его правой стороне.</w:t>
      </w:r>
    </w:p>
    <w:p w14:paraId="30949CB4" w14:textId="62230BBB" w:rsidR="00022ADE" w:rsidRDefault="009E2AB3" w:rsidP="00022ADE">
      <w:pPr>
        <w:spacing w:after="120"/>
        <w:ind w:left="1134" w:right="1134" w:hanging="1134"/>
        <w:jc w:val="both"/>
      </w:pPr>
      <w:r>
        <w:rPr>
          <w:noProof/>
        </w:rPr>
        <mc:AlternateContent>
          <mc:Choice Requires="wps">
            <w:drawing>
              <wp:anchor distT="0" distB="0" distL="114300" distR="114300" simplePos="0" relativeHeight="251661312" behindDoc="0" locked="0" layoutInCell="1" allowOverlap="1" wp14:anchorId="1756ADCF" wp14:editId="1F5DDDFB">
                <wp:simplePos x="0" y="0"/>
                <wp:positionH relativeFrom="margin">
                  <wp:posOffset>3483610</wp:posOffset>
                </wp:positionH>
                <wp:positionV relativeFrom="paragraph">
                  <wp:posOffset>10160</wp:posOffset>
                </wp:positionV>
                <wp:extent cx="2570521" cy="160316"/>
                <wp:effectExtent l="0" t="0" r="127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0521" cy="16031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6FDE2F9" w14:textId="5CA1477D" w:rsidR="00887AC1" w:rsidRPr="00887AC1" w:rsidRDefault="009E2AB3" w:rsidP="00887AC1">
                            <w:pPr>
                              <w:rPr>
                                <w:sz w:val="18"/>
                                <w:szCs w:val="18"/>
                              </w:rPr>
                            </w:pPr>
                            <w:r>
                              <w:rPr>
                                <w:sz w:val="18"/>
                                <w:szCs w:val="18"/>
                              </w:rPr>
                              <w:t>Левая</w:t>
                            </w:r>
                            <w:r w:rsidR="00887AC1" w:rsidRPr="00887AC1">
                              <w:rPr>
                                <w:sz w:val="18"/>
                                <w:szCs w:val="18"/>
                              </w:rPr>
                              <w:t xml:space="preserve"> сторона системы/ 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6ADCF" id="_x0000_t202" coordsize="21600,21600" o:spt="202" path="m,l,21600r21600,l21600,xe">
                <v:stroke joinstyle="miter"/>
                <v:path gradientshapeok="t" o:connecttype="rect"/>
              </v:shapetype>
              <v:shape id="Надпись 13" o:spid="_x0000_s1026" type="#_x0000_t202" style="position:absolute;left:0;text-align:left;margin-left:274.3pt;margin-top:.8pt;width:202.4pt;height:12.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" stroked="f">
                <v:stroke joinstyle="round"/>
                <v:path arrowok="t"/>
                <v:textbox inset="0,0,0,0">
                  <w:txbxContent>
                    <w:p w14:paraId="36FDE2F9" w14:textId="5CA1477D" w:rsidR="00887AC1" w:rsidRPr="00887AC1" w:rsidRDefault="009E2AB3" w:rsidP="00887AC1">
                      <w:pPr>
                        <w:rPr>
                          <w:sz w:val="18"/>
                          <w:szCs w:val="18"/>
                        </w:rPr>
                      </w:pPr>
                      <w:r>
                        <w:rPr>
                          <w:sz w:val="18"/>
                          <w:szCs w:val="18"/>
                        </w:rPr>
                        <w:t>Левая</w:t>
                      </w:r>
                      <w:r w:rsidR="00887AC1" w:rsidRPr="00887AC1">
                        <w:rPr>
                          <w:sz w:val="18"/>
                          <w:szCs w:val="18"/>
                        </w:rPr>
                        <w:t xml:space="preserve"> сторона системы/ транспортного средства</w:t>
                      </w:r>
                    </w:p>
                  </w:txbxContent>
                </v:textbox>
                <w10:wrap anchorx="margin"/>
              </v:shape>
            </w:pict>
          </mc:Fallback>
        </mc:AlternateContent>
      </w:r>
      <w:r w:rsidR="00887AC1">
        <w:rPr>
          <w:noProof/>
        </w:rPr>
        <mc:AlternateContent>
          <mc:Choice Requires="wps">
            <w:drawing>
              <wp:anchor distT="0" distB="0" distL="114300" distR="114300" simplePos="0" relativeHeight="251659264" behindDoc="0" locked="0" layoutInCell="1" allowOverlap="1" wp14:anchorId="30C9D348" wp14:editId="1AC6419D">
                <wp:simplePos x="0" y="0"/>
                <wp:positionH relativeFrom="margin">
                  <wp:posOffset>178130</wp:posOffset>
                </wp:positionH>
                <wp:positionV relativeFrom="paragraph">
                  <wp:posOffset>21623</wp:posOffset>
                </wp:positionV>
                <wp:extent cx="2481943" cy="160020"/>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1943" cy="16002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1BD245C" w14:textId="4E9046E9" w:rsidR="00887AC1" w:rsidRPr="00887AC1" w:rsidRDefault="00887AC1">
                            <w:pPr>
                              <w:rPr>
                                <w:sz w:val="18"/>
                                <w:szCs w:val="18"/>
                              </w:rPr>
                            </w:pPr>
                            <w:r w:rsidRPr="00887AC1">
                              <w:rPr>
                                <w:sz w:val="18"/>
                                <w:szCs w:val="18"/>
                              </w:rPr>
                              <w:t>Правая сторона системы</w:t>
                            </w:r>
                            <w:r>
                              <w:rPr>
                                <w:sz w:val="18"/>
                                <w:szCs w:val="18"/>
                              </w:rPr>
                              <w:t>/</w:t>
                            </w:r>
                            <w:r w:rsidRPr="00887AC1">
                              <w:rPr>
                                <w:sz w:val="18"/>
                                <w:szCs w:val="18"/>
                              </w:rPr>
                              <w:t>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9D348" id="Надпись 12" o:spid="_x0000_s1027" type="#_x0000_t202" style="position:absolute;left:0;text-align:left;margin-left:14.05pt;margin-top:1.7pt;width:195.45pt;height:1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" stroked="f">
                <v:stroke joinstyle="round"/>
                <v:path arrowok="t"/>
                <v:textbox inset="0,0,0,0">
                  <w:txbxContent>
                    <w:p w14:paraId="31BD245C" w14:textId="4E9046E9" w:rsidR="00887AC1" w:rsidRPr="00887AC1" w:rsidRDefault="00887AC1">
                      <w:pPr>
                        <w:rPr>
                          <w:sz w:val="18"/>
                          <w:szCs w:val="18"/>
                        </w:rPr>
                      </w:pPr>
                      <w:r w:rsidRPr="00887AC1">
                        <w:rPr>
                          <w:sz w:val="18"/>
                          <w:szCs w:val="18"/>
                        </w:rPr>
                        <w:t>Правая сторона системы</w:t>
                      </w:r>
                      <w:r>
                        <w:rPr>
                          <w:sz w:val="18"/>
                          <w:szCs w:val="18"/>
                        </w:rPr>
                        <w:t>/</w:t>
                      </w:r>
                      <w:r w:rsidRPr="00887AC1">
                        <w:rPr>
                          <w:sz w:val="18"/>
                          <w:szCs w:val="18"/>
                        </w:rPr>
                        <w:t>транспортного средства</w:t>
                      </w:r>
                    </w:p>
                  </w:txbxContent>
                </v:textbox>
                <w10:wrap anchorx="margin"/>
              </v:shape>
            </w:pict>
          </mc:Fallback>
        </mc:AlternateContent>
      </w:r>
      <w:r w:rsidR="00887AC1">
        <w:rPr>
          <w:noProof/>
        </w:rPr>
        <mc:AlternateContent>
          <mc:Choice Requires="wps">
            <w:drawing>
              <wp:anchor distT="0" distB="0" distL="114300" distR="114300" simplePos="0" relativeHeight="251666432" behindDoc="0" locked="0" layoutInCell="1" allowOverlap="1" wp14:anchorId="4FC40107" wp14:editId="2BED76AB">
                <wp:simplePos x="0" y="0"/>
                <wp:positionH relativeFrom="column">
                  <wp:posOffset>3421940</wp:posOffset>
                </wp:positionH>
                <wp:positionV relativeFrom="paragraph">
                  <wp:posOffset>1688201</wp:posOffset>
                </wp:positionV>
                <wp:extent cx="961902" cy="267195"/>
                <wp:effectExtent l="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1902" cy="26719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446ADF6" w14:textId="01503C7B" w:rsidR="00887AC1" w:rsidRPr="00887AC1" w:rsidRDefault="00887AC1" w:rsidP="009E2AB3">
                            <w:pPr>
                              <w:spacing w:line="240" w:lineRule="auto"/>
                              <w:jc w:val="center"/>
                              <w:rPr>
                                <w:sz w:val="16"/>
                                <w:szCs w:val="16"/>
                              </w:rPr>
                            </w:pPr>
                            <w:r w:rsidRPr="00887AC1">
                              <w:rPr>
                                <w:sz w:val="16"/>
                                <w:szCs w:val="16"/>
                              </w:rPr>
                              <w:t xml:space="preserve">Встраиваемый модуль </w:t>
                            </w:r>
                            <w:r>
                              <w:rPr>
                                <w:sz w:val="16"/>
                                <w:szCs w:val="16"/>
                              </w:rPr>
                              <w:t>3</w:t>
                            </w:r>
                            <w:r w:rsidRPr="00887AC1">
                              <w:rPr>
                                <w:sz w:val="16"/>
                                <w:szCs w:val="16"/>
                              </w:rPr>
                              <w:t xml:space="preserve"> системы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40107" id="Надпись 17" o:spid="_x0000_s1028" type="#_x0000_t202" style="position:absolute;left:0;text-align:left;margin-left:269.45pt;margin-top:132.95pt;width:75.75pt;height:2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" stroked="f">
                <v:stroke joinstyle="round"/>
                <v:path arrowok="t"/>
                <v:textbox inset="0,0,0,0">
                  <w:txbxContent>
                    <w:p w14:paraId="5446ADF6" w14:textId="01503C7B" w:rsidR="00887AC1" w:rsidRPr="00887AC1" w:rsidRDefault="00887AC1" w:rsidP="009E2AB3">
                      <w:pPr>
                        <w:spacing w:line="240" w:lineRule="auto"/>
                        <w:jc w:val="center"/>
                        <w:rPr>
                          <w:sz w:val="16"/>
                          <w:szCs w:val="16"/>
                        </w:rPr>
                      </w:pPr>
                      <w:r w:rsidRPr="00887AC1">
                        <w:rPr>
                          <w:sz w:val="16"/>
                          <w:szCs w:val="16"/>
                        </w:rPr>
                        <w:t xml:space="preserve">Встраиваемый модуль </w:t>
                      </w:r>
                      <w:r>
                        <w:rPr>
                          <w:sz w:val="16"/>
                          <w:szCs w:val="16"/>
                        </w:rPr>
                        <w:t>3</w:t>
                      </w:r>
                      <w:r w:rsidRPr="00887AC1">
                        <w:rPr>
                          <w:sz w:val="16"/>
                          <w:szCs w:val="16"/>
                        </w:rPr>
                        <w:t xml:space="preserve"> системы</w:t>
                      </w:r>
                    </w:p>
                  </w:txbxContent>
                </v:textbox>
              </v:shape>
            </w:pict>
          </mc:Fallback>
        </mc:AlternateContent>
      </w:r>
      <w:r w:rsidR="00887AC1">
        <w:rPr>
          <w:noProof/>
        </w:rPr>
        <mc:AlternateContent>
          <mc:Choice Requires="wps">
            <w:drawing>
              <wp:anchor distT="0" distB="0" distL="114300" distR="114300" simplePos="0" relativeHeight="251664384" behindDoc="0" locked="0" layoutInCell="1" allowOverlap="1" wp14:anchorId="15FB0E86" wp14:editId="09820D84">
                <wp:simplePos x="0" y="0"/>
                <wp:positionH relativeFrom="column">
                  <wp:posOffset>3422106</wp:posOffset>
                </wp:positionH>
                <wp:positionV relativeFrom="paragraph">
                  <wp:posOffset>304314</wp:posOffset>
                </wp:positionV>
                <wp:extent cx="961902" cy="267195"/>
                <wp:effectExtent l="0" t="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1902" cy="26719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DD8776F" w14:textId="7399ABE2" w:rsidR="00887AC1" w:rsidRPr="00887AC1" w:rsidRDefault="00887AC1" w:rsidP="009E2AB3">
                            <w:pPr>
                              <w:spacing w:line="240" w:lineRule="auto"/>
                              <w:jc w:val="center"/>
                              <w:rPr>
                                <w:sz w:val="16"/>
                                <w:szCs w:val="16"/>
                              </w:rPr>
                            </w:pPr>
                            <w:r w:rsidRPr="00887AC1">
                              <w:rPr>
                                <w:sz w:val="16"/>
                                <w:szCs w:val="16"/>
                              </w:rPr>
                              <w:t xml:space="preserve">Встраиваемый модуль </w:t>
                            </w:r>
                            <w:r>
                              <w:rPr>
                                <w:sz w:val="16"/>
                                <w:szCs w:val="16"/>
                              </w:rPr>
                              <w:t>1</w:t>
                            </w:r>
                            <w:r w:rsidRPr="00887AC1">
                              <w:rPr>
                                <w:sz w:val="16"/>
                                <w:szCs w:val="16"/>
                              </w:rPr>
                              <w:t xml:space="preserve"> системы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B0E86" id="Надпись 16" o:spid="_x0000_s1029" type="#_x0000_t202" style="position:absolute;left:0;text-align:left;margin-left:269.45pt;margin-top:23.95pt;width:75.75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" stroked="f">
                <v:stroke joinstyle="round"/>
                <v:path arrowok="t"/>
                <v:textbox inset="0,0,0,0">
                  <w:txbxContent>
                    <w:p w14:paraId="7DD8776F" w14:textId="7399ABE2" w:rsidR="00887AC1" w:rsidRPr="00887AC1" w:rsidRDefault="00887AC1" w:rsidP="009E2AB3">
                      <w:pPr>
                        <w:spacing w:line="240" w:lineRule="auto"/>
                        <w:jc w:val="center"/>
                        <w:rPr>
                          <w:sz w:val="16"/>
                          <w:szCs w:val="16"/>
                        </w:rPr>
                      </w:pPr>
                      <w:r w:rsidRPr="00887AC1">
                        <w:rPr>
                          <w:sz w:val="16"/>
                          <w:szCs w:val="16"/>
                        </w:rPr>
                        <w:t xml:space="preserve">Встраиваемый модуль </w:t>
                      </w:r>
                      <w:r>
                        <w:rPr>
                          <w:sz w:val="16"/>
                          <w:szCs w:val="16"/>
                        </w:rPr>
                        <w:t>1</w:t>
                      </w:r>
                      <w:r w:rsidRPr="00887AC1">
                        <w:rPr>
                          <w:sz w:val="16"/>
                          <w:szCs w:val="16"/>
                        </w:rPr>
                        <w:t xml:space="preserve"> системы</w:t>
                      </w:r>
                    </w:p>
                  </w:txbxContent>
                </v:textbox>
              </v:shape>
            </w:pict>
          </mc:Fallback>
        </mc:AlternateContent>
      </w:r>
      <w:r w:rsidR="00887AC1">
        <w:rPr>
          <w:noProof/>
        </w:rPr>
        <mc:AlternateContent>
          <mc:Choice Requires="wps">
            <w:drawing>
              <wp:anchor distT="0" distB="0" distL="114300" distR="114300" simplePos="0" relativeHeight="251662336" behindDoc="0" locked="0" layoutInCell="1" allowOverlap="1" wp14:anchorId="42B354A1" wp14:editId="41D1B9FF">
                <wp:simplePos x="0" y="0"/>
                <wp:positionH relativeFrom="column">
                  <wp:posOffset>134933</wp:posOffset>
                </wp:positionH>
                <wp:positionV relativeFrom="paragraph">
                  <wp:posOffset>300791</wp:posOffset>
                </wp:positionV>
                <wp:extent cx="961902" cy="267195"/>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1902" cy="26719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226A206" w14:textId="212E550A" w:rsidR="00887AC1" w:rsidRPr="00887AC1" w:rsidRDefault="00887AC1" w:rsidP="009E2AB3">
                            <w:pPr>
                              <w:spacing w:line="240" w:lineRule="auto"/>
                              <w:jc w:val="center"/>
                              <w:rPr>
                                <w:sz w:val="16"/>
                                <w:szCs w:val="16"/>
                              </w:rPr>
                            </w:pPr>
                            <w:r w:rsidRPr="00887AC1">
                              <w:rPr>
                                <w:sz w:val="16"/>
                                <w:szCs w:val="16"/>
                              </w:rPr>
                              <w:t>Встраиваемый модуль 2 системы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354A1" id="Надпись 14" o:spid="_x0000_s1030" type="#_x0000_t202" style="position:absolute;left:0;text-align:left;margin-left:10.6pt;margin-top:23.7pt;width:75.75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" stroked="f">
                <v:stroke joinstyle="round"/>
                <v:path arrowok="t"/>
                <v:textbox inset="0,0,0,0">
                  <w:txbxContent>
                    <w:p w14:paraId="7226A206" w14:textId="212E550A" w:rsidR="00887AC1" w:rsidRPr="00887AC1" w:rsidRDefault="00887AC1" w:rsidP="009E2AB3">
                      <w:pPr>
                        <w:spacing w:line="240" w:lineRule="auto"/>
                        <w:jc w:val="center"/>
                        <w:rPr>
                          <w:sz w:val="16"/>
                          <w:szCs w:val="16"/>
                        </w:rPr>
                      </w:pPr>
                      <w:r w:rsidRPr="00887AC1">
                        <w:rPr>
                          <w:sz w:val="16"/>
                          <w:szCs w:val="16"/>
                        </w:rPr>
                        <w:t>Встраиваемый модуль 2 системы</w:t>
                      </w:r>
                    </w:p>
                  </w:txbxContent>
                </v:textbox>
              </v:shape>
            </w:pict>
          </mc:Fallback>
        </mc:AlternateContent>
      </w:r>
      <w:r w:rsidR="00022ADE">
        <w:rPr>
          <w:noProof/>
        </w:rPr>
        <w:drawing>
          <wp:inline distT="0" distB="0" distL="0" distR="0" wp14:anchorId="200E9121" wp14:editId="7734CC58">
            <wp:extent cx="6120765" cy="2655570"/>
            <wp:effectExtent l="0" t="0" r="0" b="0"/>
            <wp:docPr id="402159432" name="Picture 402159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2655570"/>
                    </a:xfrm>
                    <a:prstGeom prst="rect">
                      <a:avLst/>
                    </a:prstGeom>
                  </pic:spPr>
                </pic:pic>
              </a:graphicData>
            </a:graphic>
          </wp:inline>
        </w:drawing>
      </w:r>
    </w:p>
    <w:p w14:paraId="504C7304" w14:textId="168A4B15" w:rsidR="00022ADE" w:rsidRDefault="00022ADE" w:rsidP="00022ADE">
      <w:pPr>
        <w:spacing w:after="120"/>
        <w:ind w:left="1134" w:right="1134"/>
        <w:jc w:val="both"/>
      </w:pPr>
      <w:r w:rsidRPr="00500825">
        <w:t xml:space="preserve">Система, на которой проставлена приведенная выше маркировка официального утверждения, соответствует требованиям настоящих Правил </w:t>
      </w:r>
      <w:r w:rsidRPr="007132DC">
        <w:t>(</w:t>
      </w:r>
      <w:r w:rsidRPr="000561AF">
        <w:rPr>
          <w:b/>
          <w:bCs/>
        </w:rPr>
        <w:t>поправки серии 01 к</w:t>
      </w:r>
      <w:r w:rsidRPr="000561AF">
        <w:t xml:space="preserve"> </w:t>
      </w:r>
      <w:r w:rsidRPr="000561AF">
        <w:rPr>
          <w:strike/>
        </w:rPr>
        <w:t xml:space="preserve">первоначальному </w:t>
      </w:r>
      <w:r w:rsidRPr="000561AF">
        <w:rPr>
          <w:strike/>
          <w:color w:val="000000" w:themeColor="text1"/>
        </w:rPr>
        <w:t>варианту</w:t>
      </w:r>
      <w:r w:rsidRPr="000561AF">
        <w:rPr>
          <w:color w:val="000000" w:themeColor="text1"/>
        </w:rPr>
        <w:t xml:space="preserve"> Правил</w:t>
      </w:r>
      <w:r w:rsidR="000561AF" w:rsidRPr="000561AF">
        <w:rPr>
          <w:b/>
          <w:bCs/>
          <w:color w:val="000000" w:themeColor="text1"/>
        </w:rPr>
        <w:t>ам</w:t>
      </w:r>
      <w:r w:rsidRPr="000561AF">
        <w:rPr>
          <w:color w:val="000000" w:themeColor="text1"/>
        </w:rPr>
        <w:t xml:space="preserve">) </w:t>
      </w:r>
      <w:r w:rsidRPr="00500825">
        <w:t>в отношении как луча ближнего света для левостороннего движения, так и луча дальнего света с максимальной силой света в пределах</w:t>
      </w:r>
      <w:r>
        <w:t xml:space="preserve"> </w:t>
      </w:r>
      <w:r>
        <w:rPr>
          <w:b/>
          <w:bCs/>
        </w:rPr>
        <w:t>1,24∙10</w:t>
      </w:r>
      <w:r>
        <w:rPr>
          <w:b/>
          <w:bCs/>
          <w:vertAlign w:val="superscript"/>
        </w:rPr>
        <w:t>5</w:t>
      </w:r>
      <w:r w:rsidR="007102D2">
        <w:rPr>
          <w:b/>
          <w:bCs/>
        </w:rPr>
        <w:t>–</w:t>
      </w:r>
      <w:r>
        <w:rPr>
          <w:b/>
          <w:bCs/>
        </w:rPr>
        <w:t>-1,45∙10</w:t>
      </w:r>
      <w:r>
        <w:rPr>
          <w:b/>
          <w:bCs/>
          <w:vertAlign w:val="superscript"/>
        </w:rPr>
        <w:t>5</w:t>
      </w:r>
      <w:r>
        <w:t xml:space="preserve"> </w:t>
      </w:r>
      <w:r w:rsidRPr="00500825">
        <w:rPr>
          <w:strike/>
        </w:rPr>
        <w:t>123 625–145 125</w:t>
      </w:r>
      <w:r w:rsidRPr="00500825">
        <w:t xml:space="preserve"> кандел (на это указывает число 30), сгруппированных с передним указателем поворота категории 1</w:t>
      </w:r>
      <w:r>
        <w:t>a</w:t>
      </w:r>
      <w:r w:rsidRPr="00500825">
        <w:t xml:space="preserve"> и с передним габаритным огнем, официально утвержденными на основании поправок серии </w:t>
      </w:r>
      <w:r>
        <w:rPr>
          <w:b/>
          <w:bCs/>
        </w:rPr>
        <w:t>01</w:t>
      </w:r>
      <w:r>
        <w:rPr>
          <w:strike/>
        </w:rPr>
        <w:t>00</w:t>
      </w:r>
      <w:r w:rsidRPr="00500825">
        <w:t xml:space="preserve"> к Правилам № 148 ООН.</w:t>
      </w:r>
    </w:p>
    <w:p w14:paraId="1FE54130" w14:textId="77777777" w:rsidR="00022ADE" w:rsidRDefault="00022ADE" w:rsidP="00022ADE">
      <w:pPr>
        <w:spacing w:after="120"/>
        <w:ind w:left="1134" w:right="1134"/>
        <w:jc w:val="both"/>
      </w:pPr>
      <w:r w:rsidRPr="00500825">
        <w:t xml:space="preserve">Встраиваемый модуль 1 системы (с левой стороны) сконструирован для усиления луча ближнего света класса </w:t>
      </w:r>
      <w:r>
        <w:t>C</w:t>
      </w:r>
      <w:r w:rsidRPr="00500825">
        <w:t xml:space="preserve"> и луча ближнего света класса </w:t>
      </w:r>
      <w:r>
        <w:t>E</w:t>
      </w:r>
      <w:r w:rsidRPr="00500825">
        <w:t>. Горизонтальная черта над буквой “</w:t>
      </w:r>
      <w:r>
        <w:t>C</w:t>
      </w:r>
      <w:r w:rsidRPr="00500825">
        <w:t xml:space="preserve">” указывает, что с этой стороны луч ближнего света класса </w:t>
      </w:r>
      <w:r>
        <w:t>C</w:t>
      </w:r>
      <w:r w:rsidRPr="00500825">
        <w:t xml:space="preserve"> усиливается более чем одним встраиваемым модулем. Буква “</w:t>
      </w:r>
      <w:r>
        <w:t>T</w:t>
      </w:r>
      <w:r w:rsidRPr="00500825">
        <w:t xml:space="preserve">” справа, следующая за перечисленными обозначениями, указывает, что как луч ближнего света класса </w:t>
      </w:r>
      <w:r>
        <w:t>C</w:t>
      </w:r>
      <w:r w:rsidRPr="00500825">
        <w:t xml:space="preserve">, так и луч ближнего света класса </w:t>
      </w:r>
      <w:r>
        <w:t>E</w:t>
      </w:r>
      <w:r w:rsidRPr="00500825">
        <w:t xml:space="preserve"> обеспечивает режим подсветки поворота.</w:t>
      </w:r>
    </w:p>
    <w:p w14:paraId="39029505" w14:textId="1D7BADAC" w:rsidR="00022ADE" w:rsidRDefault="00022ADE" w:rsidP="00022ADE">
      <w:pPr>
        <w:spacing w:after="120"/>
        <w:ind w:left="1134" w:right="1134"/>
        <w:jc w:val="both"/>
      </w:pPr>
      <w:r w:rsidRPr="00500825">
        <w:t xml:space="preserve">Встраиваемый модуль 3 системы (с левой стороны) предназначен для обеспечения второй части луча ближнего света класса </w:t>
      </w:r>
      <w:r>
        <w:t>C</w:t>
      </w:r>
      <w:r w:rsidRPr="00500825">
        <w:t xml:space="preserve"> с этой стороны (на это указывает горизонтальная линия над буквой “</w:t>
      </w:r>
      <w:r>
        <w:t>C</w:t>
      </w:r>
      <w:r w:rsidRPr="00500825">
        <w:t xml:space="preserve">”) и луча ближнего света класса </w:t>
      </w:r>
      <w:r>
        <w:t>W</w:t>
      </w:r>
      <w:r w:rsidRPr="00500825">
        <w:t>. В случае этого дополнительного светового модуля нет необходимости в использовании круга, в</w:t>
      </w:r>
      <w:r w:rsidR="00185E2B">
        <w:t> </w:t>
      </w:r>
      <w:r w:rsidRPr="00500825">
        <w:t>котором проставлена буква “</w:t>
      </w:r>
      <w:r>
        <w:t>E</w:t>
      </w:r>
      <w:r w:rsidRPr="00500825">
        <w:t>”, за которой следует отличительный номер страны</w:t>
      </w:r>
    </w:p>
    <w:p w14:paraId="331BBEB4" w14:textId="77777777" w:rsidR="00022ADE" w:rsidRDefault="00022ADE" w:rsidP="00022ADE">
      <w:pPr>
        <w:spacing w:after="120"/>
        <w:ind w:left="1134" w:right="1134"/>
        <w:jc w:val="both"/>
      </w:pPr>
      <w:r w:rsidRPr="00500825">
        <w:t xml:space="preserve">Встраиваемый модуль 2 системы (с правой стороны) предназначен для усиления луча ближнего света класса </w:t>
      </w:r>
      <w:r>
        <w:t>C</w:t>
      </w:r>
      <w:r w:rsidRPr="00500825">
        <w:t xml:space="preserve"> и луча ближнего света класса </w:t>
      </w:r>
      <w:r>
        <w:t>E</w:t>
      </w:r>
      <w:r w:rsidRPr="00500825">
        <w:t xml:space="preserve">, каждый из которых используется в режиме подсветки поворота, и луча ближнего света класса </w:t>
      </w:r>
      <w:r>
        <w:t>W</w:t>
      </w:r>
      <w:r w:rsidRPr="00500825">
        <w:t>.</w:t>
      </w:r>
    </w:p>
    <w:p w14:paraId="4A6FC9B8" w14:textId="77777777" w:rsidR="00022ADE" w:rsidRPr="009E7FF5" w:rsidRDefault="00022ADE" w:rsidP="00BC3811">
      <w:pPr>
        <w:tabs>
          <w:tab w:val="left" w:pos="2410"/>
        </w:tabs>
        <w:spacing w:after="120"/>
        <w:ind w:left="1134" w:right="1134"/>
        <w:jc w:val="both"/>
        <w:rPr>
          <w:snapToGrid w:val="0"/>
        </w:rPr>
      </w:pPr>
      <w:r>
        <w:rPr>
          <w:i/>
          <w:iCs/>
        </w:rPr>
        <w:t>Примечание:</w:t>
      </w:r>
      <w:r>
        <w:tab/>
        <w:t>В приведенных выше примерах один и тот же номер официального утверждения наносят на различные встраиваемые модули системы.»</w:t>
      </w:r>
    </w:p>
    <w:p w14:paraId="3D9A78E0" w14:textId="77777777" w:rsidR="00022ADE" w:rsidRPr="009E7FF5" w:rsidRDefault="00022ADE" w:rsidP="00022ADE">
      <w:pPr>
        <w:pStyle w:val="SingleTxtG"/>
        <w:spacing w:before="120"/>
      </w:pPr>
      <w:r>
        <w:rPr>
          <w:i/>
          <w:iCs/>
        </w:rPr>
        <w:t xml:space="preserve">Включить в приложение 13 </w:t>
      </w:r>
      <w:r>
        <w:t>следующий</w:t>
      </w:r>
      <w:r>
        <w:rPr>
          <w:i/>
          <w:iCs/>
        </w:rPr>
        <w:t xml:space="preserve"> новый рис. A13-V</w:t>
      </w:r>
      <w:r>
        <w:t>:</w:t>
      </w:r>
    </w:p>
    <w:p w14:paraId="6A1C0BD4" w14:textId="786EB1FE" w:rsidR="00022ADE" w:rsidRPr="009E7FF5" w:rsidRDefault="00022ADE" w:rsidP="00022ADE">
      <w:pPr>
        <w:adjustRightInd w:val="0"/>
        <w:snapToGrid w:val="0"/>
        <w:spacing w:before="120"/>
        <w:ind w:left="1134" w:firstLine="6"/>
        <w:rPr>
          <w:bCs/>
          <w:snapToGrid w:val="0"/>
        </w:rPr>
      </w:pPr>
      <w:r>
        <w:t>«Рис. A13-V</w:t>
      </w:r>
    </w:p>
    <w:p w14:paraId="50FEB7C7" w14:textId="77777777" w:rsidR="00022ADE" w:rsidRPr="009E7FF5" w:rsidRDefault="00022ADE" w:rsidP="00022ADE">
      <w:pPr>
        <w:spacing w:after="120"/>
        <w:ind w:left="1134" w:right="1134"/>
        <w:jc w:val="both"/>
        <w:rPr>
          <w:b/>
          <w:bCs/>
          <w:snapToGrid w:val="0"/>
        </w:rPr>
      </w:pPr>
      <w:r>
        <w:rPr>
          <w:b/>
          <w:bCs/>
        </w:rPr>
        <w:t>Пример маркировки 5</w:t>
      </w:r>
    </w:p>
    <w:p w14:paraId="56DD3F7C" w14:textId="77777777" w:rsidR="00022ADE" w:rsidRPr="009E7FF5" w:rsidRDefault="00022ADE" w:rsidP="00022ADE">
      <w:pPr>
        <w:spacing w:after="120"/>
        <w:ind w:left="1134" w:right="1134"/>
        <w:jc w:val="both"/>
        <w:rPr>
          <w:b/>
        </w:rPr>
      </w:pPr>
      <w:r>
        <w:rPr>
          <w:b/>
          <w:bCs/>
        </w:rPr>
        <w:t>Этот пример соответствует фаре с лучом ближнего света класса DS и лучом дальнего светом класса DS.</w:t>
      </w:r>
    </w:p>
    <w:p w14:paraId="00D94AFF" w14:textId="77777777" w:rsidR="00022ADE" w:rsidRDefault="00022ADE" w:rsidP="00022ADE">
      <w:pPr>
        <w:spacing w:after="120"/>
        <w:ind w:left="1134" w:right="1134"/>
        <w:jc w:val="center"/>
        <w:rPr>
          <w:b/>
          <w:lang w:val="en-US"/>
        </w:rPr>
      </w:pPr>
      <w:r>
        <w:rPr>
          <w:b/>
          <w:noProof/>
          <w:lang w:val="en-US"/>
        </w:rPr>
        <w:drawing>
          <wp:inline distT="0" distB="0" distL="0" distR="0" wp14:anchorId="2B03CB16" wp14:editId="4B92C463">
            <wp:extent cx="2237740" cy="1917700"/>
            <wp:effectExtent l="0" t="0" r="0" b="0"/>
            <wp:docPr id="8828473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b="6933"/>
                    <a:stretch/>
                  </pic:blipFill>
                  <pic:spPr bwMode="auto">
                    <a:xfrm>
                      <a:off x="0" y="0"/>
                      <a:ext cx="2237740" cy="1917700"/>
                    </a:xfrm>
                    <a:prstGeom prst="rect">
                      <a:avLst/>
                    </a:prstGeom>
                    <a:noFill/>
                    <a:ln>
                      <a:noFill/>
                    </a:ln>
                    <a:extLst>
                      <a:ext uri="{53640926-AAD7-44D8-BBD7-CCE9431645EC}">
                        <a14:shadowObscured xmlns:a14="http://schemas.microsoft.com/office/drawing/2010/main"/>
                      </a:ext>
                    </a:extLst>
                  </pic:spPr>
                </pic:pic>
              </a:graphicData>
            </a:graphic>
          </wp:inline>
        </w:drawing>
      </w:r>
    </w:p>
    <w:p w14:paraId="2B1ECF09" w14:textId="096D78D0" w:rsidR="00022ADE" w:rsidRPr="009E7FF5" w:rsidRDefault="00022ADE" w:rsidP="00022ADE">
      <w:pPr>
        <w:spacing w:after="120"/>
        <w:ind w:left="1134" w:right="1134"/>
        <w:jc w:val="both"/>
        <w:rPr>
          <w:b/>
        </w:rPr>
      </w:pPr>
      <w:r>
        <w:rPr>
          <w:b/>
          <w:bCs/>
        </w:rPr>
        <w:t>Указанная выше маркировка официального утверждения обозначает фару с лучом ближнего света и вторичным лучом дальнего света класса DS (WCR-DS) с максимальной силой света 4,84∙10</w:t>
      </w:r>
      <w:r>
        <w:rPr>
          <w:b/>
          <w:bCs/>
          <w:vertAlign w:val="superscript"/>
        </w:rPr>
        <w:t>5</w:t>
      </w:r>
      <w:r w:rsidR="000F2A93">
        <w:rPr>
          <w:b/>
          <w:bCs/>
        </w:rPr>
        <w:t>–</w:t>
      </w:r>
      <w:r>
        <w:rPr>
          <w:b/>
          <w:bCs/>
        </w:rPr>
        <w:t>-6,45∙10</w:t>
      </w:r>
      <w:r>
        <w:rPr>
          <w:b/>
          <w:bCs/>
          <w:vertAlign w:val="superscript"/>
        </w:rPr>
        <w:t>5</w:t>
      </w:r>
      <w:r>
        <w:rPr>
          <w:b/>
          <w:bCs/>
        </w:rPr>
        <w:t xml:space="preserve"> кандел (на что указывает число 12,5), имеющую рассеиватель из пластического материала (PL) согласно настоящим Правилам с поправками серии 01 (149R01), сгруппированную с передним габаритным огнем для транспортного средства категории L (MA), официально утвержденную на основании поправок серии 01 к Правилам № 148 ООН (148R01).</w:t>
      </w:r>
      <w:r>
        <w:t xml:space="preserve"> </w:t>
      </w:r>
      <w:r>
        <w:rPr>
          <w:b/>
          <w:bCs/>
        </w:rPr>
        <w:t xml:space="preserve">Все три огня (функции) официально </w:t>
      </w:r>
      <w:r w:rsidR="0019166C">
        <w:rPr>
          <w:b/>
          <w:bCs/>
        </w:rPr>
        <w:t>у</w:t>
      </w:r>
      <w:r>
        <w:rPr>
          <w:b/>
          <w:bCs/>
        </w:rPr>
        <w:t>тверждены в Испании (E9) под номером официального утверждения 1199</w:t>
      </w:r>
      <w:r>
        <w:t>»</w:t>
      </w:r>
      <w:r w:rsidR="0019166C">
        <w:t>.</w:t>
      </w:r>
    </w:p>
    <w:p w14:paraId="57F9612A" w14:textId="77777777" w:rsidR="00022ADE" w:rsidRPr="009E7FF5" w:rsidRDefault="00022ADE" w:rsidP="00022ADE">
      <w:pPr>
        <w:pStyle w:val="SingleTxtG"/>
        <w:spacing w:before="120"/>
      </w:pPr>
      <w:r>
        <w:rPr>
          <w:i/>
          <w:iCs/>
        </w:rPr>
        <w:t xml:space="preserve">Включить в приложение 13 </w:t>
      </w:r>
      <w:r>
        <w:t>следующий</w:t>
      </w:r>
      <w:r>
        <w:rPr>
          <w:i/>
          <w:iCs/>
        </w:rPr>
        <w:t xml:space="preserve"> новый рис. A13-VI</w:t>
      </w:r>
      <w:r>
        <w:t>:</w:t>
      </w:r>
    </w:p>
    <w:p w14:paraId="151165E2" w14:textId="5CB9E97F" w:rsidR="00022ADE" w:rsidRPr="00F63E69" w:rsidRDefault="00022ADE" w:rsidP="00022ADE">
      <w:pPr>
        <w:adjustRightInd w:val="0"/>
        <w:snapToGrid w:val="0"/>
        <w:spacing w:before="120"/>
        <w:ind w:left="1134" w:firstLine="6"/>
        <w:rPr>
          <w:bCs/>
          <w:snapToGrid w:val="0"/>
        </w:rPr>
      </w:pPr>
      <w:r>
        <w:t>«Рис. A13-</w:t>
      </w:r>
      <w:r w:rsidRPr="00817A65">
        <w:rPr>
          <w:bCs/>
          <w:snapToGrid w:val="0"/>
        </w:rPr>
        <w:t>VI</w:t>
      </w:r>
    </w:p>
    <w:p w14:paraId="577E542F" w14:textId="77777777" w:rsidR="00022ADE" w:rsidRPr="009E7FF5" w:rsidRDefault="00022ADE" w:rsidP="00022ADE">
      <w:pPr>
        <w:spacing w:after="120"/>
        <w:ind w:left="1134" w:right="1134"/>
        <w:jc w:val="both"/>
        <w:rPr>
          <w:b/>
          <w:bCs/>
          <w:snapToGrid w:val="0"/>
        </w:rPr>
      </w:pPr>
      <w:r>
        <w:rPr>
          <w:b/>
          <w:bCs/>
        </w:rPr>
        <w:t>Пример маркировки 6</w:t>
      </w:r>
    </w:p>
    <w:p w14:paraId="24707B0C" w14:textId="77777777" w:rsidR="00022ADE" w:rsidRPr="009E7FF5" w:rsidRDefault="00022ADE" w:rsidP="00022ADE">
      <w:pPr>
        <w:spacing w:after="120"/>
        <w:ind w:left="1134" w:right="1134"/>
        <w:jc w:val="both"/>
        <w:rPr>
          <w:b/>
        </w:rPr>
      </w:pPr>
      <w:r>
        <w:rPr>
          <w:b/>
          <w:bCs/>
        </w:rPr>
        <w:t>Этот пример соответствует фаре с лучом ближнего света класса CS и лучом дальнего светом класса DS.</w:t>
      </w:r>
    </w:p>
    <w:p w14:paraId="0A2D4B63" w14:textId="77777777" w:rsidR="00022ADE" w:rsidRPr="00C90605" w:rsidRDefault="00022ADE" w:rsidP="00022ADE">
      <w:pPr>
        <w:spacing w:after="120"/>
        <w:ind w:left="1134" w:right="1134"/>
        <w:jc w:val="center"/>
        <w:rPr>
          <w:b/>
        </w:rPr>
      </w:pPr>
      <w:r>
        <w:rPr>
          <w:b/>
          <w:noProof/>
        </w:rPr>
        <w:drawing>
          <wp:inline distT="0" distB="0" distL="0" distR="0" wp14:anchorId="5884E90C" wp14:editId="7DED5E74">
            <wp:extent cx="2237740" cy="2222500"/>
            <wp:effectExtent l="0" t="0" r="0" b="0"/>
            <wp:docPr id="87206510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b="6040"/>
                    <a:stretch/>
                  </pic:blipFill>
                  <pic:spPr bwMode="auto">
                    <a:xfrm>
                      <a:off x="0" y="0"/>
                      <a:ext cx="2237740" cy="2222500"/>
                    </a:xfrm>
                    <a:prstGeom prst="rect">
                      <a:avLst/>
                    </a:prstGeom>
                    <a:noFill/>
                    <a:ln>
                      <a:noFill/>
                    </a:ln>
                    <a:extLst>
                      <a:ext uri="{53640926-AAD7-44D8-BBD7-CCE9431645EC}">
                        <a14:shadowObscured xmlns:a14="http://schemas.microsoft.com/office/drawing/2010/main"/>
                      </a:ext>
                    </a:extLst>
                  </pic:spPr>
                </pic:pic>
              </a:graphicData>
            </a:graphic>
          </wp:inline>
        </w:drawing>
      </w:r>
    </w:p>
    <w:p w14:paraId="06B1C825" w14:textId="051BA7EB" w:rsidR="00022ADE" w:rsidRPr="009E7FF5" w:rsidRDefault="00022ADE" w:rsidP="00022ADE">
      <w:pPr>
        <w:spacing w:after="120"/>
        <w:ind w:left="1134" w:right="1134"/>
        <w:jc w:val="both"/>
        <w:rPr>
          <w:snapToGrid w:val="0"/>
        </w:rPr>
      </w:pPr>
      <w:r>
        <w:rPr>
          <w:b/>
          <w:bCs/>
        </w:rPr>
        <w:t>Указанная выше маркировка официального утверждения обозначает фару с лучом ближнего света класса CS (WC-CS) и вторичным лучом дальнего света класса DS (WR-DS) с максимальной силой света 4,84∙10</w:t>
      </w:r>
      <w:r>
        <w:rPr>
          <w:b/>
          <w:bCs/>
          <w:vertAlign w:val="superscript"/>
        </w:rPr>
        <w:t>5</w:t>
      </w:r>
      <w:r w:rsidR="009A4A41">
        <w:rPr>
          <w:b/>
          <w:bCs/>
        </w:rPr>
        <w:t>–</w:t>
      </w:r>
      <w:r>
        <w:rPr>
          <w:b/>
          <w:bCs/>
        </w:rPr>
        <w:t>-6,45∙10</w:t>
      </w:r>
      <w:r>
        <w:rPr>
          <w:b/>
          <w:bCs/>
          <w:vertAlign w:val="superscript"/>
        </w:rPr>
        <w:t>5</w:t>
      </w:r>
      <w:r>
        <w:rPr>
          <w:b/>
          <w:bCs/>
        </w:rPr>
        <w:t xml:space="preserve"> кандел (на что указывает число 12,5), имеющую  рассеиватель из пластического материала (PL) согласно настоящим Правилам с поправками серии 01 (149R01), сгруппированную с передним габаритным огнем для транспортного средства категории L (MA), официально утвержденную на основании поправок серии 01 к Правилам № 148 ООН (148R01).</w:t>
      </w:r>
      <w:r>
        <w:t xml:space="preserve"> </w:t>
      </w:r>
      <w:r>
        <w:rPr>
          <w:b/>
          <w:bCs/>
        </w:rPr>
        <w:t>Все три огня (функции) официально утверждены в Испании (E9) под номером официального утверждения 2023</w:t>
      </w:r>
      <w:r w:rsidRPr="0094729A">
        <w:t>»</w:t>
      </w:r>
      <w:r w:rsidR="0094729A">
        <w:rPr>
          <w:b/>
          <w:bCs/>
        </w:rPr>
        <w:t>.</w:t>
      </w:r>
      <w:r>
        <w:t xml:space="preserve"> </w:t>
      </w:r>
    </w:p>
    <w:p w14:paraId="6D57E93D" w14:textId="77777777" w:rsidR="00022ADE" w:rsidRPr="009E7FF5" w:rsidRDefault="00022ADE" w:rsidP="00022ADE">
      <w:pPr>
        <w:pStyle w:val="SingleTxtG"/>
        <w:spacing w:before="120"/>
      </w:pPr>
      <w:r>
        <w:rPr>
          <w:i/>
          <w:iCs/>
        </w:rPr>
        <w:t>Приложение 13, рис. A13-V (прежний)</w:t>
      </w:r>
      <w:r>
        <w:t>, изменить нумерацию и текст следующим образом:</w:t>
      </w:r>
    </w:p>
    <w:p w14:paraId="609BB308" w14:textId="11058F7B" w:rsidR="00022ADE" w:rsidRPr="009E7FF5" w:rsidRDefault="00022ADE" w:rsidP="00022ADE">
      <w:pPr>
        <w:adjustRightInd w:val="0"/>
        <w:snapToGrid w:val="0"/>
        <w:spacing w:before="120" w:line="240" w:lineRule="auto"/>
        <w:ind w:left="2268" w:firstLine="6"/>
        <w:rPr>
          <w:snapToGrid w:val="0"/>
          <w:szCs w:val="24"/>
        </w:rPr>
      </w:pPr>
      <w:r>
        <w:t>«Рис. A13-</w:t>
      </w:r>
      <w:r>
        <w:rPr>
          <w:b/>
          <w:bCs/>
        </w:rPr>
        <w:t>VII</w:t>
      </w:r>
      <w:r>
        <w:rPr>
          <w:strike/>
        </w:rPr>
        <w:t>V</w:t>
      </w:r>
    </w:p>
    <w:p w14:paraId="50302D12" w14:textId="77777777" w:rsidR="00022ADE" w:rsidRPr="009E7FF5" w:rsidRDefault="00022ADE" w:rsidP="00022ADE">
      <w:pPr>
        <w:adjustRightInd w:val="0"/>
        <w:snapToGrid w:val="0"/>
        <w:spacing w:after="120" w:line="240" w:lineRule="auto"/>
        <w:ind w:left="2268" w:firstLine="6"/>
        <w:rPr>
          <w:b/>
          <w:bCs/>
          <w:snapToGrid w:val="0"/>
          <w:szCs w:val="24"/>
        </w:rPr>
      </w:pPr>
      <w:r>
        <w:rPr>
          <w:b/>
          <w:bCs/>
        </w:rPr>
        <w:t>Пример маркировки модуля источника света</w:t>
      </w:r>
    </w:p>
    <w:p w14:paraId="1DDF0F9B" w14:textId="77777777" w:rsidR="0094729A" w:rsidRPr="00B52DAF" w:rsidRDefault="0094729A" w:rsidP="0094729A">
      <w:pPr>
        <w:adjustRightInd w:val="0"/>
        <w:snapToGrid w:val="0"/>
        <w:spacing w:before="120" w:after="120" w:line="240" w:lineRule="auto"/>
        <w:ind w:left="2268"/>
        <w:rPr>
          <w:rFonts w:ascii="Arial" w:hAnsi="Arial" w:cs="Arial"/>
          <w:sz w:val="48"/>
          <w:szCs w:val="48"/>
        </w:rPr>
      </w:pPr>
      <w:r w:rsidRPr="00B52DAF">
        <w:rPr>
          <w:rFonts w:ascii="Arial" w:hAnsi="Arial" w:cs="Arial"/>
          <w:sz w:val="48"/>
          <w:szCs w:val="48"/>
        </w:rPr>
        <w:t>MD E3 17325</w:t>
      </w:r>
    </w:p>
    <w:p w14:paraId="59A0DFE2" w14:textId="55CF8DFA" w:rsidR="00022ADE" w:rsidRPr="009E7FF5" w:rsidRDefault="00022ADE" w:rsidP="00022ADE">
      <w:pPr>
        <w:adjustRightInd w:val="0"/>
        <w:snapToGrid w:val="0"/>
        <w:spacing w:before="120" w:after="120"/>
        <w:ind w:left="2268" w:right="1134"/>
        <w:jc w:val="both"/>
        <w:rPr>
          <w:snapToGrid w:val="0"/>
        </w:rPr>
      </w:pPr>
      <w:r>
        <w:t>Модуль источника света с идентификационным кодом, указанным на рис. A13-</w:t>
      </w:r>
      <w:r>
        <w:rPr>
          <w:b/>
          <w:bCs/>
        </w:rPr>
        <w:t>VII</w:t>
      </w:r>
      <w:r>
        <w:rPr>
          <w:strike/>
        </w:rPr>
        <w:t>V</w:t>
      </w:r>
      <w:r>
        <w:t>, официально утвержден вместе с огнем, официально утвержденным в Италии (Е3) под номером официального утверждения 17325»</w:t>
      </w:r>
      <w:r w:rsidR="0094729A">
        <w:t>.</w:t>
      </w:r>
    </w:p>
    <w:p w14:paraId="0BB9BADF" w14:textId="77777777" w:rsidR="00022ADE" w:rsidRPr="009E7FF5" w:rsidRDefault="00022ADE" w:rsidP="00022ADE">
      <w:pPr>
        <w:pStyle w:val="SingleTxtG"/>
        <w:spacing w:before="120"/>
      </w:pPr>
      <w:r>
        <w:rPr>
          <w:i/>
          <w:iCs/>
        </w:rPr>
        <w:t>Приложение 13, рис. A13-VI (прежний),</w:t>
      </w:r>
      <w:r>
        <w:t xml:space="preserve"> изменить нумерацию и текст следующим образом:</w:t>
      </w:r>
    </w:p>
    <w:p w14:paraId="6F42A159" w14:textId="146E847A" w:rsidR="00022ADE" w:rsidRPr="009E7FF5" w:rsidRDefault="00022ADE" w:rsidP="00022ADE">
      <w:pPr>
        <w:adjustRightInd w:val="0"/>
        <w:snapToGrid w:val="0"/>
        <w:spacing w:before="120" w:line="240" w:lineRule="auto"/>
        <w:ind w:left="2268" w:firstLine="6"/>
        <w:rPr>
          <w:snapToGrid w:val="0"/>
          <w:szCs w:val="24"/>
        </w:rPr>
      </w:pPr>
      <w:r>
        <w:t>«Рис. A13-</w:t>
      </w:r>
      <w:r>
        <w:rPr>
          <w:b/>
          <w:bCs/>
        </w:rPr>
        <w:t>VIII</w:t>
      </w:r>
      <w:r>
        <w:rPr>
          <w:strike/>
        </w:rPr>
        <w:t>VI</w:t>
      </w:r>
    </w:p>
    <w:p w14:paraId="6A34D734" w14:textId="77777777" w:rsidR="00022ADE" w:rsidRPr="009E7FF5" w:rsidRDefault="00022ADE" w:rsidP="00022ADE">
      <w:pPr>
        <w:adjustRightInd w:val="0"/>
        <w:snapToGrid w:val="0"/>
        <w:spacing w:after="120" w:line="240" w:lineRule="auto"/>
        <w:ind w:left="2268" w:firstLine="6"/>
        <w:rPr>
          <w:b/>
          <w:bCs/>
          <w:snapToGrid w:val="0"/>
          <w:szCs w:val="24"/>
        </w:rPr>
      </w:pPr>
      <w:r>
        <w:rPr>
          <w:b/>
          <w:bCs/>
        </w:rPr>
        <w:t>Пример маркировки светового модуля</w:t>
      </w:r>
    </w:p>
    <w:p w14:paraId="039DEF80" w14:textId="77777777" w:rsidR="001661D1" w:rsidRPr="00B52DAF" w:rsidRDefault="001661D1" w:rsidP="001661D1">
      <w:pPr>
        <w:adjustRightInd w:val="0"/>
        <w:snapToGrid w:val="0"/>
        <w:spacing w:before="120" w:after="120" w:line="240" w:lineRule="auto"/>
        <w:ind w:left="2268"/>
        <w:rPr>
          <w:rFonts w:ascii="Arial" w:hAnsi="Arial" w:cs="Arial"/>
          <w:sz w:val="48"/>
          <w:szCs w:val="48"/>
        </w:rPr>
      </w:pPr>
      <w:r w:rsidRPr="00B52DAF">
        <w:rPr>
          <w:rFonts w:ascii="Arial" w:hAnsi="Arial" w:cs="Arial"/>
          <w:sz w:val="48"/>
          <w:szCs w:val="48"/>
        </w:rPr>
        <w:t>ALU E43 1234</w:t>
      </w:r>
    </w:p>
    <w:p w14:paraId="552C0D15" w14:textId="0A4BB1B8" w:rsidR="00022ADE" w:rsidRPr="009E7FF5" w:rsidRDefault="00022ADE" w:rsidP="00022ADE">
      <w:pPr>
        <w:adjustRightInd w:val="0"/>
        <w:snapToGrid w:val="0"/>
        <w:spacing w:before="120" w:after="120"/>
        <w:ind w:left="2268" w:right="1134"/>
        <w:jc w:val="both"/>
        <w:rPr>
          <w:snapToGrid w:val="0"/>
        </w:rPr>
      </w:pPr>
      <w:r>
        <w:tab/>
        <w:t>Дополнительный световой модуль с идентификационным кодом, указанным на рис. A13-</w:t>
      </w:r>
      <w:r>
        <w:rPr>
          <w:b/>
          <w:bCs/>
        </w:rPr>
        <w:t>VIII</w:t>
      </w:r>
      <w:r>
        <w:rPr>
          <w:strike/>
        </w:rPr>
        <w:t>VI</w:t>
      </w:r>
      <w:r>
        <w:t>, официально утвержден вместе с фарой, которая первоначально была официально утверждена в Японии (Е43) под номером официального утверждения 1234</w:t>
      </w:r>
      <w:r w:rsidR="001661D1">
        <w:t>»</w:t>
      </w:r>
      <w:r w:rsidR="005B0371">
        <w:t>.</w:t>
      </w:r>
    </w:p>
    <w:p w14:paraId="15FEBF37" w14:textId="77777777" w:rsidR="00022ADE" w:rsidRPr="009E7FF5" w:rsidRDefault="00022ADE" w:rsidP="00022ADE">
      <w:pPr>
        <w:pStyle w:val="HChG"/>
      </w:pPr>
      <w:r>
        <w:rPr>
          <w:bCs/>
        </w:rPr>
        <w:tab/>
        <w:t>II.</w:t>
      </w:r>
      <w:r>
        <w:tab/>
      </w:r>
      <w:r>
        <w:rPr>
          <w:bCs/>
        </w:rPr>
        <w:t>Обоснование</w:t>
      </w:r>
    </w:p>
    <w:p w14:paraId="68FA59A0" w14:textId="77777777" w:rsidR="00022ADE" w:rsidRPr="009E7FF5" w:rsidRDefault="00022ADE" w:rsidP="00022ADE">
      <w:pPr>
        <w:pStyle w:val="SingleTxtG"/>
        <w:rPr>
          <w:bCs/>
        </w:rPr>
      </w:pPr>
      <w:r>
        <w:t>1.</w:t>
      </w:r>
      <w:r>
        <w:tab/>
        <w:t>Условные обозначения, указывающие функции освещения</w:t>
      </w:r>
      <w:r w:rsidRPr="007D276A">
        <w:t xml:space="preserve"> </w:t>
      </w:r>
      <w:r>
        <w:t>дороги, были пересмотрены в поправках серии 01 к Правилам № 149 ООН. Однако в нынешнем тексте все еще неясно, как именно их следует проставлять на огнях.</w:t>
      </w:r>
    </w:p>
    <w:p w14:paraId="674D3540" w14:textId="561093AC" w:rsidR="00022ADE" w:rsidRPr="00611E5D" w:rsidRDefault="00022ADE" w:rsidP="00022ADE">
      <w:pPr>
        <w:pStyle w:val="SingleTxtG"/>
        <w:rPr>
          <w:bCs/>
        </w:rPr>
      </w:pPr>
      <w:r>
        <w:t>2.</w:t>
      </w:r>
      <w:r>
        <w:tab/>
        <w:t xml:space="preserve">Некоторые страны и регионы, например Индия, Тайвань и т. д., ссылаются на требования поправок серии 00 к Правилам № 149 ООН или на прежние правила, поскольку в них не введены требования, содержащиеся в поправках серии 01. Во избежание излишней нагрузки в контексте нанесения на огонь таких условных обозначений, предусмотренных поправками серий 00 и 01, как </w:t>
      </w:r>
      <w:r w:rsidR="005A4F62" w:rsidRPr="005A4F62">
        <w:t>“</w:t>
      </w:r>
      <w:r>
        <w:t>HCR</w:t>
      </w:r>
      <w:r w:rsidR="005A4F62" w:rsidRPr="005A4F62">
        <w:t>”</w:t>
      </w:r>
      <w:r>
        <w:t xml:space="preserve"> или </w:t>
      </w:r>
      <w:r w:rsidR="005A4F62" w:rsidRPr="005A4F62">
        <w:t>“</w:t>
      </w:r>
      <w:r>
        <w:t>HR и C</w:t>
      </w:r>
      <w:r w:rsidR="005A4F62" w:rsidRPr="005A4F62">
        <w:t>”</w:t>
      </w:r>
      <w:r>
        <w:t>, следует, по возможности, допускать их согласование.</w:t>
      </w:r>
    </w:p>
    <w:p w14:paraId="1800C832" w14:textId="77777777" w:rsidR="00022ADE" w:rsidRPr="009E7FF5" w:rsidRDefault="00022ADE" w:rsidP="00022ADE">
      <w:pPr>
        <w:pStyle w:val="SingleTxtG"/>
      </w:pPr>
      <w:r>
        <w:t>3.</w:t>
      </w:r>
      <w:r>
        <w:tab/>
        <w:t>В содержащиеся в приложении 13 рисунки с примерами, которые по-прежнему относятся к поправкам серии 00 к Правилам № 149 ООН, внесены исправления для указания на поправки серии 01; соответствующим образом обновлены и пояснения.</w:t>
      </w:r>
    </w:p>
    <w:p w14:paraId="710CE7E0" w14:textId="77777777" w:rsidR="00022ADE" w:rsidRPr="009E7FF5" w:rsidRDefault="00022ADE" w:rsidP="00022ADE">
      <w:pPr>
        <w:pStyle w:val="SingleTxtG"/>
      </w:pPr>
      <w:r>
        <w:t>4.</w:t>
      </w:r>
      <w:r>
        <w:tab/>
        <w:t>Правила № 149 ООН также включают требования к лучу ближнего света, предусмотренные для обеспечения симметричной светотеневой границы, однако никаких примеров в приложении 13 не приведено.</w:t>
      </w:r>
    </w:p>
    <w:p w14:paraId="172861AE" w14:textId="0BDD41C3" w:rsidR="00022ADE" w:rsidRPr="00611E5D" w:rsidRDefault="00022ADE" w:rsidP="00022ADE">
      <w:pPr>
        <w:pStyle w:val="SingleTxtG"/>
      </w:pPr>
      <w:r>
        <w:t>5.</w:t>
      </w:r>
      <w:r>
        <w:tab/>
        <w:t>Для реш</w:t>
      </w:r>
      <w:r w:rsidR="005A4F62">
        <w:t>ен</w:t>
      </w:r>
      <w:r>
        <w:t>ия этой проблемы настоящее предложение нацелено на уточнение маркировки посредством внесения поправок в основной текст и содержание приложения 13.</w:t>
      </w:r>
    </w:p>
    <w:p w14:paraId="66F9E75F" w14:textId="167E0F62" w:rsidR="00E12C5F" w:rsidRPr="008D53B6" w:rsidRDefault="00022ADE" w:rsidP="00022ADE">
      <w:pPr>
        <w:spacing w:before="240"/>
        <w:jc w:val="center"/>
      </w:pPr>
      <w:r w:rsidRPr="00611E5D">
        <w:rPr>
          <w:u w:val="single"/>
          <w:lang w:eastAsia="ja-JP"/>
        </w:rPr>
        <w:tab/>
      </w:r>
      <w:r w:rsidRPr="00611E5D">
        <w:rPr>
          <w:u w:val="single"/>
          <w:lang w:eastAsia="ja-JP"/>
        </w:rPr>
        <w:tab/>
      </w:r>
      <w:r w:rsidRPr="00611E5D">
        <w:rPr>
          <w:u w:val="single"/>
          <w:lang w:eastAsia="ja-JP"/>
        </w:rPr>
        <w:tab/>
      </w:r>
    </w:p>
    <w:sectPr w:rsidR="00E12C5F" w:rsidRPr="008D53B6" w:rsidSect="00022ADE">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9893" w14:textId="77777777" w:rsidR="00BB6EF4" w:rsidRPr="00A312BC" w:rsidRDefault="00BB6EF4" w:rsidP="00A312BC"/>
  </w:endnote>
  <w:endnote w:type="continuationSeparator" w:id="0">
    <w:p w14:paraId="1CA08117" w14:textId="77777777" w:rsidR="00BB6EF4" w:rsidRPr="00A312BC" w:rsidRDefault="00BB6EF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539D" w14:textId="57A98DA2" w:rsidR="00022ADE" w:rsidRPr="00022ADE" w:rsidRDefault="00022ADE">
    <w:pPr>
      <w:pStyle w:val="a8"/>
    </w:pPr>
    <w:r w:rsidRPr="00022ADE">
      <w:rPr>
        <w:b/>
        <w:sz w:val="18"/>
      </w:rPr>
      <w:fldChar w:fldCharType="begin"/>
    </w:r>
    <w:r w:rsidRPr="00022ADE">
      <w:rPr>
        <w:b/>
        <w:sz w:val="18"/>
      </w:rPr>
      <w:instrText xml:space="preserve"> PAGE  \* MERGEFORMAT </w:instrText>
    </w:r>
    <w:r w:rsidRPr="00022ADE">
      <w:rPr>
        <w:b/>
        <w:sz w:val="18"/>
      </w:rPr>
      <w:fldChar w:fldCharType="separate"/>
    </w:r>
    <w:r w:rsidRPr="00022ADE">
      <w:rPr>
        <w:b/>
        <w:noProof/>
        <w:sz w:val="18"/>
      </w:rPr>
      <w:t>2</w:t>
    </w:r>
    <w:r w:rsidRPr="00022ADE">
      <w:rPr>
        <w:b/>
        <w:sz w:val="18"/>
      </w:rPr>
      <w:fldChar w:fldCharType="end"/>
    </w:r>
    <w:r>
      <w:rPr>
        <w:b/>
        <w:sz w:val="18"/>
      </w:rPr>
      <w:tab/>
    </w:r>
    <w:r>
      <w:t>GE.24-02074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A6A2" w14:textId="68BD6249" w:rsidR="00022ADE" w:rsidRPr="00022ADE" w:rsidRDefault="00022ADE" w:rsidP="00022ADE">
    <w:pPr>
      <w:pStyle w:val="a8"/>
      <w:tabs>
        <w:tab w:val="clear" w:pos="9639"/>
        <w:tab w:val="right" w:pos="9638"/>
      </w:tabs>
      <w:rPr>
        <w:b/>
        <w:sz w:val="18"/>
      </w:rPr>
    </w:pPr>
    <w:r>
      <w:t>GE.24-02074</w:t>
    </w:r>
    <w:r>
      <w:tab/>
    </w:r>
    <w:r w:rsidRPr="00022ADE">
      <w:rPr>
        <w:b/>
        <w:sz w:val="18"/>
      </w:rPr>
      <w:fldChar w:fldCharType="begin"/>
    </w:r>
    <w:r w:rsidRPr="00022ADE">
      <w:rPr>
        <w:b/>
        <w:sz w:val="18"/>
      </w:rPr>
      <w:instrText xml:space="preserve"> PAGE  \* MERGEFORMAT </w:instrText>
    </w:r>
    <w:r w:rsidRPr="00022ADE">
      <w:rPr>
        <w:b/>
        <w:sz w:val="18"/>
      </w:rPr>
      <w:fldChar w:fldCharType="separate"/>
    </w:r>
    <w:r w:rsidRPr="00022ADE">
      <w:rPr>
        <w:b/>
        <w:noProof/>
        <w:sz w:val="18"/>
      </w:rPr>
      <w:t>3</w:t>
    </w:r>
    <w:r w:rsidRPr="00022A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B53E" w14:textId="56538BDF" w:rsidR="00042B72" w:rsidRPr="00AE5452" w:rsidRDefault="00022ADE" w:rsidP="00022ADE">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3EFB18C2" wp14:editId="449D8F7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24-02074  (R)</w:t>
    </w:r>
    <w:r>
      <w:rPr>
        <w:noProof/>
      </w:rPr>
      <w:drawing>
        <wp:anchor distT="0" distB="0" distL="114300" distR="114300" simplePos="0" relativeHeight="251659264" behindDoc="0" locked="0" layoutInCell="1" allowOverlap="1" wp14:anchorId="0AEDB3DE" wp14:editId="15F8337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130224  1</w:t>
    </w:r>
    <w:r w:rsidR="005E0C6E">
      <w:t>6</w:t>
    </w:r>
    <w:r>
      <w:rPr>
        <w:lang w:val="fr-CH"/>
      </w:rPr>
      <w:t>022</w:t>
    </w:r>
    <w:r w:rsidR="00AE5452">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8EEC" w14:textId="77777777" w:rsidR="00BB6EF4" w:rsidRPr="001075E9" w:rsidRDefault="00BB6EF4" w:rsidP="001075E9">
      <w:pPr>
        <w:tabs>
          <w:tab w:val="right" w:pos="2155"/>
        </w:tabs>
        <w:spacing w:after="80" w:line="240" w:lineRule="auto"/>
        <w:ind w:left="680"/>
        <w:rPr>
          <w:u w:val="single"/>
        </w:rPr>
      </w:pPr>
      <w:r>
        <w:rPr>
          <w:u w:val="single"/>
        </w:rPr>
        <w:tab/>
      </w:r>
    </w:p>
  </w:footnote>
  <w:footnote w:type="continuationSeparator" w:id="0">
    <w:p w14:paraId="07CDA716" w14:textId="77777777" w:rsidR="00BB6EF4" w:rsidRDefault="00BB6EF4" w:rsidP="00407B78">
      <w:pPr>
        <w:tabs>
          <w:tab w:val="right" w:pos="2155"/>
        </w:tabs>
        <w:spacing w:after="80"/>
        <w:ind w:left="680"/>
        <w:rPr>
          <w:u w:val="single"/>
        </w:rPr>
      </w:pPr>
      <w:r>
        <w:rPr>
          <w:u w:val="single"/>
        </w:rPr>
        <w:tab/>
      </w:r>
    </w:p>
  </w:footnote>
  <w:footnote w:id="1">
    <w:p w14:paraId="3E86BF85" w14:textId="1AB358CA" w:rsidR="00022ADE" w:rsidRPr="004876E3" w:rsidRDefault="00022ADE" w:rsidP="00022ADE">
      <w:pPr>
        <w:pStyle w:val="ad"/>
      </w:pPr>
      <w:r>
        <w:tab/>
      </w:r>
      <w:r w:rsidRPr="00B42CC2">
        <w:rPr>
          <w:sz w:val="20"/>
        </w:rPr>
        <w:t>*</w:t>
      </w:r>
      <w:r>
        <w:tab/>
        <w:t>В соответствии с программой работы Комитета по внутреннему транспорту на 2024 год, изложенной в предлагаемом бюджете по программам на 2024 год (A/78/6 (</w:t>
      </w:r>
      <w:r w:rsidR="00634E61">
        <w:t>разд.</w:t>
      </w:r>
      <w:r>
        <w:t xml:space="preserve"> 20), таблица</w:t>
      </w:r>
      <w:r w:rsidR="00B42CC2">
        <w:rPr>
          <w:lang w:val="fr-CH"/>
        </w:rPr>
        <w:t> </w:t>
      </w:r>
      <w:r>
        <w:t xml:space="preserve">20.5), Всемирный форум будет разрабатывать, согласовывать и обновлять правила ООН в целях улучшения эксплуатационных характеристик транспортных средств. </w:t>
      </w:r>
      <w:r w:rsidR="002B2567">
        <w:br/>
      </w:r>
      <w:r>
        <w:t>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F6E6" w14:textId="2624DC25" w:rsidR="00022ADE" w:rsidRPr="00022ADE" w:rsidRDefault="00591523">
    <w:pPr>
      <w:pStyle w:val="a5"/>
    </w:pPr>
    <w:fldSimple w:instr=" TITLE  \* MERGEFORMAT ">
      <w:r w:rsidR="00F63B7C">
        <w:t>ECE/TRANS/WP.29/GRE/2024/8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F306" w14:textId="77BF78BB" w:rsidR="00022ADE" w:rsidRPr="00022ADE" w:rsidRDefault="00591523" w:rsidP="00022ADE">
    <w:pPr>
      <w:pStyle w:val="a5"/>
      <w:jc w:val="right"/>
    </w:pPr>
    <w:fldSimple w:instr=" TITLE  \* MERGEFORMAT ">
      <w:r w:rsidR="00F63B7C">
        <w:t>ECE/TRANS/WP.29/GRE/2024/8</w:t>
      </w:r>
    </w:fldSimple>
  </w:p>
  <w:p w14:paraId="4240186D" w14:textId="77777777" w:rsidR="00E73E90" w:rsidRDefault="00E73E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C561" w14:textId="77777777" w:rsidR="00022ADE" w:rsidRDefault="00022ADE" w:rsidP="00022ADE">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F4"/>
    <w:rsid w:val="00022ADE"/>
    <w:rsid w:val="00033EE1"/>
    <w:rsid w:val="00042B72"/>
    <w:rsid w:val="000524FE"/>
    <w:rsid w:val="000558BD"/>
    <w:rsid w:val="000561AF"/>
    <w:rsid w:val="000B57E7"/>
    <w:rsid w:val="000B6373"/>
    <w:rsid w:val="000E4E5B"/>
    <w:rsid w:val="000F09DF"/>
    <w:rsid w:val="000F2A93"/>
    <w:rsid w:val="000F61B2"/>
    <w:rsid w:val="001075E9"/>
    <w:rsid w:val="0014152F"/>
    <w:rsid w:val="001661D1"/>
    <w:rsid w:val="00180183"/>
    <w:rsid w:val="0018024D"/>
    <w:rsid w:val="00185E2B"/>
    <w:rsid w:val="0018649F"/>
    <w:rsid w:val="0019166C"/>
    <w:rsid w:val="00196389"/>
    <w:rsid w:val="001B3EF6"/>
    <w:rsid w:val="001C7A89"/>
    <w:rsid w:val="00255343"/>
    <w:rsid w:val="0027151D"/>
    <w:rsid w:val="002A2EFC"/>
    <w:rsid w:val="002B0106"/>
    <w:rsid w:val="002B2567"/>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B2F49"/>
    <w:rsid w:val="003E0B46"/>
    <w:rsid w:val="00407B78"/>
    <w:rsid w:val="00424203"/>
    <w:rsid w:val="00452493"/>
    <w:rsid w:val="00453318"/>
    <w:rsid w:val="00454AF2"/>
    <w:rsid w:val="00454E07"/>
    <w:rsid w:val="00472C5C"/>
    <w:rsid w:val="00485F8A"/>
    <w:rsid w:val="004E05B7"/>
    <w:rsid w:val="004E2CDA"/>
    <w:rsid w:val="004F4151"/>
    <w:rsid w:val="0050108D"/>
    <w:rsid w:val="00505F40"/>
    <w:rsid w:val="00513081"/>
    <w:rsid w:val="00517901"/>
    <w:rsid w:val="00526683"/>
    <w:rsid w:val="00526DB8"/>
    <w:rsid w:val="005639C1"/>
    <w:rsid w:val="005709E0"/>
    <w:rsid w:val="00572E19"/>
    <w:rsid w:val="00591523"/>
    <w:rsid w:val="005961C8"/>
    <w:rsid w:val="005966F1"/>
    <w:rsid w:val="005A4F62"/>
    <w:rsid w:val="005B0371"/>
    <w:rsid w:val="005D7914"/>
    <w:rsid w:val="005E0C6E"/>
    <w:rsid w:val="005E2B41"/>
    <w:rsid w:val="005F0B42"/>
    <w:rsid w:val="00617A43"/>
    <w:rsid w:val="006345DB"/>
    <w:rsid w:val="00634E61"/>
    <w:rsid w:val="00640F49"/>
    <w:rsid w:val="006654A2"/>
    <w:rsid w:val="00680D03"/>
    <w:rsid w:val="00681A10"/>
    <w:rsid w:val="006A1ED8"/>
    <w:rsid w:val="006C2031"/>
    <w:rsid w:val="006D461A"/>
    <w:rsid w:val="006F35EE"/>
    <w:rsid w:val="007021FF"/>
    <w:rsid w:val="007102D2"/>
    <w:rsid w:val="00712895"/>
    <w:rsid w:val="007132DC"/>
    <w:rsid w:val="00734ACB"/>
    <w:rsid w:val="00740628"/>
    <w:rsid w:val="00757357"/>
    <w:rsid w:val="00792497"/>
    <w:rsid w:val="00806737"/>
    <w:rsid w:val="00825F8D"/>
    <w:rsid w:val="00834B71"/>
    <w:rsid w:val="0086445C"/>
    <w:rsid w:val="00887AC1"/>
    <w:rsid w:val="00894693"/>
    <w:rsid w:val="008A08D7"/>
    <w:rsid w:val="008A37C8"/>
    <w:rsid w:val="008B6909"/>
    <w:rsid w:val="008C7B20"/>
    <w:rsid w:val="008D53B6"/>
    <w:rsid w:val="008F7609"/>
    <w:rsid w:val="00906890"/>
    <w:rsid w:val="00911BE4"/>
    <w:rsid w:val="0094729A"/>
    <w:rsid w:val="00951972"/>
    <w:rsid w:val="009608F3"/>
    <w:rsid w:val="009A24AC"/>
    <w:rsid w:val="009A4A41"/>
    <w:rsid w:val="009C59D7"/>
    <w:rsid w:val="009C6FE6"/>
    <w:rsid w:val="009D7E7D"/>
    <w:rsid w:val="009E2AB3"/>
    <w:rsid w:val="00A14DA8"/>
    <w:rsid w:val="00A312BC"/>
    <w:rsid w:val="00A824B2"/>
    <w:rsid w:val="00A84021"/>
    <w:rsid w:val="00A84D35"/>
    <w:rsid w:val="00A917B3"/>
    <w:rsid w:val="00AA73A4"/>
    <w:rsid w:val="00AB4B51"/>
    <w:rsid w:val="00AD5AA8"/>
    <w:rsid w:val="00AE5452"/>
    <w:rsid w:val="00B10CC7"/>
    <w:rsid w:val="00B26C6B"/>
    <w:rsid w:val="00B36DF7"/>
    <w:rsid w:val="00B42CC2"/>
    <w:rsid w:val="00B50CE2"/>
    <w:rsid w:val="00B539E7"/>
    <w:rsid w:val="00B62458"/>
    <w:rsid w:val="00BB6EF4"/>
    <w:rsid w:val="00BC18B2"/>
    <w:rsid w:val="00BC3811"/>
    <w:rsid w:val="00BD33EE"/>
    <w:rsid w:val="00BE1CC7"/>
    <w:rsid w:val="00C106D6"/>
    <w:rsid w:val="00C119AE"/>
    <w:rsid w:val="00C44553"/>
    <w:rsid w:val="00C60F0C"/>
    <w:rsid w:val="00C71E84"/>
    <w:rsid w:val="00C805C9"/>
    <w:rsid w:val="00C92939"/>
    <w:rsid w:val="00CA1679"/>
    <w:rsid w:val="00CB151C"/>
    <w:rsid w:val="00CE5A1A"/>
    <w:rsid w:val="00CF55F6"/>
    <w:rsid w:val="00D13702"/>
    <w:rsid w:val="00D26A96"/>
    <w:rsid w:val="00D33D63"/>
    <w:rsid w:val="00D5253A"/>
    <w:rsid w:val="00D873A8"/>
    <w:rsid w:val="00D90028"/>
    <w:rsid w:val="00D90138"/>
    <w:rsid w:val="00D9145B"/>
    <w:rsid w:val="00DD78D1"/>
    <w:rsid w:val="00DE32CD"/>
    <w:rsid w:val="00DF5767"/>
    <w:rsid w:val="00DF71B9"/>
    <w:rsid w:val="00E12C5F"/>
    <w:rsid w:val="00E73E90"/>
    <w:rsid w:val="00E73F76"/>
    <w:rsid w:val="00E91A4A"/>
    <w:rsid w:val="00EA2C9F"/>
    <w:rsid w:val="00EA3E63"/>
    <w:rsid w:val="00EA420E"/>
    <w:rsid w:val="00ED0BDA"/>
    <w:rsid w:val="00EE142A"/>
    <w:rsid w:val="00EF1360"/>
    <w:rsid w:val="00EF3220"/>
    <w:rsid w:val="00F2523A"/>
    <w:rsid w:val="00F43903"/>
    <w:rsid w:val="00F63B7C"/>
    <w:rsid w:val="00F73C9D"/>
    <w:rsid w:val="00F85875"/>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498CD"/>
  <w15:docId w15:val="{E08CE08F-1786-4A9E-9DF2-02E54F28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ootnote Text Char"/>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ootnote Text Char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qFormat/>
    <w:rsid w:val="00022ADE"/>
    <w:rPr>
      <w:b/>
      <w:sz w:val="28"/>
      <w:lang w:val="ru-RU" w:eastAsia="ru-RU"/>
    </w:rPr>
  </w:style>
  <w:style w:type="character" w:customStyle="1" w:styleId="H1GChar">
    <w:name w:val="_ H_1_G Char"/>
    <w:link w:val="H1G"/>
    <w:rsid w:val="00022ADE"/>
    <w:rPr>
      <w:b/>
      <w:sz w:val="24"/>
      <w:lang w:val="ru-RU" w:eastAsia="ru-RU"/>
    </w:rPr>
  </w:style>
  <w:style w:type="paragraph" w:customStyle="1" w:styleId="para">
    <w:name w:val="para"/>
    <w:basedOn w:val="a"/>
    <w:link w:val="paraChar"/>
    <w:qFormat/>
    <w:rsid w:val="00022ADE"/>
    <w:pPr>
      <w:suppressAutoHyphens w:val="0"/>
      <w:spacing w:after="120"/>
      <w:ind w:left="2268" w:right="1134" w:hanging="1134"/>
      <w:jc w:val="both"/>
    </w:pPr>
    <w:rPr>
      <w:rFonts w:eastAsia="Times New Roman" w:cs="Times New Roman"/>
      <w:snapToGrid w:val="0"/>
      <w:szCs w:val="20"/>
      <w:lang w:val="fr-FR"/>
    </w:rPr>
  </w:style>
  <w:style w:type="character" w:customStyle="1" w:styleId="SingleTxtGChar">
    <w:name w:val="_ Single Txt_G Char"/>
    <w:link w:val="SingleTxtG"/>
    <w:qFormat/>
    <w:rsid w:val="00022ADE"/>
    <w:rPr>
      <w:lang w:val="ru-RU" w:eastAsia="en-US"/>
    </w:rPr>
  </w:style>
  <w:style w:type="character" w:customStyle="1" w:styleId="paraChar">
    <w:name w:val="para Char"/>
    <w:link w:val="para"/>
    <w:rsid w:val="00022ADE"/>
    <w:rPr>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53889-CB97-4230-8F05-87240E50A84A}"/>
</file>

<file path=customXml/itemProps2.xml><?xml version="1.0" encoding="utf-8"?>
<ds:datastoreItem xmlns:ds="http://schemas.openxmlformats.org/officeDocument/2006/customXml" ds:itemID="{55FF6E64-BC49-4A26-A65B-3D55B5EF92EA}"/>
</file>

<file path=docProps/app.xml><?xml version="1.0" encoding="utf-8"?>
<Properties xmlns="http://schemas.openxmlformats.org/officeDocument/2006/extended-properties" xmlns:vt="http://schemas.openxmlformats.org/officeDocument/2006/docPropsVTypes">
  <Template>ECE.dotm</Template>
  <TotalTime>0</TotalTime>
  <Pages>6</Pages>
  <Words>1525</Words>
  <Characters>9598</Characters>
  <Application>Microsoft Office Word</Application>
  <DocSecurity>0</DocSecurity>
  <Lines>239</Lines>
  <Paragraphs>95</Paragraphs>
  <ScaleCrop>false</ScaleCrop>
  <HeadingPairs>
    <vt:vector size="8" baseType="variant">
      <vt:variant>
        <vt:lpstr>Название</vt:lpstr>
      </vt:variant>
      <vt:variant>
        <vt:i4>1</vt:i4>
      </vt:variant>
      <vt:variant>
        <vt:lpstr>Заголовки</vt:lpstr>
      </vt:variant>
      <vt:variant>
        <vt:i4>4</vt:i4>
      </vt:variant>
      <vt:variant>
        <vt:lpstr>Title</vt:lpstr>
      </vt:variant>
      <vt:variant>
        <vt:i4>1</vt:i4>
      </vt:variant>
      <vt:variant>
        <vt:lpstr>Título</vt:lpstr>
      </vt:variant>
      <vt:variant>
        <vt:i4>1</vt:i4>
      </vt:variant>
    </vt:vector>
  </HeadingPairs>
  <TitlesOfParts>
    <vt:vector size="7" baseType="lpstr">
      <vt:lpstr>ECE/TRANS/WP.29/GRE/2024/8</vt:lpstr>
      <vt:lpstr>    Предложение по дополнению к поправкам серии 01 к Правилам № 149 ООН</vt:lpstr>
      <vt:lpstr>        Представлено экспертами от Международной группы экспертов по вопросам автомоби</vt:lpstr>
      <vt:lpstr>    I.	Предложение</vt:lpstr>
      <vt:lpstr>    II.	Обоснование</vt:lpstr>
      <vt:lpstr>A/</vt:lpstr>
      <vt:lpstr>A/</vt:lpstr>
    </vt:vector>
  </TitlesOfParts>
  <Company>DCM</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ECE/TRANS/WP.29/GRE/2024/8</dc:title>
  <dc:subject/>
  <dc:creator>Olga OVTCHINNIKOVA</dc:creator>
  <cp:keywords/>
  <cp:lastModifiedBy>Olga Ovchinnikova</cp:lastModifiedBy>
  <cp:revision>3</cp:revision>
  <cp:lastPrinted>2024-02-16T16:02:00Z</cp:lastPrinted>
  <dcterms:created xsi:type="dcterms:W3CDTF">2024-02-16T16:02:00Z</dcterms:created>
  <dcterms:modified xsi:type="dcterms:W3CDTF">2024-02-16T16:02:00Z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