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46A7881" w14:textId="77777777" w:rsidTr="005316B0">
        <w:trPr>
          <w:trHeight w:hRule="exact" w:val="851"/>
        </w:trPr>
        <w:tc>
          <w:tcPr>
            <w:tcW w:w="1276" w:type="dxa"/>
            <w:tcBorders>
              <w:bottom w:val="single" w:sz="4" w:space="0" w:color="auto"/>
            </w:tcBorders>
          </w:tcPr>
          <w:p w14:paraId="03ECACA5" w14:textId="77777777" w:rsidR="001433FD" w:rsidRPr="00DB58B5" w:rsidRDefault="001433FD" w:rsidP="0001207F"/>
        </w:tc>
        <w:tc>
          <w:tcPr>
            <w:tcW w:w="2268" w:type="dxa"/>
            <w:tcBorders>
              <w:bottom w:val="single" w:sz="4" w:space="0" w:color="auto"/>
            </w:tcBorders>
            <w:vAlign w:val="bottom"/>
          </w:tcPr>
          <w:p w14:paraId="29A7D93C" w14:textId="77777777" w:rsidR="001433FD" w:rsidRPr="00DB58B5" w:rsidRDefault="001433F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459B7B" w14:textId="22BA3CFC" w:rsidR="001433FD" w:rsidRPr="00B72A3B" w:rsidRDefault="00B72A3B" w:rsidP="00B72A3B">
            <w:pPr>
              <w:jc w:val="right"/>
            </w:pPr>
            <w:r w:rsidRPr="00B72A3B">
              <w:rPr>
                <w:sz w:val="40"/>
              </w:rPr>
              <w:t>ECE</w:t>
            </w:r>
            <w:r>
              <w:t>/TRANS/WP.15/AC.1/2024/27</w:t>
            </w:r>
          </w:p>
        </w:tc>
      </w:tr>
      <w:tr w:rsidR="001433FD" w:rsidRPr="00DB58B5" w14:paraId="4444FA62" w14:textId="77777777">
        <w:trPr>
          <w:trHeight w:hRule="exact" w:val="2835"/>
        </w:trPr>
        <w:tc>
          <w:tcPr>
            <w:tcW w:w="1276" w:type="dxa"/>
            <w:tcBorders>
              <w:top w:val="single" w:sz="4" w:space="0" w:color="auto"/>
              <w:bottom w:val="single" w:sz="12" w:space="0" w:color="auto"/>
            </w:tcBorders>
          </w:tcPr>
          <w:p w14:paraId="739DB6E4" w14:textId="77777777" w:rsidR="001433FD" w:rsidRPr="00DB58B5" w:rsidRDefault="001433FD">
            <w:pPr>
              <w:spacing w:before="120"/>
              <w:jc w:val="center"/>
            </w:pPr>
            <w:r>
              <w:rPr>
                <w:noProof/>
                <w:lang w:eastAsia="fr-CH"/>
              </w:rPr>
              <w:drawing>
                <wp:inline distT="0" distB="0" distL="0" distR="0" wp14:anchorId="1845A32E" wp14:editId="4291E4FE">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7E345B" w14:textId="77777777" w:rsidR="001433FD" w:rsidRPr="00740562" w:rsidRDefault="001433F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8AB2D58" w14:textId="77777777" w:rsidR="0001207F" w:rsidRDefault="00086C86" w:rsidP="00086C86">
            <w:pPr>
              <w:spacing w:before="240" w:line="240" w:lineRule="exact"/>
            </w:pPr>
            <w:r>
              <w:t>Distr. générale</w:t>
            </w:r>
          </w:p>
          <w:p w14:paraId="59F78234" w14:textId="1E0AD69B" w:rsidR="00086C86" w:rsidRDefault="00086C86" w:rsidP="00086C86">
            <w:pPr>
              <w:spacing w:line="240" w:lineRule="exact"/>
            </w:pPr>
            <w:r>
              <w:t>2</w:t>
            </w:r>
            <w:r w:rsidR="008904F5">
              <w:t>6</w:t>
            </w:r>
            <w:r>
              <w:t xml:space="preserve"> février 2024</w:t>
            </w:r>
          </w:p>
          <w:p w14:paraId="074ADAD6" w14:textId="43AFBF84" w:rsidR="00086C86" w:rsidRDefault="00530075" w:rsidP="00086C86">
            <w:pPr>
              <w:spacing w:line="240" w:lineRule="exact"/>
            </w:pPr>
            <w:r>
              <w:t>Français</w:t>
            </w:r>
          </w:p>
          <w:p w14:paraId="5DBA0454" w14:textId="045A1686" w:rsidR="00086C86" w:rsidRPr="00DB58B5" w:rsidRDefault="00086C86" w:rsidP="00086C86">
            <w:pPr>
              <w:spacing w:line="240" w:lineRule="exact"/>
            </w:pPr>
            <w:r>
              <w:t xml:space="preserve">Original : </w:t>
            </w:r>
            <w:r w:rsidR="00AA3A15">
              <w:t xml:space="preserve">anglais et </w:t>
            </w:r>
            <w:r>
              <w:t>français</w:t>
            </w:r>
          </w:p>
        </w:tc>
      </w:tr>
    </w:tbl>
    <w:p w14:paraId="44FC49A7" w14:textId="77777777" w:rsidR="00086C86" w:rsidRDefault="00086C86" w:rsidP="00FD1581">
      <w:pPr>
        <w:spacing w:before="120"/>
        <w:rPr>
          <w:b/>
          <w:sz w:val="28"/>
          <w:szCs w:val="28"/>
        </w:rPr>
      </w:pPr>
      <w:r w:rsidRPr="00883605">
        <w:rPr>
          <w:b/>
          <w:sz w:val="28"/>
          <w:szCs w:val="28"/>
        </w:rPr>
        <w:t>Commission économique pour l’Europe</w:t>
      </w:r>
    </w:p>
    <w:p w14:paraId="1DA26955" w14:textId="77777777" w:rsidR="00086C86" w:rsidRPr="008A7BD0" w:rsidRDefault="00086C86" w:rsidP="00FD1581">
      <w:pPr>
        <w:spacing w:before="120"/>
        <w:rPr>
          <w:sz w:val="28"/>
          <w:szCs w:val="28"/>
          <w:lang w:val="fr-CA"/>
        </w:rPr>
      </w:pPr>
      <w:r w:rsidRPr="008A7BD0">
        <w:rPr>
          <w:sz w:val="28"/>
          <w:szCs w:val="28"/>
          <w:lang w:val="fr-CA"/>
        </w:rPr>
        <w:t>Comité des transports intérieurs</w:t>
      </w:r>
    </w:p>
    <w:p w14:paraId="7AAF974D" w14:textId="77777777" w:rsidR="00086C86" w:rsidRPr="008A7BD0" w:rsidRDefault="00086C86"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3D4C525E" w14:textId="77777777" w:rsidR="00086C86" w:rsidRPr="008A7BD0" w:rsidRDefault="00086C86"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3400C17B" w14:textId="22972720" w:rsidR="00086C86" w:rsidRPr="008A7BD0" w:rsidRDefault="003E6B62" w:rsidP="00FD1581">
      <w:pPr>
        <w:rPr>
          <w:lang w:val="fr-FR"/>
        </w:rPr>
      </w:pPr>
      <w:r>
        <w:rPr>
          <w:lang w:val="fr-FR"/>
        </w:rPr>
        <w:t>Berne</w:t>
      </w:r>
      <w:r w:rsidR="00086C86" w:rsidRPr="008A7BD0">
        <w:rPr>
          <w:lang w:val="fr-FR"/>
        </w:rPr>
        <w:t xml:space="preserve">, </w:t>
      </w:r>
      <w:r>
        <w:rPr>
          <w:lang w:val="fr-FR"/>
        </w:rPr>
        <w:t>25-28 mars 2024</w:t>
      </w:r>
    </w:p>
    <w:p w14:paraId="1C0B63A7" w14:textId="2707E17E" w:rsidR="00086C86" w:rsidRPr="008A7BD0" w:rsidRDefault="00086C86" w:rsidP="00FD1581">
      <w:pPr>
        <w:rPr>
          <w:lang w:val="fr-FR"/>
        </w:rPr>
      </w:pPr>
      <w:r w:rsidRPr="008A7BD0">
        <w:rPr>
          <w:lang w:val="en-US"/>
        </w:rPr>
        <w:t>Point</w:t>
      </w:r>
      <w:r w:rsidR="002D33DE">
        <w:rPr>
          <w:lang w:val="fr-FR"/>
        </w:rPr>
        <w:t xml:space="preserve"> 5 a)</w:t>
      </w:r>
      <w:r>
        <w:rPr>
          <w:lang w:val="fr-FR"/>
        </w:rPr>
        <w:t xml:space="preserve"> </w:t>
      </w:r>
      <w:r w:rsidRPr="008A7BD0">
        <w:rPr>
          <w:lang w:val="fr-FR"/>
        </w:rPr>
        <w:t>de l’ordre du jour provisoire</w:t>
      </w:r>
    </w:p>
    <w:p w14:paraId="254662B6" w14:textId="2B47207E" w:rsidR="00C1626B" w:rsidRDefault="00B76D2C" w:rsidP="00F06ED4">
      <w:pPr>
        <w:rPr>
          <w:rFonts w:eastAsia="Calibri"/>
          <w:b/>
          <w:bCs/>
        </w:rPr>
      </w:pPr>
      <w:r w:rsidRPr="00ED22E0">
        <w:rPr>
          <w:rFonts w:eastAsia="Calibri"/>
          <w:b/>
          <w:bCs/>
        </w:rPr>
        <w:t xml:space="preserve">Propositions d’amendements au RID, à l’ADR et à l’ADN : </w:t>
      </w:r>
      <w:r w:rsidRPr="00ED22E0">
        <w:rPr>
          <w:rFonts w:eastAsia="Calibri"/>
          <w:b/>
          <w:bCs/>
        </w:rPr>
        <w:br/>
      </w:r>
      <w:r>
        <w:rPr>
          <w:rFonts w:eastAsia="Calibri"/>
          <w:b/>
          <w:bCs/>
        </w:rPr>
        <w:t>Questions en suspens</w:t>
      </w:r>
    </w:p>
    <w:p w14:paraId="752687DA" w14:textId="10ECD57D" w:rsidR="00B76D2C" w:rsidRDefault="00B76D2C" w:rsidP="00B76D2C">
      <w:pPr>
        <w:pStyle w:val="HChG"/>
        <w:rPr>
          <w:rFonts w:eastAsia="Calibri"/>
        </w:rPr>
      </w:pPr>
      <w:r>
        <w:tab/>
      </w:r>
      <w:r>
        <w:tab/>
      </w:r>
      <w:r w:rsidR="006C1152" w:rsidRPr="009A3013">
        <w:rPr>
          <w:rFonts w:eastAsia="Calibri"/>
        </w:rPr>
        <w:t xml:space="preserve">Application de la disposition spéciale 376 aux batteries au lithium </w:t>
      </w:r>
      <w:r w:rsidR="006C1152">
        <w:rPr>
          <w:rFonts w:eastAsia="Calibri"/>
        </w:rPr>
        <w:t>fortement</w:t>
      </w:r>
      <w:r w:rsidR="006C1152" w:rsidRPr="009A3013">
        <w:rPr>
          <w:rFonts w:eastAsia="Calibri"/>
        </w:rPr>
        <w:t xml:space="preserve"> endommagées</w:t>
      </w:r>
    </w:p>
    <w:p w14:paraId="3ED29DC0" w14:textId="0340B07A" w:rsidR="006C1152" w:rsidRDefault="00B2529A" w:rsidP="006C1152">
      <w:pPr>
        <w:pStyle w:val="H1G"/>
        <w:rPr>
          <w:rFonts w:eastAsia="Calibri"/>
        </w:rPr>
      </w:pPr>
      <w:r>
        <w:tab/>
      </w:r>
      <w:r>
        <w:tab/>
      </w:r>
      <w:r w:rsidRPr="00ED22E0">
        <w:rPr>
          <w:rFonts w:eastAsia="Calibri"/>
        </w:rPr>
        <w:t xml:space="preserve">Communication </w:t>
      </w:r>
      <w:r>
        <w:rPr>
          <w:rFonts w:eastAsia="Calibri"/>
        </w:rPr>
        <w:t>de la Belgique</w:t>
      </w:r>
      <w:r w:rsidR="004B254B" w:rsidRPr="004B254B">
        <w:rPr>
          <w:rStyle w:val="Appelnotedebasdep"/>
          <w:rFonts w:eastAsia="Calibri"/>
          <w:sz w:val="20"/>
          <w:vertAlign w:val="baseline"/>
        </w:rPr>
        <w:footnoteReference w:customMarkFollows="1" w:id="2"/>
        <w:t>*</w:t>
      </w:r>
      <w:r w:rsidR="00546F3C">
        <w:rPr>
          <w:rFonts w:eastAsia="Calibri"/>
          <w:sz w:val="20"/>
        </w:rPr>
        <w:t xml:space="preserve">, </w:t>
      </w:r>
      <w:r w:rsidR="002C15BA" w:rsidRPr="002C15BA">
        <w:rPr>
          <w:rStyle w:val="Appelnotedebasdep"/>
          <w:rFonts w:eastAsia="Calibri"/>
          <w:sz w:val="20"/>
          <w:vertAlign w:val="baseline"/>
        </w:rPr>
        <w:footnoteReference w:customMarkFollows="1" w:id="3"/>
        <w:t>**</w:t>
      </w:r>
      <w:r w:rsidR="00260F61">
        <w:rPr>
          <w:rFonts w:eastAsia="Calibri"/>
          <w:sz w:val="20"/>
        </w:rPr>
        <w:t xml:space="preserve">, </w:t>
      </w:r>
      <w:r w:rsidR="00260F61" w:rsidRPr="00260F61">
        <w:rPr>
          <w:rStyle w:val="Appelnotedebasdep"/>
          <w:rFonts w:eastAsia="Calibri"/>
          <w:sz w:val="20"/>
          <w:vertAlign w:val="baseline"/>
        </w:rPr>
        <w:footnoteReference w:customMarkFollows="1" w:id="4"/>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2529A" w14:paraId="5200338C" w14:textId="77777777">
        <w:trPr>
          <w:jc w:val="center"/>
        </w:trPr>
        <w:tc>
          <w:tcPr>
            <w:tcW w:w="9637" w:type="dxa"/>
            <w:shd w:val="clear" w:color="auto" w:fill="auto"/>
          </w:tcPr>
          <w:p w14:paraId="730CED80" w14:textId="77777777" w:rsidR="00B2529A" w:rsidRPr="00C6263E" w:rsidRDefault="00B2529A">
            <w:pPr>
              <w:spacing w:before="240" w:after="120"/>
              <w:ind w:left="255"/>
              <w:rPr>
                <w:i/>
                <w:sz w:val="24"/>
              </w:rPr>
            </w:pPr>
            <w:r w:rsidRPr="00C6263E">
              <w:rPr>
                <w:i/>
                <w:sz w:val="24"/>
              </w:rPr>
              <w:t xml:space="preserve">Résumé </w:t>
            </w:r>
          </w:p>
        </w:tc>
      </w:tr>
      <w:tr w:rsidR="00B2529A" w14:paraId="1051385C" w14:textId="77777777">
        <w:trPr>
          <w:jc w:val="center"/>
        </w:trPr>
        <w:tc>
          <w:tcPr>
            <w:tcW w:w="9637" w:type="dxa"/>
            <w:shd w:val="clear" w:color="auto" w:fill="auto"/>
          </w:tcPr>
          <w:p w14:paraId="2722A527" w14:textId="2E566D8F" w:rsidR="00B2529A" w:rsidRDefault="00F70E85" w:rsidP="00EB78FC">
            <w:pPr>
              <w:pStyle w:val="SingleTxtG"/>
              <w:tabs>
                <w:tab w:val="left" w:pos="3402"/>
              </w:tabs>
              <w:suppressAutoHyphens w:val="0"/>
              <w:ind w:left="3402" w:hanging="1993"/>
              <w:rPr>
                <w:rFonts w:eastAsia="Calibri"/>
              </w:rPr>
            </w:pPr>
            <w:r w:rsidRPr="009107CE">
              <w:rPr>
                <w:b/>
                <w:bCs/>
                <w:lang w:val="fr-FR"/>
              </w:rPr>
              <w:t>Résumé analytique</w:t>
            </w:r>
            <w:r w:rsidR="009107CE">
              <w:rPr>
                <w:lang w:val="fr-FR"/>
              </w:rPr>
              <w:t> </w:t>
            </w:r>
            <w:r w:rsidRPr="009107CE">
              <w:rPr>
                <w:b/>
                <w:bCs/>
                <w:lang w:val="fr-FR"/>
              </w:rPr>
              <w:t>:</w:t>
            </w:r>
            <w:r w:rsidR="000054DF" w:rsidRPr="009107CE">
              <w:rPr>
                <w:lang w:val="fr-FR"/>
              </w:rPr>
              <w:tab/>
            </w:r>
            <w:r w:rsidRPr="009107CE">
              <w:rPr>
                <w:lang w:val="fr-FR"/>
              </w:rPr>
              <w:t xml:space="preserve">Les prescriptions actuelles pour le transport des piles et batteries au lithium fortement endommagées selon la disposition spéciale 376 et l’instruction d’emballage P911 ou LP906 ne garantissent pas, une communication correcte des conditions environnantes d’utilisation </w:t>
            </w:r>
            <w:r w:rsidR="00C7638E">
              <w:rPr>
                <w:lang w:val="fr-FR"/>
              </w:rPr>
              <w:t xml:space="preserve">et </w:t>
            </w:r>
            <w:r w:rsidRPr="009107CE">
              <w:rPr>
                <w:lang w:val="fr-FR"/>
              </w:rPr>
              <w:t xml:space="preserve">de transport conformément au </w:t>
            </w:r>
            <w:r w:rsidR="00904630">
              <w:rPr>
                <w:rFonts w:eastAsia="Calibri"/>
              </w:rPr>
              <w:t>paragraphe</w:t>
            </w:r>
            <w:r w:rsidR="00904630" w:rsidRPr="003B77DB">
              <w:rPr>
                <w:rFonts w:eastAsia="Calibri"/>
              </w:rPr>
              <w:t xml:space="preserve"> </w:t>
            </w:r>
            <w:r w:rsidRPr="009107CE">
              <w:rPr>
                <w:lang w:val="fr-FR"/>
              </w:rPr>
              <w:t xml:space="preserve">f) des critères d'évaluation de la performance de l'emballage </w:t>
            </w:r>
            <w:r w:rsidR="0080783C">
              <w:rPr>
                <w:rFonts w:eastAsia="Calibri"/>
              </w:rPr>
              <w:t xml:space="preserve">contenus dans la note de bas de page a de l'instruction d'emballage </w:t>
            </w:r>
            <w:r w:rsidRPr="009107CE">
              <w:rPr>
                <w:lang w:val="fr-FR"/>
              </w:rPr>
              <w:t>P911 (2) ou la LP906 (2)</w:t>
            </w:r>
            <w:r w:rsidR="009107CE">
              <w:rPr>
                <w:lang w:val="fr-FR"/>
              </w:rPr>
              <w:t>.</w:t>
            </w:r>
          </w:p>
          <w:p w14:paraId="7A6A1216" w14:textId="77777777" w:rsidR="006A6C65" w:rsidRDefault="00083BDC" w:rsidP="00EB78FC">
            <w:pPr>
              <w:pStyle w:val="SingleTxtG"/>
              <w:tabs>
                <w:tab w:val="left" w:pos="3402"/>
              </w:tabs>
              <w:suppressAutoHyphens w:val="0"/>
              <w:ind w:left="3402" w:right="985" w:hanging="1984"/>
              <w:jc w:val="left"/>
              <w:rPr>
                <w:lang w:val="fr-FR"/>
              </w:rPr>
            </w:pPr>
            <w:r w:rsidRPr="00AA7B9F">
              <w:rPr>
                <w:b/>
                <w:bCs/>
                <w:lang w:val="fr-FR"/>
              </w:rPr>
              <w:t>Mesure à prendre</w:t>
            </w:r>
            <w:r w:rsidR="0008699F" w:rsidRPr="00AA7B9F">
              <w:rPr>
                <w:b/>
                <w:bCs/>
                <w:lang w:val="fr-FR"/>
              </w:rPr>
              <w:t> </w:t>
            </w:r>
            <w:r w:rsidRPr="00AA7B9F">
              <w:rPr>
                <w:b/>
                <w:bCs/>
                <w:lang w:val="fr-FR"/>
              </w:rPr>
              <w:t>:</w:t>
            </w:r>
            <w:r w:rsidRPr="00AA7B9F">
              <w:rPr>
                <w:lang w:val="fr-FR"/>
              </w:rPr>
              <w:tab/>
              <w:t>Ajouter une nouvelle disposition spéciale spécifique aux modes de transport terrestres spécifiant que l’expéditeur doit informer le</w:t>
            </w:r>
            <w:r w:rsidR="00EB78FC">
              <w:rPr>
                <w:lang w:val="fr-FR"/>
              </w:rPr>
              <w:t> </w:t>
            </w:r>
            <w:r w:rsidRPr="00AA7B9F">
              <w:rPr>
                <w:lang w:val="fr-FR"/>
              </w:rPr>
              <w:t>chargeur et le transporteur des conditions environnantes dans lesquelles l’emballage peut être utilisé et transporté conformément à l’instruction d’emballage P911ou LP906.</w:t>
            </w:r>
          </w:p>
          <w:p w14:paraId="6F07DADB" w14:textId="28F5D7F1" w:rsidR="00F70E85" w:rsidRDefault="00083BDC" w:rsidP="006719E9">
            <w:pPr>
              <w:pStyle w:val="SingleTxtG"/>
              <w:tabs>
                <w:tab w:val="left" w:pos="3402"/>
              </w:tabs>
              <w:suppressAutoHyphens w:val="0"/>
              <w:ind w:left="3402" w:right="985" w:hanging="6"/>
              <w:jc w:val="left"/>
              <w:rPr>
                <w:rFonts w:eastAsia="Calibri"/>
              </w:rPr>
            </w:pPr>
            <w:r w:rsidRPr="00AA7B9F">
              <w:rPr>
                <w:lang w:val="fr-FR"/>
              </w:rPr>
              <w:lastRenderedPageBreak/>
              <w:t>Prévoir la mention d’une personne responsable et son numéro de téléphone dans le document de transport.</w:t>
            </w:r>
          </w:p>
          <w:p w14:paraId="6817A1BF" w14:textId="77777777" w:rsidR="006719E9" w:rsidRDefault="0027410B" w:rsidP="00EB78FC">
            <w:pPr>
              <w:pStyle w:val="SingleTxtG"/>
              <w:ind w:left="3402" w:hanging="1993"/>
              <w:jc w:val="left"/>
              <w:rPr>
                <w:lang w:val="fr-FR"/>
              </w:rPr>
            </w:pPr>
            <w:r w:rsidRPr="00AA7B9F">
              <w:rPr>
                <w:b/>
                <w:bCs/>
                <w:lang w:val="fr-FR"/>
              </w:rPr>
              <w:t>Documents connexes</w:t>
            </w:r>
            <w:r w:rsidR="0008699F" w:rsidRPr="00AA7B9F">
              <w:rPr>
                <w:b/>
                <w:bCs/>
                <w:lang w:val="fr-FR"/>
              </w:rPr>
              <w:t> </w:t>
            </w:r>
            <w:r w:rsidRPr="00AA7B9F">
              <w:rPr>
                <w:b/>
                <w:bCs/>
                <w:lang w:val="fr-FR"/>
              </w:rPr>
              <w:t>:</w:t>
            </w:r>
            <w:r w:rsidR="00690ADF" w:rsidRPr="009753BF">
              <w:rPr>
                <w:b/>
                <w:lang w:val="fr-FR"/>
              </w:rPr>
              <w:tab/>
            </w:r>
            <w:r w:rsidRPr="00AA7B9F">
              <w:rPr>
                <w:lang w:val="fr-FR"/>
              </w:rPr>
              <w:t>Document</w:t>
            </w:r>
            <w:r w:rsidR="00866814">
              <w:rPr>
                <w:lang w:val="fr-FR"/>
              </w:rPr>
              <w:t xml:space="preserve"> inform</w:t>
            </w:r>
            <w:r w:rsidR="00640FAA">
              <w:rPr>
                <w:lang w:val="fr-FR"/>
              </w:rPr>
              <w:t>el</w:t>
            </w:r>
            <w:r w:rsidRPr="00AA7B9F">
              <w:rPr>
                <w:lang w:val="fr-FR"/>
              </w:rPr>
              <w:t xml:space="preserve"> </w:t>
            </w:r>
            <w:hyperlink r:id="rId11" w:history="1">
              <w:r w:rsidRPr="00F6536A">
                <w:rPr>
                  <w:rStyle w:val="Lienhypertexte"/>
                  <w:rFonts w:eastAsia="Calibri"/>
                  <w:color w:val="0000FF" w:themeColor="hyperlink"/>
                  <w:u w:val="single"/>
                  <w:lang w:eastAsia="en-US"/>
                </w:rPr>
                <w:t>INF</w:t>
              </w:r>
              <w:r w:rsidR="002E4B3E">
                <w:rPr>
                  <w:rStyle w:val="Lienhypertexte"/>
                  <w:rFonts w:eastAsia="Calibri"/>
                  <w:color w:val="0000FF" w:themeColor="hyperlink"/>
                  <w:u w:val="single"/>
                  <w:lang w:eastAsia="en-US"/>
                </w:rPr>
                <w:t>.</w:t>
              </w:r>
              <w:r w:rsidRPr="00F6536A">
                <w:rPr>
                  <w:rStyle w:val="Lienhypertexte"/>
                  <w:rFonts w:eastAsia="Calibri"/>
                  <w:color w:val="0000FF" w:themeColor="hyperlink"/>
                  <w:u w:val="single"/>
                  <w:lang w:eastAsia="en-US"/>
                </w:rPr>
                <w:t>9</w:t>
              </w:r>
            </w:hyperlink>
            <w:r w:rsidRPr="00AA7B9F">
              <w:rPr>
                <w:lang w:val="fr-FR"/>
              </w:rPr>
              <w:t xml:space="preserve"> de la </w:t>
            </w:r>
            <w:r w:rsidR="006F5A92">
              <w:rPr>
                <w:lang w:val="fr-FR"/>
              </w:rPr>
              <w:t>soixante</w:t>
            </w:r>
            <w:r w:rsidR="00016BE3">
              <w:rPr>
                <w:lang w:val="fr-FR"/>
              </w:rPr>
              <w:t>-deuxième</w:t>
            </w:r>
            <w:r w:rsidR="006F5A92" w:rsidRPr="00AA7B9F">
              <w:rPr>
                <w:lang w:val="fr-FR"/>
              </w:rPr>
              <w:t xml:space="preserve"> </w:t>
            </w:r>
            <w:r w:rsidRPr="00AA7B9F">
              <w:rPr>
                <w:lang w:val="fr-FR"/>
              </w:rPr>
              <w:t>session du Sous-Comité d’Experts du Transport de Marchandises Dangereuses</w:t>
            </w:r>
            <w:r w:rsidR="00E759DF">
              <w:rPr>
                <w:lang w:val="fr-FR"/>
              </w:rPr>
              <w:t>.</w:t>
            </w:r>
          </w:p>
          <w:p w14:paraId="6CC65900" w14:textId="22CE86D7" w:rsidR="00083BDC" w:rsidRPr="00AA7B9F" w:rsidRDefault="00D46640" w:rsidP="006719E9">
            <w:pPr>
              <w:pStyle w:val="SingleTxtG"/>
              <w:ind w:left="3402" w:hanging="6"/>
              <w:jc w:val="left"/>
              <w:rPr>
                <w:rFonts w:eastAsia="Calibri"/>
              </w:rPr>
            </w:pPr>
            <w:r w:rsidRPr="00AA7B9F">
              <w:rPr>
                <w:lang w:val="fr-FR"/>
              </w:rPr>
              <w:t>Document</w:t>
            </w:r>
            <w:r>
              <w:rPr>
                <w:lang w:val="fr-FR"/>
              </w:rPr>
              <w:t>s informels</w:t>
            </w:r>
            <w:r w:rsidRPr="00AA7B9F">
              <w:rPr>
                <w:lang w:val="fr-FR"/>
              </w:rPr>
              <w:t xml:space="preserve"> </w:t>
            </w:r>
            <w:hyperlink r:id="rId12" w:history="1">
              <w:r w:rsidR="0027410B" w:rsidRPr="002E4B3E">
                <w:rPr>
                  <w:rStyle w:val="Lienhypertexte"/>
                  <w:rFonts w:eastAsia="Calibri"/>
                  <w:color w:val="0000FF" w:themeColor="hyperlink"/>
                  <w:u w:val="single"/>
                  <w:lang w:eastAsia="en-US"/>
                </w:rPr>
                <w:t>INF</w:t>
              </w:r>
              <w:r w:rsidR="002E4B3E">
                <w:rPr>
                  <w:rStyle w:val="Lienhypertexte"/>
                  <w:rFonts w:eastAsia="Calibri"/>
                  <w:color w:val="0000FF" w:themeColor="hyperlink"/>
                  <w:u w:val="single"/>
                  <w:lang w:eastAsia="en-US"/>
                </w:rPr>
                <w:t>.</w:t>
              </w:r>
              <w:r w:rsidR="0027410B" w:rsidRPr="002E4B3E">
                <w:rPr>
                  <w:rStyle w:val="Lienhypertexte"/>
                  <w:rFonts w:eastAsia="Calibri"/>
                  <w:color w:val="0000FF" w:themeColor="hyperlink"/>
                  <w:u w:val="single"/>
                  <w:lang w:eastAsia="en-US"/>
                </w:rPr>
                <w:t>8</w:t>
              </w:r>
            </w:hyperlink>
            <w:r w:rsidR="0027410B">
              <w:rPr>
                <w:rFonts w:eastAsia="Calibri"/>
              </w:rPr>
              <w:t xml:space="preserve"> et </w:t>
            </w:r>
            <w:hyperlink r:id="rId13" w:history="1">
              <w:r w:rsidR="0027410B" w:rsidRPr="009A39EF">
                <w:rPr>
                  <w:rStyle w:val="Lienhypertexte"/>
                  <w:rFonts w:eastAsia="Calibri"/>
                  <w:u w:val="single"/>
                </w:rPr>
                <w:t>INF</w:t>
              </w:r>
              <w:r w:rsidR="002E4B3E" w:rsidRPr="009A39EF">
                <w:rPr>
                  <w:rStyle w:val="Lienhypertexte"/>
                  <w:rFonts w:eastAsia="Calibri"/>
                  <w:u w:val="single"/>
                </w:rPr>
                <w:t>.</w:t>
              </w:r>
              <w:r w:rsidR="0027410B" w:rsidRPr="009A39EF">
                <w:rPr>
                  <w:rStyle w:val="Lienhypertexte"/>
                  <w:rFonts w:eastAsia="Calibri"/>
                  <w:u w:val="single"/>
                </w:rPr>
                <w:t>44</w:t>
              </w:r>
            </w:hyperlink>
            <w:r w:rsidR="0027410B">
              <w:rPr>
                <w:rFonts w:eastAsia="Calibri"/>
              </w:rPr>
              <w:t xml:space="preserve"> de la </w:t>
            </w:r>
            <w:r>
              <w:rPr>
                <w:rFonts w:eastAsia="Calibri"/>
              </w:rPr>
              <w:t>R</w:t>
            </w:r>
            <w:r w:rsidR="0027410B">
              <w:rPr>
                <w:rFonts w:eastAsia="Calibri"/>
              </w:rPr>
              <w:t>éunion commune RID/ADR/ADN de septembre 2023.</w:t>
            </w:r>
          </w:p>
        </w:tc>
      </w:tr>
      <w:tr w:rsidR="00B2529A" w14:paraId="6F845689" w14:textId="77777777">
        <w:trPr>
          <w:jc w:val="center"/>
        </w:trPr>
        <w:tc>
          <w:tcPr>
            <w:tcW w:w="9637" w:type="dxa"/>
            <w:shd w:val="clear" w:color="auto" w:fill="auto"/>
          </w:tcPr>
          <w:p w14:paraId="16EBCF81" w14:textId="77777777" w:rsidR="00B2529A" w:rsidRDefault="00B2529A"/>
        </w:tc>
      </w:tr>
    </w:tbl>
    <w:p w14:paraId="3E9B08F7" w14:textId="1F5CF630" w:rsidR="0027410B" w:rsidRDefault="0027410B" w:rsidP="00B2529A"/>
    <w:p w14:paraId="4C5D5F3C" w14:textId="77777777" w:rsidR="0027410B" w:rsidRDefault="0027410B">
      <w:r>
        <w:br w:type="page"/>
      </w:r>
    </w:p>
    <w:p w14:paraId="0962BE64" w14:textId="3A61DDB3" w:rsidR="002C4413" w:rsidRPr="00ED22E0" w:rsidRDefault="002C4413" w:rsidP="002C4413">
      <w:pPr>
        <w:pStyle w:val="HChG"/>
        <w:rPr>
          <w:rFonts w:eastAsia="Calibri"/>
        </w:rPr>
      </w:pPr>
      <w:r w:rsidRPr="00ED22E0">
        <w:rPr>
          <w:rFonts w:eastAsia="Calibri"/>
        </w:rPr>
        <w:lastRenderedPageBreak/>
        <w:tab/>
      </w:r>
      <w:r>
        <w:rPr>
          <w:rFonts w:eastAsia="Calibri"/>
        </w:rPr>
        <w:t>I.</w:t>
      </w:r>
      <w:r>
        <w:rPr>
          <w:rFonts w:eastAsia="Calibri"/>
        </w:rPr>
        <w:tab/>
      </w:r>
      <w:r w:rsidRPr="00ED22E0">
        <w:rPr>
          <w:rFonts w:eastAsia="Calibri"/>
        </w:rPr>
        <w:t>Introduction</w:t>
      </w:r>
    </w:p>
    <w:p w14:paraId="2C2EA505" w14:textId="46B56FE2" w:rsidR="002C4413" w:rsidRDefault="002C4413" w:rsidP="002C4413">
      <w:pPr>
        <w:pStyle w:val="SingleTxtG"/>
      </w:pPr>
      <w:r>
        <w:t>1.</w:t>
      </w:r>
      <w:r>
        <w:tab/>
        <w:t xml:space="preserve">Selon la disposition spéciale 376 du chapitre 3.3, </w:t>
      </w:r>
      <w:r w:rsidRPr="009F1055">
        <w:t>les piles et batteries identifiées comme endommagées ou défectueuses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 ou LP906 du 4.1.4.3</w:t>
      </w:r>
      <w:r>
        <w:t>.</w:t>
      </w:r>
    </w:p>
    <w:p w14:paraId="2FCFBA1C" w14:textId="3BD02B14" w:rsidR="002C4413" w:rsidRDefault="002C4413" w:rsidP="002C4413">
      <w:pPr>
        <w:pStyle w:val="SingleTxtG"/>
      </w:pPr>
      <w:r>
        <w:t>2.</w:t>
      </w:r>
      <w:r>
        <w:tab/>
        <w:t xml:space="preserve">Certains emballages approuvés selon la P911 ou la LP906 sont soumis à </w:t>
      </w:r>
      <w:r w:rsidRPr="009F1055">
        <w:t xml:space="preserve">des conditions environnantes dans lesquelles l’emballage peut être utilisé et transporté (y compris pour les conséquences possibles d’émissions de gaz ou de fumées sur l’environnement telles que ventilation ou autres méthode) en relation avec le système de gestion des flux de gaz de l’emballage </w:t>
      </w:r>
      <w:r>
        <w:t xml:space="preserve">[voir </w:t>
      </w:r>
      <w:r w:rsidRPr="00752B26">
        <w:t>le point f) des critères d'évaluation</w:t>
      </w:r>
      <w:r>
        <w:t xml:space="preserve"> de</w:t>
      </w:r>
      <w:r w:rsidRPr="00E41824">
        <w:t xml:space="preserve"> la performance de l'emballage</w:t>
      </w:r>
      <w:r w:rsidRPr="00752B26">
        <w:t xml:space="preserve"> </w:t>
      </w:r>
      <w:r w:rsidR="00DA053B">
        <w:rPr>
          <w:rFonts w:eastAsia="Calibri"/>
        </w:rPr>
        <w:t xml:space="preserve">contenus dans la note de bas de page a </w:t>
      </w:r>
      <w:r w:rsidR="00DA053B">
        <w:t xml:space="preserve">de l'instruction d'emballage </w:t>
      </w:r>
      <w:r>
        <w:t>P911 (2) ou la LP906 (2)].</w:t>
      </w:r>
    </w:p>
    <w:p w14:paraId="21A02B3A" w14:textId="29BCAA4B" w:rsidR="002C4413" w:rsidRDefault="002C4413" w:rsidP="002C4413">
      <w:pPr>
        <w:pStyle w:val="SingleTxtG"/>
      </w:pPr>
      <w:r>
        <w:t>3.</w:t>
      </w:r>
      <w:r>
        <w:tab/>
      </w:r>
      <w:r w:rsidRPr="009F1055">
        <w:t xml:space="preserve">Néanmoins, </w:t>
      </w:r>
      <w:r>
        <w:t>les instructions d’emballage</w:t>
      </w:r>
      <w:r w:rsidRPr="009F1055">
        <w:t xml:space="preserve"> P911</w:t>
      </w:r>
      <w:r>
        <w:t xml:space="preserve"> et LP906</w:t>
      </w:r>
      <w:r w:rsidRPr="009F1055">
        <w:t xml:space="preserve"> n'impose</w:t>
      </w:r>
      <w:r>
        <w:t>nt</w:t>
      </w:r>
      <w:r w:rsidRPr="009F1055">
        <w:t xml:space="preserve"> pas ou n'indique</w:t>
      </w:r>
      <w:r>
        <w:t>nt</w:t>
      </w:r>
      <w:r w:rsidRPr="009F1055">
        <w:t xml:space="preserve"> pas comment </w:t>
      </w:r>
      <w:r>
        <w:t>c</w:t>
      </w:r>
      <w:r w:rsidRPr="009F1055">
        <w:t>es conditions</w:t>
      </w:r>
      <w:r>
        <w:t xml:space="preserve"> </w:t>
      </w:r>
      <w:bookmarkStart w:id="0" w:name="_Hlk152749806"/>
      <w:r>
        <w:t>environnantes</w:t>
      </w:r>
      <w:r w:rsidRPr="009F1055">
        <w:t xml:space="preserve"> </w:t>
      </w:r>
      <w:r>
        <w:t xml:space="preserve">d’utilisation et </w:t>
      </w:r>
      <w:r w:rsidRPr="009F1055">
        <w:t xml:space="preserve">de transport de l'emballage </w:t>
      </w:r>
      <w:bookmarkEnd w:id="0"/>
      <w:r w:rsidRPr="009F1055">
        <w:t>doivent être communiquées aux parties concernées pendant le transport</w:t>
      </w:r>
      <w:r w:rsidR="00626E6C">
        <w:t xml:space="preserve">. </w:t>
      </w:r>
      <w:r w:rsidR="00577E8F">
        <w:t>La Belgique voi</w:t>
      </w:r>
      <w:r w:rsidR="009C13C0">
        <w:t>t</w:t>
      </w:r>
      <w:r w:rsidR="00577E8F">
        <w:t xml:space="preserve"> </w:t>
      </w:r>
      <w:r w:rsidRPr="009F1055">
        <w:t>un risque important que les parties concernées par le transport ne soient pas au courant de ces conditions.</w:t>
      </w:r>
    </w:p>
    <w:p w14:paraId="59F806C3" w14:textId="3EDA9454" w:rsidR="002C4413" w:rsidRDefault="002C4413" w:rsidP="002C4413">
      <w:pPr>
        <w:pStyle w:val="SingleTxtG"/>
      </w:pPr>
      <w:r>
        <w:t>4.</w:t>
      </w:r>
      <w:r>
        <w:tab/>
        <w:t>Pour assurer la bonne communication des conditions</w:t>
      </w:r>
      <w:r w:rsidRPr="000165A8">
        <w:t xml:space="preserve"> environnantes d’utilisation et de transport de l'emballage</w:t>
      </w:r>
      <w:r w:rsidRPr="00FE43CD">
        <w:t xml:space="preserve"> </w:t>
      </w:r>
      <w:r>
        <w:t xml:space="preserve">aux </w:t>
      </w:r>
      <w:r w:rsidRPr="00FE43CD">
        <w:t>parties concernées par le transport</w:t>
      </w:r>
      <w:r>
        <w:t xml:space="preserve">, la Belgique avait proposé dans le document </w:t>
      </w:r>
      <w:r w:rsidR="00311E99">
        <w:t xml:space="preserve">informel </w:t>
      </w:r>
      <w:r>
        <w:t>INF</w:t>
      </w:r>
      <w:r w:rsidR="00311E99">
        <w:t>.</w:t>
      </w:r>
      <w:r>
        <w:t xml:space="preserve">8 de la </w:t>
      </w:r>
      <w:r w:rsidR="00C526EA">
        <w:t xml:space="preserve">Réunion commune </w:t>
      </w:r>
      <w:r>
        <w:t>de septembre 2023 d’imposer, pour ces transport</w:t>
      </w:r>
      <w:r w:rsidR="00C526EA">
        <w:t>s</w:t>
      </w:r>
      <w:r>
        <w:t xml:space="preserve"> de piles et batteries au lithium fortement endommagées, une </w:t>
      </w:r>
      <w:r w:rsidRPr="00B713A2">
        <w:t>autorisation des autorités compétentes impliquées dans le transport, au moins pour le transport par rail et par voies navigables intérieures.</w:t>
      </w:r>
      <w:r>
        <w:t xml:space="preserve"> </w:t>
      </w:r>
      <w:r w:rsidRPr="007B3972">
        <w:t xml:space="preserve">De cette manière, l'autorité compétente peut s'assurer que les conditions environnantes d’utilisation et de transport </w:t>
      </w:r>
      <w:r>
        <w:t>applicables</w:t>
      </w:r>
      <w:r w:rsidRPr="007B3972">
        <w:t xml:space="preserve"> sont portées à la connaissance de toutes les parties.</w:t>
      </w:r>
    </w:p>
    <w:p w14:paraId="7625D843" w14:textId="45C3125E" w:rsidR="002C4413" w:rsidRDefault="002C4413" w:rsidP="002C4413">
      <w:pPr>
        <w:pStyle w:val="SingleTxtG"/>
      </w:pPr>
      <w:r>
        <w:t>5.</w:t>
      </w:r>
      <w:r>
        <w:tab/>
        <w:t xml:space="preserve">Cette proposition n’a pas été soutenue par la </w:t>
      </w:r>
      <w:r w:rsidR="000979A6">
        <w:t>R</w:t>
      </w:r>
      <w:r>
        <w:t>éunion commune.</w:t>
      </w:r>
    </w:p>
    <w:p w14:paraId="39C0851B" w14:textId="655B8A37" w:rsidR="002C4413" w:rsidRDefault="002C4413" w:rsidP="002C4413">
      <w:pPr>
        <w:pStyle w:val="SingleTxtG"/>
      </w:pPr>
      <w:r>
        <w:t>6.</w:t>
      </w:r>
      <w:r>
        <w:tab/>
        <w:t>Suite aux discussions tenues pendant la session, la Belgique a alors proposé, dans l</w:t>
      </w:r>
      <w:r w:rsidR="00D87939">
        <w:t xml:space="preserve">e document informel </w:t>
      </w:r>
      <w:r>
        <w:t>INF</w:t>
      </w:r>
      <w:r w:rsidR="00D87939">
        <w:t>.</w:t>
      </w:r>
      <w:r>
        <w:t xml:space="preserve">44, une nouvelle disposition spéciale spécifique aux modes terrestres qui spécifierait que l’expéditeur </w:t>
      </w:r>
      <w:r w:rsidRPr="006B562C">
        <w:t>doit informer le chargeur et le transporteur des conditions environnantes dans lesquelles l’emballage peut être utilisé et transporté conformément à l’instruction d’emballage P911</w:t>
      </w:r>
      <w:r>
        <w:t xml:space="preserve"> ou LP906</w:t>
      </w:r>
      <w:r w:rsidRPr="006B562C">
        <w:t>.</w:t>
      </w:r>
    </w:p>
    <w:p w14:paraId="23C09C99" w14:textId="03D2424A" w:rsidR="002C4413" w:rsidRDefault="002C4413" w:rsidP="002C4413">
      <w:pPr>
        <w:pStyle w:val="SingleTxtG"/>
      </w:pPr>
      <w:r>
        <w:t>7.</w:t>
      </w:r>
      <w:r>
        <w:tab/>
        <w:t>Par analogie avec les d</w:t>
      </w:r>
      <w:r w:rsidRPr="00FA2456">
        <w:t>ispositions additionnelles relatives à la classe 6.2</w:t>
      </w:r>
      <w:r>
        <w:t xml:space="preserve"> prévues au 5.4.1.2.4, l</w:t>
      </w:r>
      <w:r w:rsidR="00614F25">
        <w:t xml:space="preserve">e document informel </w:t>
      </w:r>
      <w:r>
        <w:t>INF</w:t>
      </w:r>
      <w:r w:rsidR="00614F25">
        <w:t>.</w:t>
      </w:r>
      <w:r>
        <w:t xml:space="preserve">44 prévoyait également la mention </w:t>
      </w:r>
      <w:r w:rsidRPr="00ED338C">
        <w:t>d’une personne responsable et son numéro de téléphone dans le document de transport afin de fournir une assistance technique pendant le transport, si nécessaire</w:t>
      </w:r>
      <w:r>
        <w:t>.</w:t>
      </w:r>
    </w:p>
    <w:p w14:paraId="288749F7" w14:textId="7AF67082" w:rsidR="002C4413" w:rsidRDefault="002C4413" w:rsidP="002C4413">
      <w:pPr>
        <w:pStyle w:val="SingleTxtG"/>
      </w:pPr>
      <w:r>
        <w:t>8.</w:t>
      </w:r>
      <w:r>
        <w:tab/>
        <w:t>La Réunion commune a décidé de reprendre l’examen de cette question à la session suivante, sur la base d’un document officiel qui serait soumis par la Belgique.</w:t>
      </w:r>
    </w:p>
    <w:p w14:paraId="692D493E" w14:textId="1B5FC1EE" w:rsidR="002C4413" w:rsidRDefault="002C4413" w:rsidP="002C4413">
      <w:pPr>
        <w:pStyle w:val="HChG"/>
        <w:rPr>
          <w:rFonts w:eastAsia="Calibri"/>
        </w:rPr>
      </w:pPr>
      <w:r>
        <w:rPr>
          <w:rFonts w:eastAsia="Calibri"/>
        </w:rPr>
        <w:tab/>
        <w:t>II.</w:t>
      </w:r>
      <w:r>
        <w:rPr>
          <w:rFonts w:eastAsia="Calibri"/>
        </w:rPr>
        <w:tab/>
      </w:r>
      <w:r w:rsidRPr="00F7084E">
        <w:rPr>
          <w:rFonts w:eastAsia="Calibri"/>
        </w:rPr>
        <w:t>Proposition</w:t>
      </w:r>
    </w:p>
    <w:p w14:paraId="095FB86D" w14:textId="100D71C6" w:rsidR="002C4413" w:rsidRDefault="002C4413" w:rsidP="002C4413">
      <w:pPr>
        <w:pStyle w:val="SingleTxtG"/>
      </w:pPr>
      <w:r>
        <w:t>9.</w:t>
      </w:r>
      <w:r>
        <w:tab/>
        <w:t>Ajouter une nouvelle disposition spéciale au chapitre 3.3 :</w:t>
      </w:r>
    </w:p>
    <w:p w14:paraId="3832EC77" w14:textId="36CCDFCE" w:rsidR="002C4413" w:rsidRPr="00B86E9A" w:rsidRDefault="005E6384" w:rsidP="00B86E9A">
      <w:pPr>
        <w:pStyle w:val="SingleTxtG"/>
        <w:ind w:left="1701"/>
        <w:rPr>
          <w:b/>
          <w:bCs/>
        </w:rPr>
      </w:pPr>
      <w:r w:rsidRPr="00123423">
        <w:t>« </w:t>
      </w:r>
      <w:r w:rsidR="002C4413" w:rsidRPr="00B86E9A">
        <w:rPr>
          <w:b/>
          <w:bCs/>
        </w:rPr>
        <w:t>XXX</w:t>
      </w:r>
      <w:r>
        <w:rPr>
          <w:b/>
          <w:bCs/>
        </w:rPr>
        <w:t xml:space="preserve"> </w:t>
      </w:r>
      <w:r w:rsidR="002C4413" w:rsidRPr="00B86E9A">
        <w:rPr>
          <w:b/>
          <w:bCs/>
        </w:rPr>
        <w:t xml:space="preserve">Pour le transport de piles et batteries endommagées ou défectueuses, dans un emballage ou un grand emballage conforme à l’instruction d’emballage P911 ou LP906, l’expéditeur doit, le cas échéant, informer le chargeur et le transporteur des conditions environnantes dans lesquelles l’emballage ou le grand emballage peut être utilisé et transporté (voir </w:t>
      </w:r>
      <w:r>
        <w:rPr>
          <w:b/>
          <w:bCs/>
        </w:rPr>
        <w:t>paragraphe</w:t>
      </w:r>
      <w:r w:rsidR="002C4413" w:rsidRPr="00B86E9A">
        <w:rPr>
          <w:b/>
          <w:bCs/>
        </w:rPr>
        <w:t xml:space="preserve"> f) des critères d'évaluation de la performance de l'emballage </w:t>
      </w:r>
      <w:r w:rsidR="00324007" w:rsidRPr="00324007">
        <w:rPr>
          <w:b/>
          <w:bCs/>
        </w:rPr>
        <w:t xml:space="preserve">contenus dans la note de bas de page a de l'instruction d'emballage </w:t>
      </w:r>
      <w:r w:rsidR="002C4413" w:rsidRPr="00B86E9A">
        <w:rPr>
          <w:b/>
          <w:bCs/>
        </w:rPr>
        <w:t>P911 (2) ou la LP906 (2)).</w:t>
      </w:r>
    </w:p>
    <w:p w14:paraId="14A653EB" w14:textId="6438BB3C" w:rsidR="002C4413" w:rsidRDefault="002C4413" w:rsidP="00B86E9A">
      <w:pPr>
        <w:pStyle w:val="SingleTxtG"/>
        <w:ind w:left="1701"/>
      </w:pPr>
      <w:r w:rsidRPr="00B86E9A">
        <w:rPr>
          <w:b/>
          <w:bCs/>
        </w:rPr>
        <w:t>Outre les informations relatives à l’expéditeur et au destinataire (voir 5.4.1.1.1 g) et h)), le nom d’une personne responsable et son numéro de téléphone doivent être indiqués dans le document de transport afin de fournir une assistance technique pendant le transport, si nécessaire</w:t>
      </w:r>
      <w:r w:rsidRPr="00123423">
        <w:t>.</w:t>
      </w:r>
      <w:r w:rsidR="005E6384" w:rsidRPr="00123423">
        <w:t> »</w:t>
      </w:r>
    </w:p>
    <w:p w14:paraId="676D8FA1" w14:textId="7CC9D74C" w:rsidR="00D22173" w:rsidRDefault="001246C2" w:rsidP="001246C2">
      <w:pPr>
        <w:pStyle w:val="SingleTxtG"/>
      </w:pPr>
      <w:r w:rsidRPr="001246C2">
        <w:lastRenderedPageBreak/>
        <w:t>10.</w:t>
      </w:r>
      <w:r w:rsidRPr="001246C2">
        <w:tab/>
        <w:t>Dans la colonne (6) du tableau A du chapitre 3.2, pour les Nos ONU 3090, 3091, 3480 et 3481, insérer « xxx ».</w:t>
      </w:r>
    </w:p>
    <w:p w14:paraId="4BEE2B2C" w14:textId="62A9DA8E" w:rsidR="002C4413" w:rsidRDefault="002C4413" w:rsidP="002C4413">
      <w:pPr>
        <w:pStyle w:val="HChG"/>
        <w:rPr>
          <w:rFonts w:eastAsia="Calibri"/>
        </w:rPr>
      </w:pPr>
      <w:r>
        <w:rPr>
          <w:rFonts w:eastAsia="Calibri"/>
        </w:rPr>
        <w:tab/>
        <w:t>III.</w:t>
      </w:r>
      <w:r>
        <w:rPr>
          <w:rFonts w:eastAsia="Calibri"/>
        </w:rPr>
        <w:tab/>
      </w:r>
      <w:r w:rsidRPr="00DF75EF">
        <w:rPr>
          <w:rFonts w:eastAsia="Calibri"/>
        </w:rPr>
        <w:t>Justification</w:t>
      </w:r>
    </w:p>
    <w:p w14:paraId="0AFB17CC" w14:textId="382FA98C" w:rsidR="002C4413" w:rsidRPr="004B02C5" w:rsidRDefault="002C4413" w:rsidP="002C4413">
      <w:pPr>
        <w:pStyle w:val="SingleTxtG"/>
      </w:pPr>
      <w:r>
        <w:t>1</w:t>
      </w:r>
      <w:r w:rsidR="00462B05">
        <w:t>1</w:t>
      </w:r>
      <w:r>
        <w:t>.</w:t>
      </w:r>
      <w:r>
        <w:tab/>
      </w:r>
      <w:r w:rsidR="00462B05">
        <w:t xml:space="preserve">La Belgique a </w:t>
      </w:r>
      <w:r>
        <w:t>été confronté</w:t>
      </w:r>
      <w:r w:rsidR="00241F2F">
        <w:t>e</w:t>
      </w:r>
      <w:r>
        <w:t xml:space="preserve"> à des </w:t>
      </w:r>
      <w:r w:rsidRPr="004B02C5">
        <w:t xml:space="preserve">emballages approuvés selon </w:t>
      </w:r>
      <w:r w:rsidR="002A6C0C" w:rsidRPr="004B02C5">
        <w:t>l</w:t>
      </w:r>
      <w:r w:rsidR="002A6C0C">
        <w:t>'instruction d'emballage</w:t>
      </w:r>
      <w:r w:rsidR="002A6C0C" w:rsidRPr="004B02C5">
        <w:t xml:space="preserve"> </w:t>
      </w:r>
      <w:r w:rsidRPr="004B02C5">
        <w:t xml:space="preserve">P911 </w:t>
      </w:r>
      <w:r>
        <w:t>pour lesquels les</w:t>
      </w:r>
      <w:r w:rsidRPr="004B02C5">
        <w:t xml:space="preserve"> conditions </w:t>
      </w:r>
      <w:r>
        <w:t xml:space="preserve">d’utilisation et de transport </w:t>
      </w:r>
      <w:r w:rsidRPr="004B02C5">
        <w:t>suivantes</w:t>
      </w:r>
      <w:r>
        <w:t xml:space="preserve"> étaient imposées par l’autorité compétente ayant approuvé l’emballage</w:t>
      </w:r>
      <w:r w:rsidR="002A6C0C">
        <w:t xml:space="preserve"> </w:t>
      </w:r>
      <w:r w:rsidRPr="004B02C5">
        <w:t>:</w:t>
      </w:r>
    </w:p>
    <w:p w14:paraId="5DCC944C" w14:textId="0C31BE26" w:rsidR="002C4413" w:rsidRDefault="002C4413" w:rsidP="002C4413">
      <w:pPr>
        <w:pStyle w:val="SingleTxtG"/>
      </w:pPr>
      <w:r>
        <w:t>-</w:t>
      </w:r>
      <w:r>
        <w:tab/>
      </w:r>
      <w:r w:rsidRPr="004B02C5">
        <w:t>Nécessité d'un espace libre autour de l'emballage pour que les matériaux qui se trouvent à côté soient protégés de la température extérieure de l'emballage (100 °C)</w:t>
      </w:r>
      <w:r w:rsidR="00ED6721">
        <w:t> ;</w:t>
      </w:r>
    </w:p>
    <w:p w14:paraId="0C620160" w14:textId="6B50F639" w:rsidR="002C4413" w:rsidRPr="004B02C5" w:rsidRDefault="002C4413" w:rsidP="002C4413">
      <w:pPr>
        <w:pStyle w:val="SingleTxtG"/>
      </w:pPr>
      <w:r>
        <w:t>-</w:t>
      </w:r>
      <w:r>
        <w:tab/>
        <w:t>Nécessité de placer les colis à un endroit facilement accessible</w:t>
      </w:r>
      <w:r w:rsidR="00ED6721">
        <w:t> ;</w:t>
      </w:r>
    </w:p>
    <w:p w14:paraId="26DB8A95" w14:textId="6EB641F8" w:rsidR="002C4413" w:rsidRPr="004B02C5" w:rsidRDefault="002C4413" w:rsidP="002C4413">
      <w:pPr>
        <w:pStyle w:val="SingleTxtG"/>
      </w:pPr>
      <w:r>
        <w:t>-</w:t>
      </w:r>
      <w:r>
        <w:tab/>
      </w:r>
      <w:r w:rsidRPr="004B02C5">
        <w:t>Transport dans un moyen de transport suffisamment ventilé pour permettre l'évacuation des fumées et des éventuels composants toxiques, inflammables ou asphyxiants.</w:t>
      </w:r>
    </w:p>
    <w:p w14:paraId="4F602D47" w14:textId="354C7439" w:rsidR="002C4413" w:rsidRPr="000138C5" w:rsidRDefault="00791191" w:rsidP="002C4413">
      <w:pPr>
        <w:pStyle w:val="SingleTxtG"/>
      </w:pPr>
      <w:r>
        <w:t>1</w:t>
      </w:r>
      <w:r w:rsidR="00ED6721">
        <w:t>2</w:t>
      </w:r>
      <w:r>
        <w:t>.</w:t>
      </w:r>
      <w:r>
        <w:tab/>
      </w:r>
      <w:r w:rsidR="002C4413" w:rsidRPr="000138C5">
        <w:t>La proposition de la Belgique vise à attirer l’attention sur la nécessité de communiquer ces exigences à tous les intervenants.</w:t>
      </w:r>
    </w:p>
    <w:p w14:paraId="1F446ED7" w14:textId="723B78DA" w:rsidR="00B2529A" w:rsidRDefault="00791191" w:rsidP="002C4413">
      <w:pPr>
        <w:pStyle w:val="SingleTxtG"/>
      </w:pPr>
      <w:r>
        <w:t>1</w:t>
      </w:r>
      <w:r w:rsidR="00ED6721">
        <w:t>3</w:t>
      </w:r>
      <w:r>
        <w:t>.</w:t>
      </w:r>
      <w:r>
        <w:tab/>
      </w:r>
      <w:r w:rsidR="002C4413" w:rsidRPr="000138C5">
        <w:t xml:space="preserve">En outre, </w:t>
      </w:r>
      <w:r w:rsidR="00E5000A" w:rsidRPr="000138C5">
        <w:t xml:space="preserve">la Belgique </w:t>
      </w:r>
      <w:r w:rsidR="002C4413" w:rsidRPr="000138C5">
        <w:t>estim</w:t>
      </w:r>
      <w:r w:rsidR="00E5000A">
        <w:t>e</w:t>
      </w:r>
      <w:r w:rsidR="002C4413" w:rsidRPr="000138C5">
        <w:t xml:space="preserve"> </w:t>
      </w:r>
      <w:r w:rsidR="002C4413">
        <w:t xml:space="preserve">qu’un </w:t>
      </w:r>
      <w:r w:rsidR="002C4413" w:rsidRPr="003A33C1">
        <w:t xml:space="preserve">phénomène thermique et </w:t>
      </w:r>
      <w:r w:rsidR="002C4413">
        <w:t>d</w:t>
      </w:r>
      <w:r w:rsidR="002C4413" w:rsidRPr="003A33C1">
        <w:t>es émissions de gaz ou de fumée ne sont pas exclus pendant le transport</w:t>
      </w:r>
      <w:r w:rsidR="002C4413">
        <w:t xml:space="preserve"> et </w:t>
      </w:r>
      <w:r w:rsidR="002C4413" w:rsidRPr="005C2B4E">
        <w:t>cela peut entraîner de graves perturbations du trafic. La mention d’une personne de contact dans le document de transport vise à réagir de manière appropriée dans ce cas et à atténuer les problèmes survenant pendant le transport.</w:t>
      </w:r>
    </w:p>
    <w:p w14:paraId="33D971FC" w14:textId="37F6A84A" w:rsidR="00791191" w:rsidRPr="00791191" w:rsidRDefault="00791191" w:rsidP="00791191">
      <w:pPr>
        <w:spacing w:before="240"/>
        <w:jc w:val="center"/>
        <w:rPr>
          <w:u w:val="single"/>
        </w:rPr>
      </w:pPr>
      <w:r>
        <w:rPr>
          <w:u w:val="single"/>
        </w:rPr>
        <w:tab/>
      </w:r>
      <w:r>
        <w:rPr>
          <w:u w:val="single"/>
        </w:rPr>
        <w:tab/>
      </w:r>
      <w:r>
        <w:rPr>
          <w:u w:val="single"/>
        </w:rPr>
        <w:tab/>
      </w:r>
    </w:p>
    <w:sectPr w:rsidR="00791191" w:rsidRPr="00791191" w:rsidSect="00086C86">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1B96" w14:textId="77777777" w:rsidR="0032516E" w:rsidRDefault="0032516E" w:rsidP="00F95C08">
      <w:pPr>
        <w:spacing w:line="240" w:lineRule="auto"/>
      </w:pPr>
    </w:p>
  </w:endnote>
  <w:endnote w:type="continuationSeparator" w:id="0">
    <w:p w14:paraId="4825764A" w14:textId="77777777" w:rsidR="0032516E" w:rsidRPr="00AC3823" w:rsidRDefault="0032516E" w:rsidP="00AC3823">
      <w:pPr>
        <w:pStyle w:val="Pieddepage"/>
      </w:pPr>
    </w:p>
  </w:endnote>
  <w:endnote w:type="continuationNotice" w:id="1">
    <w:p w14:paraId="59CE4C2F" w14:textId="77777777" w:rsidR="0032516E" w:rsidRDefault="003251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79FE" w14:textId="77777777" w:rsidR="00086C86" w:rsidRPr="00086C86" w:rsidRDefault="00086C86" w:rsidP="00086C86">
    <w:pPr>
      <w:pStyle w:val="Pieddepage"/>
      <w:tabs>
        <w:tab w:val="right" w:pos="9638"/>
      </w:tabs>
      <w:rPr>
        <w:sz w:val="18"/>
      </w:rPr>
    </w:pPr>
    <w:r w:rsidRPr="00086C86">
      <w:rPr>
        <w:b/>
        <w:sz w:val="18"/>
      </w:rPr>
      <w:fldChar w:fldCharType="begin"/>
    </w:r>
    <w:r w:rsidRPr="00086C86">
      <w:rPr>
        <w:b/>
        <w:sz w:val="18"/>
      </w:rPr>
      <w:instrText xml:space="preserve"> PAGE  \* MERGEFORMAT </w:instrText>
    </w:r>
    <w:r w:rsidRPr="00086C86">
      <w:rPr>
        <w:b/>
        <w:sz w:val="18"/>
      </w:rPr>
      <w:fldChar w:fldCharType="separate"/>
    </w:r>
    <w:r w:rsidRPr="00086C86">
      <w:rPr>
        <w:b/>
        <w:noProof/>
        <w:sz w:val="18"/>
      </w:rPr>
      <w:t>2</w:t>
    </w:r>
    <w:r w:rsidRPr="00086C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869E" w14:textId="77777777" w:rsidR="00086C86" w:rsidRPr="00086C86" w:rsidRDefault="00086C86" w:rsidP="00086C86">
    <w:pPr>
      <w:pStyle w:val="Pieddepage"/>
      <w:tabs>
        <w:tab w:val="right" w:pos="9638"/>
      </w:tabs>
      <w:rPr>
        <w:b/>
        <w:sz w:val="18"/>
      </w:rPr>
    </w:pPr>
    <w:r>
      <w:tab/>
    </w:r>
    <w:r w:rsidRPr="00086C86">
      <w:rPr>
        <w:b/>
        <w:sz w:val="18"/>
      </w:rPr>
      <w:fldChar w:fldCharType="begin"/>
    </w:r>
    <w:r w:rsidRPr="00086C86">
      <w:rPr>
        <w:b/>
        <w:sz w:val="18"/>
      </w:rPr>
      <w:instrText xml:space="preserve"> PAGE  \* MERGEFORMAT </w:instrText>
    </w:r>
    <w:r w:rsidRPr="00086C86">
      <w:rPr>
        <w:b/>
        <w:sz w:val="18"/>
      </w:rPr>
      <w:fldChar w:fldCharType="separate"/>
    </w:r>
    <w:r w:rsidRPr="00086C86">
      <w:rPr>
        <w:b/>
        <w:noProof/>
        <w:sz w:val="18"/>
      </w:rPr>
      <w:t>3</w:t>
    </w:r>
    <w:r w:rsidRPr="00086C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88DD" w14:textId="2032C942" w:rsidR="000D3EE9" w:rsidRPr="00B72A3B" w:rsidRDefault="00B72A3B" w:rsidP="00B72A3B">
    <w:pPr>
      <w:pStyle w:val="Pieddepage"/>
      <w:tabs>
        <w:tab w:val="left" w:pos="6520"/>
        <w:tab w:val="right" w:pos="9638"/>
      </w:tabs>
      <w:spacing w:before="120"/>
      <w:rPr>
        <w:sz w:val="20"/>
      </w:rPr>
    </w:pPr>
    <w:r>
      <w:rPr>
        <w:sz w:val="20"/>
      </w:rPr>
      <w:t>GE.24-03557  (F)</w:t>
    </w:r>
    <w:bookmarkStart w:id="1" w:name="_GoBack"/>
    <w:bookmarkEnd w:id="1"/>
    <w:r>
      <w:rPr>
        <w:sz w:val="20"/>
      </w:rPr>
      <w:tab/>
    </w:r>
    <w:r w:rsidRPr="00B72A3B">
      <w:rPr>
        <w:noProof/>
        <w:sz w:val="20"/>
        <w:lang w:eastAsia="fr-CH"/>
      </w:rPr>
      <w:drawing>
        <wp:inline distT="0" distB="0" distL="0" distR="0" wp14:anchorId="0EE61376" wp14:editId="2B855662">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27AED9A" wp14:editId="5628E252">
          <wp:extent cx="641350" cy="6413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4AAC" w14:textId="77777777" w:rsidR="0032516E" w:rsidRPr="00AC3823" w:rsidRDefault="0032516E" w:rsidP="00AC3823">
      <w:pPr>
        <w:pStyle w:val="Pieddepage"/>
        <w:tabs>
          <w:tab w:val="right" w:pos="2155"/>
        </w:tabs>
        <w:spacing w:after="80" w:line="240" w:lineRule="atLeast"/>
        <w:ind w:left="680"/>
        <w:rPr>
          <w:u w:val="single"/>
        </w:rPr>
      </w:pPr>
      <w:r>
        <w:rPr>
          <w:u w:val="single"/>
        </w:rPr>
        <w:tab/>
      </w:r>
    </w:p>
  </w:footnote>
  <w:footnote w:type="continuationSeparator" w:id="0">
    <w:p w14:paraId="5DF780FF" w14:textId="77777777" w:rsidR="0032516E" w:rsidRPr="00AC3823" w:rsidRDefault="0032516E" w:rsidP="00AC3823">
      <w:pPr>
        <w:pStyle w:val="Pieddepage"/>
        <w:tabs>
          <w:tab w:val="right" w:pos="2155"/>
        </w:tabs>
        <w:spacing w:after="80" w:line="240" w:lineRule="atLeast"/>
        <w:ind w:left="680"/>
        <w:rPr>
          <w:u w:val="single"/>
        </w:rPr>
      </w:pPr>
      <w:r>
        <w:rPr>
          <w:u w:val="single"/>
        </w:rPr>
        <w:tab/>
      </w:r>
    </w:p>
  </w:footnote>
  <w:footnote w:type="continuationNotice" w:id="1">
    <w:p w14:paraId="1383171D" w14:textId="77777777" w:rsidR="0032516E" w:rsidRPr="00AC3823" w:rsidRDefault="0032516E">
      <w:pPr>
        <w:spacing w:line="240" w:lineRule="auto"/>
        <w:rPr>
          <w:sz w:val="2"/>
          <w:szCs w:val="2"/>
        </w:rPr>
      </w:pPr>
    </w:p>
  </w:footnote>
  <w:footnote w:id="2">
    <w:p w14:paraId="2AC1E701" w14:textId="59229AB2" w:rsidR="004B254B" w:rsidRPr="004B254B" w:rsidRDefault="004B254B">
      <w:pPr>
        <w:pStyle w:val="Notedebasdepage"/>
      </w:pPr>
      <w:r>
        <w:rPr>
          <w:rStyle w:val="Appelnotedebasdep"/>
        </w:rPr>
        <w:tab/>
      </w:r>
      <w:r w:rsidRPr="004B254B">
        <w:rPr>
          <w:rStyle w:val="Appelnotedebasdep"/>
          <w:sz w:val="20"/>
          <w:vertAlign w:val="baseline"/>
        </w:rPr>
        <w:t>*</w:t>
      </w:r>
      <w:r>
        <w:rPr>
          <w:rStyle w:val="Appelnotedebasdep"/>
          <w:sz w:val="20"/>
          <w:vertAlign w:val="baseline"/>
        </w:rPr>
        <w:tab/>
      </w:r>
      <w:r w:rsidR="00323229" w:rsidRPr="00BC6DE9">
        <w:rPr>
          <w:szCs w:val="18"/>
        </w:rPr>
        <w:t>A/78/6 (Sect.20), tableau 20.5.</w:t>
      </w:r>
    </w:p>
  </w:footnote>
  <w:footnote w:id="3">
    <w:p w14:paraId="05740565" w14:textId="040F3DEC" w:rsidR="002C15BA" w:rsidRPr="002C15BA" w:rsidRDefault="002C15BA">
      <w:pPr>
        <w:pStyle w:val="Notedebasdepage"/>
      </w:pPr>
      <w:r>
        <w:rPr>
          <w:rStyle w:val="Appelnotedebasdep"/>
        </w:rPr>
        <w:tab/>
      </w:r>
      <w:r w:rsidRPr="002C15BA">
        <w:rPr>
          <w:rStyle w:val="Appelnotedebasdep"/>
          <w:sz w:val="20"/>
          <w:vertAlign w:val="baseline"/>
        </w:rPr>
        <w:t>**</w:t>
      </w:r>
      <w:r>
        <w:rPr>
          <w:rStyle w:val="Appelnotedebasdep"/>
          <w:sz w:val="20"/>
          <w:vertAlign w:val="baseline"/>
        </w:rPr>
        <w:tab/>
      </w:r>
      <w:r w:rsidRPr="00BC6DE9">
        <w:rPr>
          <w:szCs w:val="18"/>
        </w:rPr>
        <w:t>Diffusé par l'Organisation inter-gouvernementale pour les transports internationaux ferroviaires (OTIF) sous la cote OTIF/RID/RC/2024/2</w:t>
      </w:r>
      <w:r>
        <w:rPr>
          <w:szCs w:val="18"/>
        </w:rPr>
        <w:t>7</w:t>
      </w:r>
      <w:r w:rsidRPr="00BC6DE9">
        <w:rPr>
          <w:szCs w:val="18"/>
        </w:rPr>
        <w:t>.</w:t>
      </w:r>
    </w:p>
  </w:footnote>
  <w:footnote w:id="4">
    <w:p w14:paraId="63BEFAEE" w14:textId="67123D48" w:rsidR="00260F61" w:rsidRPr="00260F61" w:rsidRDefault="00260F61">
      <w:pPr>
        <w:pStyle w:val="Notedebasdepage"/>
      </w:pPr>
      <w:r>
        <w:rPr>
          <w:rStyle w:val="Appelnotedebasdep"/>
        </w:rPr>
        <w:tab/>
      </w:r>
      <w:r w:rsidRPr="00260F61">
        <w:rPr>
          <w:rStyle w:val="Appelnotedebasdep"/>
          <w:sz w:val="20"/>
          <w:vertAlign w:val="baseline"/>
        </w:rPr>
        <w:t>***</w:t>
      </w:r>
      <w:r>
        <w:rPr>
          <w:rStyle w:val="Appelnotedebasdep"/>
          <w:sz w:val="20"/>
          <w:vertAlign w:val="baseline"/>
        </w:rPr>
        <w:tab/>
      </w:r>
      <w:r w:rsidR="00A471F9">
        <w:t xml:space="preserve">Le présent </w:t>
      </w:r>
      <w:r w:rsidR="00F15030">
        <w:t xml:space="preserve">document a été soumis tardivement aux services </w:t>
      </w:r>
      <w:r w:rsidR="00026E03">
        <w:t xml:space="preserve">de conférence sans l’explication requise au paragraphe 8 de la résolution </w:t>
      </w:r>
      <w:r w:rsidR="00414AC2">
        <w:t>53/208 B 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C26F" w14:textId="77777777" w:rsidR="00086C86" w:rsidRPr="00086C86" w:rsidRDefault="00A82C23">
    <w:pPr>
      <w:pStyle w:val="En-tte"/>
    </w:pPr>
    <w:r>
      <w:fldChar w:fldCharType="begin"/>
    </w:r>
    <w:r>
      <w:instrText xml:space="preserve"> TITLE  \* MERGEFORMAT </w:instrText>
    </w:r>
    <w:r>
      <w:fldChar w:fldCharType="separate"/>
    </w:r>
    <w:r w:rsidR="00086C86">
      <w:t>ECE/TRANS/WP.15/AC.1/2024/27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A567" w14:textId="77777777" w:rsidR="00086C86" w:rsidRPr="00086C86" w:rsidRDefault="00A82C23" w:rsidP="00086C86">
    <w:pPr>
      <w:pStyle w:val="En-tte"/>
      <w:jc w:val="right"/>
    </w:pPr>
    <w:r>
      <w:fldChar w:fldCharType="begin"/>
    </w:r>
    <w:r>
      <w:instrText xml:space="preserve"> TITLE  \* MERGEFORMAT </w:instrText>
    </w:r>
    <w:r>
      <w:fldChar w:fldCharType="separate"/>
    </w:r>
    <w:r w:rsidR="00086C86">
      <w:t>ECE/TRANS/WP.15/AC.1/2024/27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9B32AF"/>
    <w:multiLevelType w:val="hybridMultilevel"/>
    <w:tmpl w:val="64489BE6"/>
    <w:lvl w:ilvl="0" w:tplc="24484D5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0512B5A"/>
    <w:multiLevelType w:val="hybridMultilevel"/>
    <w:tmpl w:val="54BC1F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78373527">
    <w:abstractNumId w:val="14"/>
  </w:num>
  <w:num w:numId="2" w16cid:durableId="1949123000">
    <w:abstractNumId w:val="12"/>
  </w:num>
  <w:num w:numId="3" w16cid:durableId="1133404836">
    <w:abstractNumId w:val="10"/>
  </w:num>
  <w:num w:numId="4" w16cid:durableId="1330524893">
    <w:abstractNumId w:val="8"/>
  </w:num>
  <w:num w:numId="5" w16cid:durableId="637303360">
    <w:abstractNumId w:val="3"/>
  </w:num>
  <w:num w:numId="6" w16cid:durableId="1775053397">
    <w:abstractNumId w:val="2"/>
  </w:num>
  <w:num w:numId="7" w16cid:durableId="1494028824">
    <w:abstractNumId w:val="1"/>
  </w:num>
  <w:num w:numId="8" w16cid:durableId="806046379">
    <w:abstractNumId w:val="0"/>
  </w:num>
  <w:num w:numId="9" w16cid:durableId="1114666244">
    <w:abstractNumId w:val="9"/>
  </w:num>
  <w:num w:numId="10" w16cid:durableId="1205170890">
    <w:abstractNumId w:val="7"/>
  </w:num>
  <w:num w:numId="11" w16cid:durableId="143817267">
    <w:abstractNumId w:val="6"/>
  </w:num>
  <w:num w:numId="12" w16cid:durableId="427194861">
    <w:abstractNumId w:val="5"/>
  </w:num>
  <w:num w:numId="13" w16cid:durableId="87582430">
    <w:abstractNumId w:val="4"/>
  </w:num>
  <w:num w:numId="14" w16cid:durableId="1618491604">
    <w:abstractNumId w:val="13"/>
  </w:num>
  <w:num w:numId="15" w16cid:durableId="1812945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86C86"/>
    <w:rsid w:val="00004B3A"/>
    <w:rsid w:val="000054DF"/>
    <w:rsid w:val="0001207F"/>
    <w:rsid w:val="00016BE3"/>
    <w:rsid w:val="00017F94"/>
    <w:rsid w:val="00023842"/>
    <w:rsid w:val="00026E03"/>
    <w:rsid w:val="000334F9"/>
    <w:rsid w:val="00034612"/>
    <w:rsid w:val="0004639C"/>
    <w:rsid w:val="00046FAD"/>
    <w:rsid w:val="00055874"/>
    <w:rsid w:val="00073CB0"/>
    <w:rsid w:val="0007796D"/>
    <w:rsid w:val="00083BDC"/>
    <w:rsid w:val="0008699F"/>
    <w:rsid w:val="00086C86"/>
    <w:rsid w:val="000942EE"/>
    <w:rsid w:val="000979A6"/>
    <w:rsid w:val="000A52BF"/>
    <w:rsid w:val="000B7790"/>
    <w:rsid w:val="000D3EE9"/>
    <w:rsid w:val="000D62F3"/>
    <w:rsid w:val="000E6FA7"/>
    <w:rsid w:val="00111F2F"/>
    <w:rsid w:val="00123423"/>
    <w:rsid w:val="001246C2"/>
    <w:rsid w:val="001433FD"/>
    <w:rsid w:val="0014365E"/>
    <w:rsid w:val="001541D3"/>
    <w:rsid w:val="00156B77"/>
    <w:rsid w:val="00176178"/>
    <w:rsid w:val="00177140"/>
    <w:rsid w:val="001A2A0C"/>
    <w:rsid w:val="001A7412"/>
    <w:rsid w:val="001D400F"/>
    <w:rsid w:val="001E514B"/>
    <w:rsid w:val="001F525A"/>
    <w:rsid w:val="00203852"/>
    <w:rsid w:val="00213A01"/>
    <w:rsid w:val="00223272"/>
    <w:rsid w:val="00240333"/>
    <w:rsid w:val="00241F2F"/>
    <w:rsid w:val="00244ABF"/>
    <w:rsid w:val="0024779E"/>
    <w:rsid w:val="00260F61"/>
    <w:rsid w:val="0027410B"/>
    <w:rsid w:val="002832AC"/>
    <w:rsid w:val="002A6C0C"/>
    <w:rsid w:val="002C15BA"/>
    <w:rsid w:val="002C4413"/>
    <w:rsid w:val="002D33DE"/>
    <w:rsid w:val="002D7C93"/>
    <w:rsid w:val="002E4B3E"/>
    <w:rsid w:val="00311E99"/>
    <w:rsid w:val="00323229"/>
    <w:rsid w:val="00324007"/>
    <w:rsid w:val="0032516E"/>
    <w:rsid w:val="0037241C"/>
    <w:rsid w:val="003819FF"/>
    <w:rsid w:val="003E6B62"/>
    <w:rsid w:val="00414AC2"/>
    <w:rsid w:val="00441C3B"/>
    <w:rsid w:val="00446B0A"/>
    <w:rsid w:val="00446FE5"/>
    <w:rsid w:val="00452396"/>
    <w:rsid w:val="00462B05"/>
    <w:rsid w:val="00471288"/>
    <w:rsid w:val="0049687C"/>
    <w:rsid w:val="004B254B"/>
    <w:rsid w:val="004E468C"/>
    <w:rsid w:val="004E739B"/>
    <w:rsid w:val="00516935"/>
    <w:rsid w:val="00526191"/>
    <w:rsid w:val="00530075"/>
    <w:rsid w:val="005316B0"/>
    <w:rsid w:val="00546F3C"/>
    <w:rsid w:val="005505B7"/>
    <w:rsid w:val="005645C2"/>
    <w:rsid w:val="005658B3"/>
    <w:rsid w:val="00573BE5"/>
    <w:rsid w:val="00577E8F"/>
    <w:rsid w:val="00586ED3"/>
    <w:rsid w:val="00596AA9"/>
    <w:rsid w:val="005A1BD3"/>
    <w:rsid w:val="005B4D0F"/>
    <w:rsid w:val="005E6384"/>
    <w:rsid w:val="00614F25"/>
    <w:rsid w:val="00626E6C"/>
    <w:rsid w:val="00640FAA"/>
    <w:rsid w:val="006719E9"/>
    <w:rsid w:val="00690ADF"/>
    <w:rsid w:val="006A6C65"/>
    <w:rsid w:val="006C1152"/>
    <w:rsid w:val="006C5236"/>
    <w:rsid w:val="006F5A92"/>
    <w:rsid w:val="00703D0F"/>
    <w:rsid w:val="00706363"/>
    <w:rsid w:val="007158BB"/>
    <w:rsid w:val="0071601D"/>
    <w:rsid w:val="00722A8B"/>
    <w:rsid w:val="0075410D"/>
    <w:rsid w:val="007628A0"/>
    <w:rsid w:val="00786CE3"/>
    <w:rsid w:val="00791191"/>
    <w:rsid w:val="007A62E6"/>
    <w:rsid w:val="007B0C92"/>
    <w:rsid w:val="007B6AFC"/>
    <w:rsid w:val="007D660E"/>
    <w:rsid w:val="0080684C"/>
    <w:rsid w:val="0080783C"/>
    <w:rsid w:val="008101C4"/>
    <w:rsid w:val="008204DA"/>
    <w:rsid w:val="008535AD"/>
    <w:rsid w:val="00866814"/>
    <w:rsid w:val="0087081D"/>
    <w:rsid w:val="00871C75"/>
    <w:rsid w:val="0087353F"/>
    <w:rsid w:val="008767E8"/>
    <w:rsid w:val="008776DC"/>
    <w:rsid w:val="00883605"/>
    <w:rsid w:val="008904F5"/>
    <w:rsid w:val="008A6855"/>
    <w:rsid w:val="008B7088"/>
    <w:rsid w:val="008D0071"/>
    <w:rsid w:val="008E6043"/>
    <w:rsid w:val="00904630"/>
    <w:rsid w:val="00907611"/>
    <w:rsid w:val="009107CE"/>
    <w:rsid w:val="009248D9"/>
    <w:rsid w:val="00961E7B"/>
    <w:rsid w:val="009705C8"/>
    <w:rsid w:val="00987FB2"/>
    <w:rsid w:val="009A39EF"/>
    <w:rsid w:val="009C13C0"/>
    <w:rsid w:val="009C1CF4"/>
    <w:rsid w:val="009C5244"/>
    <w:rsid w:val="009D2926"/>
    <w:rsid w:val="009F02C9"/>
    <w:rsid w:val="00A2107C"/>
    <w:rsid w:val="00A30353"/>
    <w:rsid w:val="00A322F0"/>
    <w:rsid w:val="00A46162"/>
    <w:rsid w:val="00A471F9"/>
    <w:rsid w:val="00A604D4"/>
    <w:rsid w:val="00A62D91"/>
    <w:rsid w:val="00A90D54"/>
    <w:rsid w:val="00AA113A"/>
    <w:rsid w:val="00AA3A15"/>
    <w:rsid w:val="00AA7B9F"/>
    <w:rsid w:val="00AC3823"/>
    <w:rsid w:val="00AE323C"/>
    <w:rsid w:val="00AF774C"/>
    <w:rsid w:val="00B00181"/>
    <w:rsid w:val="00B00B0D"/>
    <w:rsid w:val="00B124C5"/>
    <w:rsid w:val="00B247C1"/>
    <w:rsid w:val="00B2529A"/>
    <w:rsid w:val="00B40927"/>
    <w:rsid w:val="00B50E25"/>
    <w:rsid w:val="00B639FA"/>
    <w:rsid w:val="00B64918"/>
    <w:rsid w:val="00B72A3B"/>
    <w:rsid w:val="00B765F7"/>
    <w:rsid w:val="00B76D2C"/>
    <w:rsid w:val="00B86E9A"/>
    <w:rsid w:val="00BA0CA9"/>
    <w:rsid w:val="00BE739C"/>
    <w:rsid w:val="00C02897"/>
    <w:rsid w:val="00C1626B"/>
    <w:rsid w:val="00C34B34"/>
    <w:rsid w:val="00C526EA"/>
    <w:rsid w:val="00C66A47"/>
    <w:rsid w:val="00C7616F"/>
    <w:rsid w:val="00C7638E"/>
    <w:rsid w:val="00CA70C2"/>
    <w:rsid w:val="00CB16B5"/>
    <w:rsid w:val="00CE0608"/>
    <w:rsid w:val="00CF4DAE"/>
    <w:rsid w:val="00D1441F"/>
    <w:rsid w:val="00D22173"/>
    <w:rsid w:val="00D3439C"/>
    <w:rsid w:val="00D44CF3"/>
    <w:rsid w:val="00D44D8A"/>
    <w:rsid w:val="00D46640"/>
    <w:rsid w:val="00D46C8C"/>
    <w:rsid w:val="00D87939"/>
    <w:rsid w:val="00DA053B"/>
    <w:rsid w:val="00DA47FE"/>
    <w:rsid w:val="00DB1831"/>
    <w:rsid w:val="00DD3BFD"/>
    <w:rsid w:val="00DE239D"/>
    <w:rsid w:val="00DF431C"/>
    <w:rsid w:val="00DF6678"/>
    <w:rsid w:val="00E368F7"/>
    <w:rsid w:val="00E428C8"/>
    <w:rsid w:val="00E5000A"/>
    <w:rsid w:val="00E759DF"/>
    <w:rsid w:val="00E958C4"/>
    <w:rsid w:val="00EB78FC"/>
    <w:rsid w:val="00EC031B"/>
    <w:rsid w:val="00ED5680"/>
    <w:rsid w:val="00ED6721"/>
    <w:rsid w:val="00EF2E22"/>
    <w:rsid w:val="00F0592C"/>
    <w:rsid w:val="00F06ED4"/>
    <w:rsid w:val="00F15030"/>
    <w:rsid w:val="00F43289"/>
    <w:rsid w:val="00F6536A"/>
    <w:rsid w:val="00F660DF"/>
    <w:rsid w:val="00F70E85"/>
    <w:rsid w:val="00F95C08"/>
    <w:rsid w:val="00FD1581"/>
    <w:rsid w:val="00FF23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7DB5"/>
  <w15:docId w15:val="{B5A07B5E-50F4-40E4-8032-E92883DF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2C4413"/>
    <w:pPr>
      <w:spacing w:after="160" w:line="259" w:lineRule="auto"/>
      <w:ind w:left="720"/>
      <w:contextualSpacing/>
    </w:pPr>
    <w:rPr>
      <w:rFonts w:asciiTheme="minorHAnsi" w:eastAsiaTheme="minorHAnsi" w:hAnsiTheme="minorHAnsi" w:cstheme="minorBidi"/>
      <w:sz w:val="22"/>
      <w:szCs w:val="22"/>
      <w:lang w:val="fr-FR" w:eastAsia="en-US"/>
    </w:rPr>
  </w:style>
  <w:style w:type="paragraph" w:styleId="Rvision">
    <w:name w:val="Revision"/>
    <w:hidden/>
    <w:uiPriority w:val="99"/>
    <w:semiHidden/>
    <w:rsid w:val="006F5A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sites/default/files/2023-09/ECE-TRANS-WP15-AC1-2023-GE-inf-44.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sites/default/files/2023-09/ECE-TRANS-WP15-AC1-2023-GE-inf-08e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sites/default/files/2023-06/UN-SCETDG-62-INF09e_0.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UserInfo>
        <DisplayName>Nadiya Dzyubynska</DisplayName>
        <AccountId>453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81307320-C528-4032-AB5A-73B861CDA11F}">
  <ds:schemaRefs>
    <ds:schemaRef ds:uri="http://schemas.microsoft.com/sharepoint/v3/contenttype/forms"/>
  </ds:schemaRefs>
</ds:datastoreItem>
</file>

<file path=customXml/itemProps3.xml><?xml version="1.0" encoding="utf-8"?>
<ds:datastoreItem xmlns:ds="http://schemas.openxmlformats.org/officeDocument/2006/customXml" ds:itemID="{95E4816C-DA02-407B-9F3A-C0025D6647A1}"/>
</file>

<file path=docProps/app.xml><?xml version="1.0" encoding="utf-8"?>
<Properties xmlns="http://schemas.openxmlformats.org/officeDocument/2006/extended-properties" xmlns:vt="http://schemas.openxmlformats.org/officeDocument/2006/docPropsVTypes">
  <Template>TRANS_WP1_24_F.dotm</Template>
  <TotalTime>0</TotalTime>
  <Pages>4</Pages>
  <Words>1092</Words>
  <Characters>6247</Characters>
  <Application>Microsoft Office Word</Application>
  <DocSecurity>0</DocSecurity>
  <Lines>122</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ECE/TRANS/WP.15/AC.1/2024/27</dc:title>
  <dc:subject>FINAL</dc:subject>
  <dc:creator>Alicia DORCA-GARCIA</dc:creator>
  <cp:keywords/>
  <dc:description/>
  <cp:lastModifiedBy>Sandrine Clere</cp:lastModifiedBy>
  <cp:revision>2</cp:revision>
  <cp:lastPrinted>2014-05-14T19:59:00Z</cp:lastPrinted>
  <dcterms:created xsi:type="dcterms:W3CDTF">2024-02-26T12:18:00Z</dcterms:created>
  <dcterms:modified xsi:type="dcterms:W3CDTF">2024-02-26T12:18:00Z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