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8BF9" w14:textId="1F716F9E" w:rsidR="007F5D3F" w:rsidRPr="00A473AE" w:rsidRDefault="005F758C">
      <w:pPr>
        <w:rPr>
          <w:b/>
          <w:bCs/>
          <w:sz w:val="24"/>
          <w:szCs w:val="24"/>
          <w:lang w:val="en-GB"/>
        </w:rPr>
      </w:pPr>
      <w:bookmarkStart w:id="0" w:name="_Hlk160605927"/>
      <w:r w:rsidRPr="00A473AE">
        <w:rPr>
          <w:b/>
          <w:bCs/>
          <w:sz w:val="24"/>
          <w:szCs w:val="24"/>
          <w:lang w:val="en-GB"/>
        </w:rPr>
        <w:t xml:space="preserve">OICA and CLEPA </w:t>
      </w:r>
      <w:r w:rsidR="007F5D3F" w:rsidRPr="00A473AE">
        <w:rPr>
          <w:b/>
          <w:bCs/>
          <w:sz w:val="24"/>
          <w:szCs w:val="24"/>
          <w:lang w:val="en-GB"/>
        </w:rPr>
        <w:t>joint position on</w:t>
      </w:r>
    </w:p>
    <w:p w14:paraId="21956F5A" w14:textId="33D5F4C2" w:rsidR="007F5D3F" w:rsidRPr="00A473AE" w:rsidRDefault="007F5D3F">
      <w:pPr>
        <w:rPr>
          <w:b/>
          <w:bCs/>
          <w:sz w:val="24"/>
          <w:szCs w:val="24"/>
          <w:lang w:val="en-GB"/>
        </w:rPr>
      </w:pPr>
      <w:r w:rsidRPr="00A473AE">
        <w:rPr>
          <w:b/>
          <w:bCs/>
          <w:sz w:val="24"/>
          <w:szCs w:val="24"/>
          <w:lang w:val="en-GB"/>
        </w:rPr>
        <w:t>“Proposal for a new 07 series of amendments to UN Regulation No. 10 (Electromagnetic compatibility)”</w:t>
      </w:r>
    </w:p>
    <w:p w14:paraId="663424BE" w14:textId="51A11E32" w:rsidR="007F5D3F" w:rsidRPr="003A683F" w:rsidRDefault="007F5D3F">
      <w:pPr>
        <w:rPr>
          <w:sz w:val="24"/>
          <w:szCs w:val="24"/>
          <w:lang w:val="en-GB"/>
        </w:rPr>
      </w:pPr>
      <w:r w:rsidRPr="003A683F">
        <w:rPr>
          <w:sz w:val="24"/>
          <w:szCs w:val="24"/>
          <w:lang w:val="en-GB"/>
        </w:rPr>
        <w:t>GRE 90</w:t>
      </w:r>
      <w:r w:rsidRPr="003A683F">
        <w:rPr>
          <w:sz w:val="24"/>
          <w:szCs w:val="24"/>
          <w:vertAlign w:val="superscript"/>
          <w:lang w:val="en-GB"/>
        </w:rPr>
        <w:t>th</w:t>
      </w:r>
      <w:r w:rsidRPr="003A683F">
        <w:rPr>
          <w:sz w:val="24"/>
          <w:szCs w:val="24"/>
          <w:lang w:val="en-GB"/>
        </w:rPr>
        <w:t xml:space="preserve"> session, Geneva, April </w:t>
      </w:r>
      <w:r w:rsidR="00B14458" w:rsidRPr="003A683F">
        <w:rPr>
          <w:sz w:val="24"/>
          <w:szCs w:val="24"/>
          <w:lang w:val="en-GB"/>
        </w:rPr>
        <w:t>29</w:t>
      </w:r>
      <w:r w:rsidRPr="003A683F">
        <w:rPr>
          <w:sz w:val="24"/>
          <w:szCs w:val="24"/>
          <w:vertAlign w:val="superscript"/>
          <w:lang w:val="en-GB"/>
        </w:rPr>
        <w:t>th</w:t>
      </w:r>
      <w:r w:rsidRPr="003A683F">
        <w:rPr>
          <w:sz w:val="24"/>
          <w:szCs w:val="24"/>
          <w:lang w:val="en-GB"/>
        </w:rPr>
        <w:t xml:space="preserve"> – May 3</w:t>
      </w:r>
      <w:r w:rsidRPr="003A683F">
        <w:rPr>
          <w:sz w:val="24"/>
          <w:szCs w:val="24"/>
          <w:vertAlign w:val="superscript"/>
          <w:lang w:val="en-GB"/>
        </w:rPr>
        <w:t>rd</w:t>
      </w:r>
      <w:proofErr w:type="gramStart"/>
      <w:r w:rsidRPr="003A683F">
        <w:rPr>
          <w:sz w:val="24"/>
          <w:szCs w:val="24"/>
          <w:lang w:val="en-GB"/>
        </w:rPr>
        <w:t xml:space="preserve"> 2024</w:t>
      </w:r>
      <w:proofErr w:type="gramEnd"/>
    </w:p>
    <w:p w14:paraId="64C386A9" w14:textId="65F981D8" w:rsidR="007F5D3F" w:rsidRPr="003A683F" w:rsidRDefault="007F5D3F" w:rsidP="007F5D3F">
      <w:pPr>
        <w:pStyle w:val="ListParagraph"/>
        <w:numPr>
          <w:ilvl w:val="0"/>
          <w:numId w:val="3"/>
        </w:numPr>
        <w:spacing w:after="0" w:line="240" w:lineRule="auto"/>
        <w:rPr>
          <w:rFonts w:cstheme="minorHAnsi"/>
          <w:sz w:val="20"/>
          <w:szCs w:val="20"/>
          <w:u w:val="single"/>
          <w:lang w:val="en-GB"/>
        </w:rPr>
      </w:pPr>
      <w:r w:rsidRPr="003A683F">
        <w:rPr>
          <w:rFonts w:cstheme="minorHAnsi"/>
          <w:sz w:val="20"/>
          <w:szCs w:val="20"/>
          <w:u w:val="single"/>
          <w:lang w:val="en-GB"/>
        </w:rPr>
        <w:t xml:space="preserve">Specific requirements in flowcharts </w:t>
      </w:r>
      <w:r w:rsidR="000E1FA6" w:rsidRPr="003A683F">
        <w:rPr>
          <w:rFonts w:cstheme="minorHAnsi"/>
          <w:sz w:val="20"/>
          <w:szCs w:val="20"/>
          <w:u w:val="single"/>
          <w:lang w:val="en-GB"/>
        </w:rPr>
        <w:t xml:space="preserve">introduced for </w:t>
      </w:r>
      <w:r w:rsidR="00F75BA4" w:rsidRPr="003A683F">
        <w:rPr>
          <w:rFonts w:cstheme="minorHAnsi"/>
          <w:sz w:val="20"/>
          <w:szCs w:val="20"/>
          <w:u w:val="single"/>
          <w:lang w:val="en-GB"/>
        </w:rPr>
        <w:t xml:space="preserve">clarifying test </w:t>
      </w:r>
      <w:proofErr w:type="gramStart"/>
      <w:r w:rsidR="00F75BA4" w:rsidRPr="003A683F">
        <w:rPr>
          <w:rFonts w:cstheme="minorHAnsi"/>
          <w:sz w:val="20"/>
          <w:szCs w:val="20"/>
          <w:u w:val="single"/>
          <w:lang w:val="en-GB"/>
        </w:rPr>
        <w:t>selection</w:t>
      </w:r>
      <w:proofErr w:type="gramEnd"/>
      <w:r w:rsidRPr="003A683F">
        <w:rPr>
          <w:rFonts w:cstheme="minorHAnsi"/>
          <w:sz w:val="20"/>
          <w:szCs w:val="20"/>
          <w:u w:val="single"/>
          <w:lang w:val="en-GB"/>
        </w:rPr>
        <w:t xml:space="preserve"> </w:t>
      </w:r>
    </w:p>
    <w:p w14:paraId="14790569" w14:textId="17FB1C94" w:rsidR="007F5D3F" w:rsidRPr="003A683F" w:rsidRDefault="00F86E91" w:rsidP="007F5D3F">
      <w:pPr>
        <w:pStyle w:val="ListParagraph"/>
        <w:rPr>
          <w:rFonts w:cstheme="minorHAnsi"/>
          <w:sz w:val="20"/>
          <w:szCs w:val="20"/>
          <w:lang w:val="en-GB"/>
        </w:rPr>
      </w:pPr>
      <w:r w:rsidRPr="003A683F">
        <w:rPr>
          <w:rFonts w:cstheme="minorHAnsi"/>
          <w:sz w:val="20"/>
          <w:szCs w:val="20"/>
          <w:lang w:val="en-GB"/>
        </w:rPr>
        <w:t>There are specific r</w:t>
      </w:r>
      <w:r w:rsidR="008D24D9" w:rsidRPr="003A683F">
        <w:rPr>
          <w:rFonts w:cstheme="minorHAnsi"/>
          <w:sz w:val="20"/>
          <w:szCs w:val="20"/>
          <w:lang w:val="en-GB"/>
        </w:rPr>
        <w:t xml:space="preserve">equirements relating to the qualifications of the labs which can perform </w:t>
      </w:r>
      <w:r w:rsidR="00EC27B9" w:rsidRPr="003A683F">
        <w:rPr>
          <w:rFonts w:cstheme="minorHAnsi"/>
          <w:sz w:val="20"/>
          <w:szCs w:val="20"/>
          <w:lang w:val="en-GB"/>
        </w:rPr>
        <w:t xml:space="preserve">tests on </w:t>
      </w:r>
      <w:r w:rsidR="00F532C1" w:rsidRPr="003A683F">
        <w:rPr>
          <w:rFonts w:cstheme="minorHAnsi"/>
          <w:sz w:val="20"/>
          <w:szCs w:val="20"/>
          <w:lang w:val="en-GB"/>
        </w:rPr>
        <w:t xml:space="preserve">mode 2 chargers (ICCPDs which allow EVs to be charged from residential power outlets) </w:t>
      </w:r>
      <w:r w:rsidR="008D24D9" w:rsidRPr="003A683F">
        <w:rPr>
          <w:rFonts w:cstheme="minorHAnsi"/>
          <w:sz w:val="20"/>
          <w:szCs w:val="20"/>
          <w:lang w:val="en-GB"/>
        </w:rPr>
        <w:t>in flowcharts in Annexes 4, 11, 12, 13, 15 and 16</w:t>
      </w:r>
      <w:r w:rsidRPr="003A683F">
        <w:rPr>
          <w:rFonts w:cstheme="minorHAnsi"/>
          <w:sz w:val="20"/>
          <w:szCs w:val="20"/>
          <w:lang w:val="en-GB"/>
        </w:rPr>
        <w:t xml:space="preserve">. </w:t>
      </w:r>
    </w:p>
    <w:p w14:paraId="47CCD531" w14:textId="7F4C8698" w:rsidR="008C69BF" w:rsidRPr="003A683F" w:rsidRDefault="004B4649" w:rsidP="00E82FA7">
      <w:pPr>
        <w:ind w:left="1440"/>
        <w:rPr>
          <w:i/>
          <w:iCs/>
          <w:lang w:val="en-GB"/>
        </w:rPr>
      </w:pPr>
      <w:r w:rsidRPr="003A683F">
        <w:rPr>
          <w:i/>
          <w:iCs/>
          <w:vertAlign w:val="superscript"/>
          <w:lang w:val="en-GB"/>
        </w:rPr>
        <w:t xml:space="preserve">1 </w:t>
      </w:r>
      <w:r w:rsidR="008C69BF" w:rsidRPr="003A683F">
        <w:rPr>
          <w:i/>
          <w:iCs/>
          <w:lang w:val="en-GB"/>
        </w:rPr>
        <w:t>IEC 61851-21-</w:t>
      </w:r>
      <w:r w:rsidR="0093517B" w:rsidRPr="003A683F">
        <w:rPr>
          <w:i/>
          <w:iCs/>
          <w:lang w:val="en-GB"/>
        </w:rPr>
        <w:t>2</w:t>
      </w:r>
      <w:r w:rsidR="008C69BF" w:rsidRPr="003A683F">
        <w:rPr>
          <w:i/>
          <w:iCs/>
          <w:lang w:val="en-GB"/>
        </w:rPr>
        <w:t xml:space="preserve"> tests shall be performed by an ISO17025 </w:t>
      </w:r>
      <w:r w:rsidR="00A35A2D" w:rsidRPr="003A683F">
        <w:rPr>
          <w:i/>
          <w:iCs/>
          <w:lang w:val="en-GB"/>
        </w:rPr>
        <w:t xml:space="preserve">accredited </w:t>
      </w:r>
      <w:r w:rsidR="008C69BF" w:rsidRPr="003A683F">
        <w:rPr>
          <w:i/>
          <w:iCs/>
          <w:lang w:val="en-GB"/>
        </w:rPr>
        <w:t xml:space="preserve">laboratory </w:t>
      </w:r>
      <w:r w:rsidR="008C69BF" w:rsidRPr="003A683F">
        <w:rPr>
          <w:i/>
          <w:iCs/>
          <w:u w:val="wavyDouble"/>
          <w:lang w:val="en-GB"/>
        </w:rPr>
        <w:t xml:space="preserve">recognised by any Technical Service designated by the </w:t>
      </w:r>
      <w:proofErr w:type="gramStart"/>
      <w:r w:rsidR="008C69BF" w:rsidRPr="003A683F">
        <w:rPr>
          <w:i/>
          <w:iCs/>
          <w:u w:val="wavyDouble"/>
          <w:lang w:val="en-GB"/>
        </w:rPr>
        <w:t>type</w:t>
      </w:r>
      <w:proofErr w:type="gramEnd"/>
      <w:r w:rsidR="008C69BF" w:rsidRPr="003A683F">
        <w:rPr>
          <w:i/>
          <w:iCs/>
          <w:u w:val="wavyDouble"/>
          <w:lang w:val="en-GB"/>
        </w:rPr>
        <w:t xml:space="preserve"> approval Authority</w:t>
      </w:r>
      <w:r w:rsidR="008C69BF" w:rsidRPr="003A683F">
        <w:rPr>
          <w:i/>
          <w:iCs/>
          <w:lang w:val="en-GB"/>
        </w:rPr>
        <w:t>. The test</w:t>
      </w:r>
      <w:r w:rsidRPr="003A683F">
        <w:rPr>
          <w:i/>
          <w:iCs/>
          <w:lang w:val="en-GB"/>
        </w:rPr>
        <w:t xml:space="preserve"> re</w:t>
      </w:r>
      <w:r w:rsidR="008C69BF" w:rsidRPr="003A683F">
        <w:rPr>
          <w:i/>
          <w:iCs/>
          <w:lang w:val="en-GB"/>
        </w:rPr>
        <w:t>port shall be provided by the vehicle manufacturer as evidence for the vehicle type approval.</w:t>
      </w:r>
    </w:p>
    <w:p w14:paraId="61D1E723" w14:textId="30245B84" w:rsidR="00A80E36" w:rsidRDefault="004A5572" w:rsidP="007F5D3F">
      <w:pPr>
        <w:pStyle w:val="ListParagraph"/>
        <w:rPr>
          <w:rFonts w:cstheme="minorHAnsi"/>
          <w:sz w:val="20"/>
          <w:szCs w:val="20"/>
          <w:lang w:val="en-GB"/>
        </w:rPr>
      </w:pPr>
      <w:r w:rsidRPr="003A683F">
        <w:rPr>
          <w:rFonts w:cstheme="minorHAnsi"/>
          <w:sz w:val="20"/>
          <w:szCs w:val="20"/>
          <w:lang w:val="en-GB"/>
        </w:rPr>
        <w:t xml:space="preserve">OICA and CLEPA </w:t>
      </w:r>
      <w:r w:rsidR="00FD658D" w:rsidRPr="003A683F">
        <w:rPr>
          <w:rFonts w:cstheme="minorHAnsi"/>
          <w:sz w:val="20"/>
          <w:szCs w:val="20"/>
          <w:lang w:val="en-GB"/>
        </w:rPr>
        <w:t>oppose</w:t>
      </w:r>
      <w:r w:rsidR="002A50FF" w:rsidRPr="003A683F">
        <w:rPr>
          <w:rFonts w:cstheme="minorHAnsi"/>
          <w:sz w:val="20"/>
          <w:szCs w:val="20"/>
          <w:lang w:val="en-GB"/>
        </w:rPr>
        <w:t xml:space="preserve"> </w:t>
      </w:r>
      <w:r w:rsidRPr="003A683F">
        <w:rPr>
          <w:rFonts w:cstheme="minorHAnsi"/>
          <w:sz w:val="20"/>
          <w:szCs w:val="20"/>
          <w:lang w:val="en-GB"/>
        </w:rPr>
        <w:t xml:space="preserve">the dual </w:t>
      </w:r>
      <w:r w:rsidR="00A35A2D" w:rsidRPr="003A683F">
        <w:rPr>
          <w:rFonts w:cstheme="minorHAnsi"/>
          <w:sz w:val="20"/>
          <w:szCs w:val="20"/>
          <w:lang w:val="en-GB"/>
        </w:rPr>
        <w:t xml:space="preserve">qualification </w:t>
      </w:r>
      <w:r w:rsidR="002A50FF" w:rsidRPr="003A683F">
        <w:rPr>
          <w:rFonts w:cstheme="minorHAnsi"/>
          <w:sz w:val="20"/>
          <w:szCs w:val="20"/>
          <w:lang w:val="en-GB"/>
        </w:rPr>
        <w:t>requirements</w:t>
      </w:r>
      <w:r w:rsidRPr="003A683F">
        <w:rPr>
          <w:rFonts w:cstheme="minorHAnsi"/>
          <w:sz w:val="20"/>
          <w:szCs w:val="20"/>
          <w:lang w:val="en-GB"/>
        </w:rPr>
        <w:t xml:space="preserve"> for </w:t>
      </w:r>
      <w:r w:rsidR="00FD658D" w:rsidRPr="003A683F">
        <w:rPr>
          <w:rFonts w:cstheme="minorHAnsi"/>
          <w:sz w:val="20"/>
          <w:szCs w:val="20"/>
          <w:lang w:val="en-GB"/>
        </w:rPr>
        <w:t xml:space="preserve">test </w:t>
      </w:r>
      <w:r w:rsidRPr="003A683F">
        <w:rPr>
          <w:rFonts w:cstheme="minorHAnsi"/>
          <w:sz w:val="20"/>
          <w:szCs w:val="20"/>
          <w:lang w:val="en-GB"/>
        </w:rPr>
        <w:t xml:space="preserve">laboratories, which include both ISO/IEC 17025 accreditation and recognition by a technical </w:t>
      </w:r>
      <w:r w:rsidR="00934383" w:rsidRPr="003A683F">
        <w:rPr>
          <w:rFonts w:cstheme="minorHAnsi"/>
          <w:sz w:val="20"/>
          <w:szCs w:val="20"/>
          <w:lang w:val="en-GB"/>
        </w:rPr>
        <w:t>service and</w:t>
      </w:r>
      <w:r w:rsidRPr="003A683F">
        <w:rPr>
          <w:rFonts w:cstheme="minorHAnsi"/>
          <w:sz w:val="20"/>
          <w:szCs w:val="20"/>
          <w:lang w:val="en-GB"/>
        </w:rPr>
        <w:t xml:space="preserve"> propose a review of this requirement</w:t>
      </w:r>
      <w:r w:rsidR="00A35A2D" w:rsidRPr="003A683F">
        <w:rPr>
          <w:rFonts w:cstheme="minorHAnsi"/>
          <w:sz w:val="20"/>
          <w:szCs w:val="20"/>
          <w:lang w:val="en-GB"/>
        </w:rPr>
        <w:t>, due to the following reasons:</w:t>
      </w:r>
    </w:p>
    <w:p w14:paraId="2EFDC5EE" w14:textId="77777777" w:rsidR="005862F0" w:rsidRPr="00A473AE" w:rsidRDefault="005862F0" w:rsidP="007F5D3F">
      <w:pPr>
        <w:pStyle w:val="ListParagraph"/>
        <w:rPr>
          <w:rFonts w:cstheme="minorHAnsi"/>
          <w:sz w:val="20"/>
          <w:szCs w:val="20"/>
          <w:lang w:val="en-GB"/>
        </w:rPr>
      </w:pPr>
    </w:p>
    <w:p w14:paraId="34BEBA08" w14:textId="14F74336" w:rsidR="003A683F" w:rsidRPr="003A683F" w:rsidRDefault="003A683F" w:rsidP="003A683F">
      <w:pPr>
        <w:pStyle w:val="ListParagraph"/>
        <w:numPr>
          <w:ilvl w:val="1"/>
          <w:numId w:val="3"/>
        </w:numPr>
        <w:spacing w:after="0" w:line="240" w:lineRule="auto"/>
        <w:rPr>
          <w:rFonts w:eastAsia="Times New Roman"/>
          <w:sz w:val="20"/>
          <w:szCs w:val="20"/>
          <w:lang w:val="en-GB"/>
        </w:rPr>
      </w:pPr>
      <w:r w:rsidRPr="003A683F">
        <w:rPr>
          <w:rFonts w:eastAsia="Times New Roman"/>
          <w:sz w:val="20"/>
          <w:szCs w:val="20"/>
          <w:lang w:val="en-GB"/>
        </w:rPr>
        <w:t>Even if eligible labs for ICCPD testing are only required to be recognized by a Technical Service instead of actually being a Technical Service, this is not a sufficient moderation of the double qualification requirement.</w:t>
      </w:r>
    </w:p>
    <w:p w14:paraId="31C7EFBD" w14:textId="35D48352" w:rsidR="007F5D3F" w:rsidRPr="00A473AE" w:rsidRDefault="007F5D3F" w:rsidP="007F5D3F">
      <w:pPr>
        <w:pStyle w:val="ListParagraph"/>
        <w:numPr>
          <w:ilvl w:val="1"/>
          <w:numId w:val="3"/>
        </w:numPr>
        <w:spacing w:after="0" w:line="240" w:lineRule="auto"/>
        <w:rPr>
          <w:rFonts w:cstheme="minorHAnsi"/>
          <w:sz w:val="20"/>
          <w:szCs w:val="20"/>
          <w:lang w:val="en-GB"/>
        </w:rPr>
      </w:pPr>
      <w:r w:rsidRPr="00A473AE">
        <w:rPr>
          <w:rFonts w:cstheme="minorHAnsi"/>
          <w:sz w:val="20"/>
          <w:szCs w:val="20"/>
          <w:lang w:val="en-GB"/>
        </w:rPr>
        <w:t xml:space="preserve">Economic disadvantage to some countries: There </w:t>
      </w:r>
      <w:proofErr w:type="gramStart"/>
      <w:r w:rsidRPr="00A473AE">
        <w:rPr>
          <w:rFonts w:cstheme="minorHAnsi"/>
          <w:sz w:val="20"/>
          <w:szCs w:val="20"/>
          <w:lang w:val="en-GB"/>
        </w:rPr>
        <w:t>are</w:t>
      </w:r>
      <w:proofErr w:type="gramEnd"/>
      <w:r w:rsidRPr="00A473AE">
        <w:rPr>
          <w:rFonts w:cstheme="minorHAnsi"/>
          <w:sz w:val="20"/>
          <w:szCs w:val="20"/>
          <w:lang w:val="en-GB"/>
        </w:rPr>
        <w:t xml:space="preserve"> countries that have signed the 1958 agreement that neither have a technical service nor a lab recognized by a technical service, e.g. Bosnia and Herzegovina, Azerbaijan, Australia, New Zealand, the Republic of Korea, Thailand, Albania and Montenegro.</w:t>
      </w:r>
    </w:p>
    <w:p w14:paraId="5E44EB7E" w14:textId="19276733" w:rsidR="007F5D3F" w:rsidRPr="00A473AE" w:rsidRDefault="007F5D3F" w:rsidP="007F5D3F">
      <w:pPr>
        <w:pStyle w:val="ListParagraph"/>
        <w:numPr>
          <w:ilvl w:val="1"/>
          <w:numId w:val="3"/>
        </w:numPr>
        <w:spacing w:after="0" w:line="240" w:lineRule="auto"/>
        <w:rPr>
          <w:rFonts w:cstheme="minorHAnsi"/>
          <w:sz w:val="20"/>
          <w:szCs w:val="20"/>
          <w:lang w:val="en-GB"/>
        </w:rPr>
      </w:pPr>
      <w:r w:rsidRPr="00A473AE">
        <w:rPr>
          <w:rFonts w:cstheme="minorHAnsi"/>
          <w:sz w:val="20"/>
          <w:szCs w:val="20"/>
          <w:lang w:val="en-GB"/>
        </w:rPr>
        <w:t>Restriction of competition: for example, there are 336 test laboratories in Germany which are accredited to ISO/IEC 17025 but only 72 laboratories are recognised by a Technical Service. This will restrict the number of available laboratories and reduce competition.</w:t>
      </w:r>
    </w:p>
    <w:p w14:paraId="150B25B4" w14:textId="77777777" w:rsidR="007F5D3F" w:rsidRPr="00A473AE" w:rsidRDefault="007F5D3F" w:rsidP="007F5D3F">
      <w:pPr>
        <w:pStyle w:val="ListParagraph"/>
        <w:numPr>
          <w:ilvl w:val="1"/>
          <w:numId w:val="3"/>
        </w:numPr>
        <w:spacing w:after="0" w:line="240" w:lineRule="auto"/>
        <w:rPr>
          <w:rFonts w:cstheme="minorHAnsi"/>
          <w:sz w:val="20"/>
          <w:szCs w:val="20"/>
          <w:lang w:val="en-GB"/>
        </w:rPr>
      </w:pPr>
      <w:r w:rsidRPr="00A473AE">
        <w:rPr>
          <w:rFonts w:cstheme="minorHAnsi"/>
          <w:sz w:val="20"/>
          <w:szCs w:val="20"/>
          <w:lang w:val="en-GB"/>
        </w:rPr>
        <w:t>The effort for testing Mode 2 cables is not justified: There is neither a technical benefit nor a benefit related to better compliant results. Instead, it restricts free competition among labs and puts countries without any qualifying labs at an economic disadvantage.</w:t>
      </w:r>
    </w:p>
    <w:p w14:paraId="56DF497E" w14:textId="77777777" w:rsidR="007F5D3F" w:rsidRPr="00A473AE" w:rsidRDefault="007F5D3F" w:rsidP="007F5D3F">
      <w:pPr>
        <w:spacing w:after="0"/>
        <w:ind w:left="720"/>
        <w:rPr>
          <w:rFonts w:cstheme="minorHAnsi"/>
          <w:b/>
          <w:bCs/>
          <w:sz w:val="20"/>
          <w:szCs w:val="20"/>
          <w:lang w:val="en-GB"/>
        </w:rPr>
      </w:pPr>
    </w:p>
    <w:p w14:paraId="3B0A92F6" w14:textId="20D58180" w:rsidR="007F5D3F" w:rsidRPr="00A473AE" w:rsidRDefault="007F5D3F" w:rsidP="007F5D3F">
      <w:pPr>
        <w:ind w:left="720"/>
        <w:rPr>
          <w:rFonts w:cstheme="minorHAnsi"/>
          <w:sz w:val="20"/>
          <w:szCs w:val="20"/>
          <w:lang w:val="en-GB"/>
        </w:rPr>
      </w:pPr>
      <w:r w:rsidRPr="00A473AE">
        <w:rPr>
          <w:rFonts w:cstheme="minorHAnsi"/>
          <w:b/>
          <w:bCs/>
          <w:sz w:val="20"/>
          <w:szCs w:val="20"/>
          <w:lang w:val="en-GB"/>
        </w:rPr>
        <w:t>Summary:</w:t>
      </w:r>
      <w:r w:rsidRPr="00A473AE">
        <w:rPr>
          <w:rFonts w:cstheme="minorHAnsi"/>
          <w:sz w:val="20"/>
          <w:szCs w:val="20"/>
          <w:lang w:val="en-GB"/>
        </w:rPr>
        <w:t xml:space="preserve"> We recommend the removal of “recognised by any Technical Service designated by the Type Approval Authority”. Use of laboratories accredited to ISO/IEC 17025 is sufficient and addition of the requirement of recognition by a technical service will not improve compliance results but instead will restrict competition and disadvantage some signatories to the 1958 agreement.</w:t>
      </w:r>
      <w:r w:rsidR="008C69BF">
        <w:rPr>
          <w:rFonts w:cstheme="minorHAnsi"/>
          <w:sz w:val="20"/>
          <w:szCs w:val="20"/>
          <w:lang w:val="en-GB"/>
        </w:rPr>
        <w:t xml:space="preserve"> </w:t>
      </w:r>
    </w:p>
    <w:p w14:paraId="1FB4C6AE" w14:textId="77777777" w:rsidR="007F5D3F" w:rsidRPr="00A473AE" w:rsidRDefault="007F5D3F" w:rsidP="007F5D3F">
      <w:pPr>
        <w:pStyle w:val="ListParagraph"/>
        <w:rPr>
          <w:rFonts w:cstheme="minorHAnsi"/>
          <w:sz w:val="20"/>
          <w:szCs w:val="20"/>
          <w:lang w:val="en-GB"/>
        </w:rPr>
      </w:pPr>
    </w:p>
    <w:p w14:paraId="7536B67B" w14:textId="0DE31941" w:rsidR="007F5D3F" w:rsidRPr="00A473AE" w:rsidRDefault="007F5D3F" w:rsidP="007F5D3F">
      <w:pPr>
        <w:pStyle w:val="ListParagraph"/>
        <w:numPr>
          <w:ilvl w:val="0"/>
          <w:numId w:val="3"/>
        </w:numPr>
        <w:spacing w:after="0" w:line="240" w:lineRule="auto"/>
        <w:rPr>
          <w:rFonts w:cstheme="minorHAnsi"/>
          <w:sz w:val="20"/>
          <w:szCs w:val="20"/>
          <w:u w:val="single"/>
          <w:lang w:val="en-GB"/>
        </w:rPr>
      </w:pPr>
      <w:r w:rsidRPr="00A473AE">
        <w:rPr>
          <w:rFonts w:cstheme="minorHAnsi"/>
          <w:sz w:val="20"/>
          <w:szCs w:val="20"/>
          <w:u w:val="single"/>
          <w:lang w:val="en-GB"/>
        </w:rPr>
        <w:t xml:space="preserve">Modulations used during radiated immunity </w:t>
      </w:r>
      <w:proofErr w:type="gramStart"/>
      <w:r w:rsidRPr="00A473AE">
        <w:rPr>
          <w:rFonts w:cstheme="minorHAnsi"/>
          <w:sz w:val="20"/>
          <w:szCs w:val="20"/>
          <w:u w:val="single"/>
          <w:lang w:val="en-GB"/>
        </w:rPr>
        <w:t>tests</w:t>
      </w:r>
      <w:proofErr w:type="gramEnd"/>
    </w:p>
    <w:p w14:paraId="7D68018B" w14:textId="77777777" w:rsidR="007F5D3F" w:rsidRPr="00A473AE" w:rsidRDefault="007F5D3F" w:rsidP="007F5D3F">
      <w:pPr>
        <w:spacing w:after="0" w:line="240" w:lineRule="auto"/>
        <w:ind w:left="360"/>
        <w:rPr>
          <w:rFonts w:cstheme="minorHAnsi"/>
          <w:sz w:val="20"/>
          <w:szCs w:val="20"/>
          <w:u w:val="single"/>
          <w:lang w:val="en-GB"/>
        </w:rPr>
      </w:pPr>
    </w:p>
    <w:p w14:paraId="4F039281" w14:textId="77777777" w:rsidR="007F5D3F" w:rsidRPr="00A473AE" w:rsidRDefault="007F5D3F" w:rsidP="007F5D3F">
      <w:pPr>
        <w:ind w:left="720"/>
        <w:rPr>
          <w:rFonts w:cstheme="minorHAnsi"/>
          <w:sz w:val="20"/>
          <w:szCs w:val="20"/>
          <w:lang w:val="en-GB"/>
        </w:rPr>
      </w:pPr>
      <w:r w:rsidRPr="00A473AE">
        <w:rPr>
          <w:rFonts w:cstheme="minorHAnsi"/>
          <w:sz w:val="20"/>
          <w:szCs w:val="20"/>
          <w:lang w:val="en-GB"/>
        </w:rPr>
        <w:t xml:space="preserve">OICA and CLEPA recommend that modulations used during radiated immunity tests are aligned with the latest versions of ISO 11451-1 and ISO11452-1 (next stage is Final Draft International Standard, </w:t>
      </w:r>
      <w:proofErr w:type="gramStart"/>
      <w:r w:rsidRPr="00A473AE">
        <w:rPr>
          <w:rFonts w:cstheme="minorHAnsi"/>
          <w:sz w:val="20"/>
          <w:szCs w:val="20"/>
          <w:lang w:val="en-GB"/>
        </w:rPr>
        <w:t>i.e.</w:t>
      </w:r>
      <w:proofErr w:type="gramEnd"/>
      <w:r w:rsidRPr="00A473AE">
        <w:rPr>
          <w:rFonts w:cstheme="minorHAnsi"/>
          <w:sz w:val="20"/>
          <w:szCs w:val="20"/>
          <w:lang w:val="en-GB"/>
        </w:rPr>
        <w:t xml:space="preserve"> the final stage before publication). These standards are scheduled for publication in March 2025 (before the applicability date of ECE R10.07.)</w:t>
      </w:r>
    </w:p>
    <w:p w14:paraId="57184896" w14:textId="3DAE8875" w:rsidR="007F5D3F" w:rsidRPr="00A473AE" w:rsidRDefault="007F5D3F" w:rsidP="007F5D3F">
      <w:pPr>
        <w:pStyle w:val="ListParagraph"/>
        <w:numPr>
          <w:ilvl w:val="1"/>
          <w:numId w:val="3"/>
        </w:numPr>
        <w:spacing w:after="0" w:line="240" w:lineRule="auto"/>
        <w:rPr>
          <w:rFonts w:cstheme="minorHAnsi"/>
          <w:sz w:val="20"/>
          <w:szCs w:val="20"/>
          <w:lang w:val="en-GB"/>
        </w:rPr>
      </w:pPr>
      <w:r w:rsidRPr="00A473AE">
        <w:rPr>
          <w:rFonts w:cstheme="minorHAnsi"/>
          <w:sz w:val="20"/>
          <w:szCs w:val="20"/>
          <w:lang w:val="en-GB"/>
        </w:rPr>
        <w:t xml:space="preserve">While updating </w:t>
      </w:r>
      <w:r w:rsidR="00781393" w:rsidRPr="00A473AE">
        <w:rPr>
          <w:rFonts w:cstheme="minorHAnsi"/>
          <w:sz w:val="20"/>
          <w:szCs w:val="20"/>
          <w:lang w:val="en-GB"/>
        </w:rPr>
        <w:t xml:space="preserve">UN-R </w:t>
      </w:r>
      <w:r w:rsidRPr="00A473AE">
        <w:rPr>
          <w:rFonts w:cstheme="minorHAnsi"/>
          <w:sz w:val="20"/>
          <w:szCs w:val="20"/>
          <w:lang w:val="en-GB"/>
        </w:rPr>
        <w:t>10, it was agreed in the IWG to align with the latest ISO standards.</w:t>
      </w:r>
    </w:p>
    <w:p w14:paraId="59A587A5" w14:textId="77777777" w:rsidR="007F5D3F" w:rsidRPr="00A473AE" w:rsidRDefault="007F5D3F" w:rsidP="007F5D3F">
      <w:pPr>
        <w:pStyle w:val="ListParagraph"/>
        <w:numPr>
          <w:ilvl w:val="1"/>
          <w:numId w:val="3"/>
        </w:numPr>
        <w:spacing w:after="0" w:line="240" w:lineRule="auto"/>
        <w:rPr>
          <w:rFonts w:cstheme="minorHAnsi"/>
          <w:sz w:val="20"/>
          <w:szCs w:val="20"/>
          <w:lang w:val="en-GB"/>
        </w:rPr>
      </w:pPr>
      <w:r w:rsidRPr="00A473AE">
        <w:rPr>
          <w:rFonts w:cstheme="minorHAnsi"/>
          <w:sz w:val="20"/>
          <w:szCs w:val="20"/>
          <w:lang w:val="en-GB"/>
        </w:rPr>
        <w:t xml:space="preserve">ECE-TRANS-WP.29-GRE-2023-27e-Rev.1 is aligned with previous draft (Draft International Standards) which included desired modulations, but the applicable frequency range has been updated based on technical research. We would like to extend the applicability of certain modulation scheme for robustness. </w:t>
      </w:r>
    </w:p>
    <w:p w14:paraId="6FFC47D6" w14:textId="609BA7A7" w:rsidR="00781393" w:rsidRPr="003A683F" w:rsidRDefault="00781393" w:rsidP="007F5D3F">
      <w:pPr>
        <w:pStyle w:val="ListParagraph"/>
        <w:numPr>
          <w:ilvl w:val="1"/>
          <w:numId w:val="3"/>
        </w:numPr>
        <w:spacing w:after="0" w:line="240" w:lineRule="auto"/>
        <w:rPr>
          <w:rFonts w:cstheme="minorHAnsi"/>
          <w:sz w:val="20"/>
          <w:szCs w:val="20"/>
          <w:lang w:val="en-GB"/>
        </w:rPr>
      </w:pPr>
      <w:r w:rsidRPr="003A683F">
        <w:rPr>
          <w:rFonts w:cstheme="minorHAnsi"/>
          <w:sz w:val="20"/>
          <w:szCs w:val="20"/>
          <w:lang w:val="en-GB"/>
        </w:rPr>
        <w:t xml:space="preserve">State-of-the art requirements will be provided by the ISO standards 11451-1 and 11452-1. These requirements are up-to-date and suitable to emulate threats of current digital </w:t>
      </w:r>
      <w:r w:rsidRPr="003A683F">
        <w:rPr>
          <w:rFonts w:cstheme="minorHAnsi"/>
          <w:sz w:val="20"/>
          <w:szCs w:val="20"/>
          <w:lang w:val="en-GB"/>
        </w:rPr>
        <w:lastRenderedPageBreak/>
        <w:t xml:space="preserve">technologies such as cellular communications and </w:t>
      </w:r>
      <w:proofErr w:type="spellStart"/>
      <w:r w:rsidRPr="003A683F">
        <w:rPr>
          <w:rFonts w:cstheme="minorHAnsi"/>
          <w:sz w:val="20"/>
          <w:szCs w:val="20"/>
          <w:lang w:val="en-GB"/>
        </w:rPr>
        <w:t>WiFi</w:t>
      </w:r>
      <w:proofErr w:type="spellEnd"/>
      <w:r w:rsidRPr="003A683F">
        <w:rPr>
          <w:rFonts w:cstheme="minorHAnsi"/>
          <w:sz w:val="20"/>
          <w:szCs w:val="20"/>
          <w:lang w:val="en-GB"/>
        </w:rPr>
        <w:t>. Adhering to different frequency ranges in ISO standards versus UN-R 10 will lead to increased testing efforts without focusing on actual threats of digital communication technologies.</w:t>
      </w:r>
    </w:p>
    <w:p w14:paraId="05DD6E4A" w14:textId="77777777" w:rsidR="00781393" w:rsidRPr="003A683F" w:rsidRDefault="00781393" w:rsidP="00781393">
      <w:pPr>
        <w:pStyle w:val="ListParagraph"/>
        <w:numPr>
          <w:ilvl w:val="1"/>
          <w:numId w:val="3"/>
        </w:numPr>
        <w:spacing w:after="0" w:line="240" w:lineRule="auto"/>
        <w:rPr>
          <w:rFonts w:cstheme="minorHAnsi"/>
          <w:sz w:val="20"/>
          <w:szCs w:val="20"/>
          <w:lang w:val="en-GB"/>
        </w:rPr>
      </w:pPr>
      <w:r w:rsidRPr="003A683F">
        <w:rPr>
          <w:rFonts w:cstheme="minorHAnsi"/>
          <w:sz w:val="20"/>
          <w:szCs w:val="20"/>
          <w:lang w:val="en-GB"/>
        </w:rPr>
        <w:t>There is no need to reference unpublished standards as the details would be included within the regulation.</w:t>
      </w:r>
    </w:p>
    <w:p w14:paraId="479D5FE1" w14:textId="77777777" w:rsidR="007F5D3F" w:rsidRPr="00A473AE" w:rsidRDefault="007F5D3F" w:rsidP="007F5D3F">
      <w:pPr>
        <w:spacing w:after="0"/>
        <w:ind w:left="708"/>
        <w:rPr>
          <w:rFonts w:cstheme="minorHAnsi"/>
          <w:sz w:val="20"/>
          <w:szCs w:val="20"/>
          <w:lang w:val="en-GB"/>
        </w:rPr>
      </w:pPr>
    </w:p>
    <w:p w14:paraId="33D36DD3" w14:textId="77777777" w:rsidR="003A683F" w:rsidRPr="003A683F" w:rsidRDefault="007F5D3F" w:rsidP="003A683F">
      <w:pPr>
        <w:ind w:left="708"/>
        <w:rPr>
          <w:rFonts w:cstheme="minorHAnsi"/>
          <w:sz w:val="20"/>
          <w:szCs w:val="20"/>
          <w:lang w:val="en-GB"/>
        </w:rPr>
      </w:pPr>
      <w:r w:rsidRPr="003A683F">
        <w:rPr>
          <w:rFonts w:cstheme="minorHAnsi"/>
          <w:b/>
          <w:bCs/>
          <w:sz w:val="20"/>
          <w:szCs w:val="20"/>
          <w:lang w:val="en-GB"/>
        </w:rPr>
        <w:t>Summary:</w:t>
      </w:r>
      <w:r w:rsidRPr="003A683F">
        <w:rPr>
          <w:rFonts w:cstheme="minorHAnsi"/>
          <w:sz w:val="20"/>
          <w:szCs w:val="20"/>
          <w:lang w:val="en-GB"/>
        </w:rPr>
        <w:t xml:space="preserve"> We recommend the adoption of a technical change to </w:t>
      </w:r>
      <w:r w:rsidR="00A35A2D" w:rsidRPr="003A683F">
        <w:rPr>
          <w:rFonts w:cstheme="minorHAnsi"/>
          <w:sz w:val="20"/>
          <w:szCs w:val="20"/>
          <w:lang w:val="en-GB"/>
        </w:rPr>
        <w:t xml:space="preserve">the </w:t>
      </w:r>
      <w:r w:rsidRPr="003A683F">
        <w:rPr>
          <w:rFonts w:cstheme="minorHAnsi"/>
          <w:sz w:val="20"/>
          <w:szCs w:val="20"/>
          <w:lang w:val="en-GB"/>
        </w:rPr>
        <w:t>applicable frequency range of specific modulations in line with IWG-EMC-43-04e.</w:t>
      </w:r>
      <w:bookmarkEnd w:id="0"/>
      <w:r w:rsidR="003A683F" w:rsidRPr="003A683F">
        <w:rPr>
          <w:rFonts w:cstheme="minorHAnsi"/>
          <w:sz w:val="20"/>
          <w:szCs w:val="20"/>
          <w:lang w:val="en-GB"/>
        </w:rPr>
        <w:t xml:space="preserve"> (details shown below). </w:t>
      </w:r>
    </w:p>
    <w:p w14:paraId="2F013DEA" w14:textId="77777777" w:rsidR="003A683F" w:rsidRPr="003A683F" w:rsidRDefault="003A683F" w:rsidP="003A683F">
      <w:pPr>
        <w:ind w:left="708"/>
        <w:rPr>
          <w:lang w:val="en-GB"/>
        </w:rPr>
      </w:pPr>
    </w:p>
    <w:p w14:paraId="34B78971" w14:textId="1EDECB6B" w:rsidR="003A683F" w:rsidRPr="009A5F24" w:rsidRDefault="003A683F" w:rsidP="003A683F">
      <w:pPr>
        <w:spacing w:after="120"/>
        <w:ind w:left="2268" w:right="1134" w:hanging="1134"/>
        <w:jc w:val="both"/>
        <w:rPr>
          <w:rFonts w:ascii="Times New Roman" w:hAnsi="Times New Roman" w:cs="Times New Roman"/>
          <w:sz w:val="20"/>
          <w:szCs w:val="20"/>
        </w:rPr>
      </w:pPr>
      <w:r w:rsidRPr="009A5F24">
        <w:rPr>
          <w:rFonts w:ascii="Times New Roman" w:hAnsi="Times New Roman" w:cs="Times New Roman"/>
          <w:i/>
          <w:iCs/>
          <w:sz w:val="20"/>
          <w:szCs w:val="20"/>
        </w:rPr>
        <w:t>Annex 6, Paragraphs 4.1.,</w:t>
      </w:r>
      <w:r w:rsidR="009A5F24" w:rsidRPr="009A5F24">
        <w:rPr>
          <w:rFonts w:ascii="Times New Roman" w:hAnsi="Times New Roman" w:cs="Times New Roman"/>
          <w:i/>
          <w:iCs/>
          <w:sz w:val="20"/>
          <w:szCs w:val="20"/>
        </w:rPr>
        <w:t xml:space="preserve"> </w:t>
      </w:r>
      <w:r w:rsidR="009A5F24" w:rsidRPr="009A5F24">
        <w:rPr>
          <w:rFonts w:ascii="Times New Roman" w:hAnsi="Times New Roman" w:cs="Times New Roman"/>
          <w:sz w:val="20"/>
          <w:szCs w:val="20"/>
        </w:rPr>
        <w:t>amend to read,</w:t>
      </w:r>
    </w:p>
    <w:p w14:paraId="795BFDF9" w14:textId="77777777" w:rsidR="000D3D48" w:rsidRPr="000D3D48" w:rsidRDefault="000D3D48" w:rsidP="000D3D48">
      <w:pPr>
        <w:spacing w:after="120"/>
        <w:ind w:left="2268" w:right="1134" w:hanging="1134"/>
        <w:jc w:val="both"/>
        <w:rPr>
          <w:rFonts w:ascii="Times New Roman" w:hAnsi="Times New Roman" w:cs="Times New Roman"/>
          <w:sz w:val="20"/>
          <w:szCs w:val="20"/>
        </w:rPr>
      </w:pPr>
      <w:r w:rsidRPr="000D3D48">
        <w:rPr>
          <w:rFonts w:ascii="Times New Roman" w:hAnsi="Times New Roman" w:cs="Times New Roman"/>
          <w:sz w:val="20"/>
          <w:szCs w:val="20"/>
        </w:rPr>
        <w:t>"4.1.</w:t>
      </w:r>
      <w:r w:rsidRPr="000D3D48">
        <w:rPr>
          <w:rFonts w:ascii="Times New Roman" w:hAnsi="Times New Roman" w:cs="Times New Roman"/>
          <w:sz w:val="20"/>
          <w:szCs w:val="20"/>
        </w:rPr>
        <w:tab/>
        <w:t>Frequency range, dwell times, polarization.</w:t>
      </w:r>
    </w:p>
    <w:p w14:paraId="592B2414" w14:textId="77777777" w:rsidR="000D3D48" w:rsidRPr="000D3D48" w:rsidRDefault="000D3D48" w:rsidP="000D3D48">
      <w:pPr>
        <w:tabs>
          <w:tab w:val="left" w:leader="dot" w:pos="8505"/>
        </w:tabs>
        <w:spacing w:after="120"/>
        <w:ind w:left="2268" w:right="1134"/>
        <w:jc w:val="both"/>
        <w:rPr>
          <w:rFonts w:ascii="Times New Roman" w:hAnsi="Times New Roman" w:cs="Times New Roman"/>
          <w:sz w:val="20"/>
          <w:szCs w:val="20"/>
        </w:rPr>
      </w:pPr>
      <w:r w:rsidRPr="000D3D48">
        <w:rPr>
          <w:rFonts w:ascii="Times New Roman" w:hAnsi="Times New Roman" w:cs="Times New Roman"/>
          <w:sz w:val="20"/>
          <w:szCs w:val="20"/>
        </w:rPr>
        <w:t xml:space="preserve">The vehicle shall be exposed to electromagnetic radiation in the 20 to </w:t>
      </w:r>
      <w:r w:rsidRPr="000D3D48">
        <w:rPr>
          <w:rFonts w:ascii="Times New Roman" w:hAnsi="Times New Roman" w:cs="Times New Roman"/>
          <w:strike/>
          <w:sz w:val="20"/>
          <w:szCs w:val="20"/>
        </w:rPr>
        <w:t>2</w:t>
      </w:r>
      <w:r w:rsidRPr="000D3D48">
        <w:rPr>
          <w:rFonts w:ascii="Times New Roman" w:hAnsi="Times New Roman" w:cs="Times New Roman"/>
          <w:b/>
          <w:bCs/>
          <w:sz w:val="20"/>
          <w:szCs w:val="20"/>
        </w:rPr>
        <w:t>6</w:t>
      </w:r>
      <w:r w:rsidRPr="000D3D48">
        <w:rPr>
          <w:rFonts w:ascii="Times New Roman" w:hAnsi="Times New Roman" w:cs="Times New Roman"/>
          <w:sz w:val="20"/>
          <w:szCs w:val="20"/>
        </w:rPr>
        <w:t>,000 MHz frequency ranges in vertical polarization.</w:t>
      </w:r>
    </w:p>
    <w:p w14:paraId="6713FF63" w14:textId="77777777" w:rsidR="000D3D48" w:rsidRPr="000D3D48" w:rsidRDefault="000D3D48" w:rsidP="000D3D48">
      <w:pPr>
        <w:spacing w:after="120"/>
        <w:ind w:left="2268" w:right="1134"/>
        <w:jc w:val="both"/>
        <w:rPr>
          <w:rFonts w:ascii="Times New Roman" w:hAnsi="Times New Roman" w:cs="Times New Roman"/>
          <w:sz w:val="20"/>
          <w:szCs w:val="20"/>
        </w:rPr>
      </w:pPr>
      <w:r w:rsidRPr="000D3D48">
        <w:rPr>
          <w:rFonts w:ascii="Times New Roman" w:hAnsi="Times New Roman" w:cs="Times New Roman"/>
          <w:sz w:val="20"/>
          <w:szCs w:val="20"/>
        </w:rPr>
        <w:t>The test signal modulation shall be:</w:t>
      </w:r>
    </w:p>
    <w:p w14:paraId="053956EE" w14:textId="544B071D" w:rsidR="000D3D48" w:rsidRPr="000D3D48" w:rsidRDefault="000D3D48" w:rsidP="000D3D48">
      <w:pPr>
        <w:tabs>
          <w:tab w:val="left" w:leader="dot" w:pos="8505"/>
        </w:tabs>
        <w:spacing w:after="120"/>
        <w:ind w:left="2835" w:right="1134" w:hanging="567"/>
        <w:jc w:val="both"/>
        <w:rPr>
          <w:rFonts w:ascii="Times New Roman" w:hAnsi="Times New Roman" w:cs="Times New Roman"/>
          <w:sz w:val="20"/>
          <w:szCs w:val="20"/>
        </w:rPr>
      </w:pPr>
      <w:r w:rsidRPr="000D3D48">
        <w:rPr>
          <w:rFonts w:ascii="Times New Roman" w:hAnsi="Times New Roman" w:cs="Times New Roman"/>
          <w:sz w:val="20"/>
          <w:szCs w:val="20"/>
        </w:rPr>
        <w:t>(a)</w:t>
      </w:r>
      <w:r w:rsidRPr="000D3D48">
        <w:rPr>
          <w:rFonts w:ascii="Times New Roman" w:hAnsi="Times New Roman" w:cs="Times New Roman"/>
          <w:sz w:val="20"/>
          <w:szCs w:val="20"/>
        </w:rPr>
        <w:tab/>
        <w:t xml:space="preserve">AM (amplitude modulation), with 1 kHz modulation and 80 per cent modulation depth in the 20 to </w:t>
      </w:r>
      <w:r w:rsidRPr="000D3D48">
        <w:rPr>
          <w:rFonts w:ascii="Times New Roman" w:hAnsi="Times New Roman" w:cs="Times New Roman"/>
          <w:strike/>
          <w:color w:val="FF0000"/>
          <w:sz w:val="20"/>
          <w:szCs w:val="20"/>
        </w:rPr>
        <w:t>800</w:t>
      </w:r>
      <w:r>
        <w:rPr>
          <w:rFonts w:ascii="Times New Roman" w:hAnsi="Times New Roman" w:cs="Times New Roman"/>
          <w:sz w:val="20"/>
          <w:szCs w:val="20"/>
        </w:rPr>
        <w:t xml:space="preserve"> </w:t>
      </w:r>
      <w:r w:rsidRPr="000D3D48">
        <w:rPr>
          <w:rFonts w:ascii="Times New Roman" w:hAnsi="Times New Roman" w:cs="Times New Roman"/>
          <w:b/>
          <w:bCs/>
          <w:color w:val="00B050"/>
          <w:sz w:val="20"/>
          <w:szCs w:val="20"/>
        </w:rPr>
        <w:t>400</w:t>
      </w:r>
      <w:r w:rsidRPr="000D3D48">
        <w:rPr>
          <w:rFonts w:ascii="Times New Roman" w:hAnsi="Times New Roman" w:cs="Times New Roman"/>
          <w:sz w:val="20"/>
          <w:szCs w:val="20"/>
        </w:rPr>
        <w:t xml:space="preserve"> MHz frequency range; </w:t>
      </w:r>
      <w:r w:rsidRPr="000D3D48">
        <w:rPr>
          <w:rFonts w:ascii="Times New Roman" w:hAnsi="Times New Roman" w:cs="Times New Roman"/>
          <w:strike/>
          <w:sz w:val="20"/>
          <w:szCs w:val="20"/>
        </w:rPr>
        <w:t>and</w:t>
      </w:r>
    </w:p>
    <w:p w14:paraId="03C89366" w14:textId="77777777" w:rsidR="000D3D48" w:rsidRPr="000D3D48" w:rsidRDefault="000D3D48" w:rsidP="000D3D48">
      <w:pPr>
        <w:tabs>
          <w:tab w:val="left" w:leader="dot" w:pos="8505"/>
        </w:tabs>
        <w:spacing w:after="120"/>
        <w:ind w:left="2835" w:right="1134" w:hanging="567"/>
        <w:jc w:val="both"/>
        <w:rPr>
          <w:rFonts w:ascii="Times New Roman" w:hAnsi="Times New Roman" w:cs="Times New Roman"/>
          <w:strike/>
          <w:sz w:val="20"/>
          <w:szCs w:val="20"/>
        </w:rPr>
      </w:pPr>
      <w:r w:rsidRPr="000D3D48">
        <w:rPr>
          <w:rFonts w:ascii="Times New Roman" w:hAnsi="Times New Roman" w:cs="Times New Roman"/>
          <w:strike/>
          <w:sz w:val="20"/>
          <w:szCs w:val="20"/>
        </w:rPr>
        <w:t>(b)</w:t>
      </w:r>
      <w:r w:rsidRPr="000D3D48">
        <w:rPr>
          <w:rFonts w:ascii="Times New Roman" w:hAnsi="Times New Roman" w:cs="Times New Roman"/>
          <w:strike/>
          <w:sz w:val="20"/>
          <w:szCs w:val="20"/>
        </w:rPr>
        <w:tab/>
        <w:t>PM (pulse modulation), Ton 577 µs, period 4,600 µs in the 800 to 2,000 MHz frequency range.</w:t>
      </w:r>
    </w:p>
    <w:p w14:paraId="40CB669A" w14:textId="77777777" w:rsidR="000D3D48" w:rsidRPr="000D3D48" w:rsidRDefault="000D3D48" w:rsidP="000D3D48">
      <w:pPr>
        <w:pStyle w:val="ListParagraph"/>
        <w:numPr>
          <w:ilvl w:val="0"/>
          <w:numId w:val="7"/>
        </w:numPr>
        <w:tabs>
          <w:tab w:val="left" w:leader="dot" w:pos="8505"/>
        </w:tabs>
        <w:spacing w:after="120" w:line="276" w:lineRule="auto"/>
        <w:ind w:left="2835" w:right="1134"/>
        <w:jc w:val="both"/>
        <w:rPr>
          <w:rFonts w:ascii="Times New Roman" w:hAnsi="Times New Roman" w:cs="Times New Roman"/>
          <w:b/>
          <w:bCs/>
          <w:sz w:val="20"/>
          <w:szCs w:val="20"/>
        </w:rPr>
      </w:pPr>
      <w:r w:rsidRPr="000D3D48">
        <w:rPr>
          <w:rFonts w:ascii="Times New Roman" w:hAnsi="Times New Roman" w:cs="Times New Roman"/>
          <w:b/>
          <w:bCs/>
          <w:sz w:val="20"/>
          <w:szCs w:val="20"/>
        </w:rPr>
        <w:t>PM2 (pulse modulation type 2), Ton 3 µs, period 3,333 µs in the 2,700 to 3,100 MHz frequency range; and</w:t>
      </w:r>
    </w:p>
    <w:p w14:paraId="562C04C6" w14:textId="25D37B7A" w:rsidR="000D3D48" w:rsidRPr="000D3D48" w:rsidRDefault="000D3D48" w:rsidP="000D3D48">
      <w:pPr>
        <w:tabs>
          <w:tab w:val="left" w:leader="dot" w:pos="8505"/>
        </w:tabs>
        <w:spacing w:after="120"/>
        <w:ind w:left="2835" w:right="1134" w:hanging="567"/>
        <w:jc w:val="both"/>
        <w:rPr>
          <w:rFonts w:ascii="Times New Roman" w:hAnsi="Times New Roman" w:cs="Times New Roman"/>
          <w:b/>
          <w:bCs/>
          <w:sz w:val="20"/>
          <w:szCs w:val="20"/>
        </w:rPr>
      </w:pPr>
      <w:r w:rsidRPr="000D3D48">
        <w:rPr>
          <w:rFonts w:ascii="Times New Roman" w:hAnsi="Times New Roman" w:cs="Times New Roman"/>
          <w:b/>
          <w:bCs/>
          <w:sz w:val="20"/>
          <w:szCs w:val="20"/>
        </w:rPr>
        <w:t>(c)</w:t>
      </w:r>
      <w:r w:rsidRPr="000D3D48">
        <w:rPr>
          <w:rFonts w:ascii="Times New Roman" w:hAnsi="Times New Roman" w:cs="Times New Roman"/>
          <w:b/>
          <w:bCs/>
          <w:sz w:val="20"/>
          <w:szCs w:val="20"/>
        </w:rPr>
        <w:tab/>
        <w:t xml:space="preserve">PM3 (pulse modulation type 3), Ton 500 µs, period 1,000 µs in the </w:t>
      </w:r>
      <w:r w:rsidRPr="000D3D48">
        <w:rPr>
          <w:rFonts w:ascii="Times New Roman" w:hAnsi="Times New Roman" w:cs="Times New Roman"/>
          <w:b/>
          <w:bCs/>
          <w:strike/>
          <w:color w:val="FF0000"/>
          <w:sz w:val="20"/>
          <w:szCs w:val="20"/>
        </w:rPr>
        <w:t>800</w:t>
      </w:r>
      <w:r>
        <w:rPr>
          <w:rFonts w:ascii="Times New Roman" w:hAnsi="Times New Roman" w:cs="Times New Roman"/>
          <w:b/>
          <w:bCs/>
          <w:sz w:val="20"/>
          <w:szCs w:val="20"/>
        </w:rPr>
        <w:t xml:space="preserve"> </w:t>
      </w:r>
      <w:r w:rsidRPr="000D3D48">
        <w:rPr>
          <w:rFonts w:ascii="Times New Roman" w:hAnsi="Times New Roman" w:cs="Times New Roman"/>
          <w:b/>
          <w:bCs/>
          <w:color w:val="00B050"/>
          <w:sz w:val="20"/>
          <w:szCs w:val="20"/>
        </w:rPr>
        <w:t>380</w:t>
      </w:r>
      <w:r w:rsidRPr="000D3D48">
        <w:rPr>
          <w:rFonts w:ascii="Times New Roman" w:hAnsi="Times New Roman" w:cs="Times New Roman"/>
          <w:b/>
          <w:bCs/>
          <w:sz w:val="20"/>
          <w:szCs w:val="20"/>
        </w:rPr>
        <w:t xml:space="preserve"> to 2,700 MHz and the 3,100 to 6,000 MHz frequency ranges.</w:t>
      </w:r>
    </w:p>
    <w:p w14:paraId="71C0102B" w14:textId="77777777" w:rsidR="000D3D48" w:rsidRPr="000D3D48" w:rsidRDefault="000D3D48" w:rsidP="000D3D48">
      <w:pPr>
        <w:spacing w:after="120"/>
        <w:ind w:left="2268" w:right="1134"/>
        <w:jc w:val="both"/>
        <w:rPr>
          <w:rFonts w:ascii="Times New Roman" w:hAnsi="Times New Roman" w:cs="Times New Roman"/>
          <w:sz w:val="20"/>
          <w:szCs w:val="20"/>
        </w:rPr>
      </w:pPr>
      <w:r w:rsidRPr="000D3D48">
        <w:rPr>
          <w:rFonts w:ascii="Times New Roman" w:hAnsi="Times New Roman" w:cs="Times New Roman"/>
          <w:sz w:val="20"/>
          <w:szCs w:val="20"/>
        </w:rPr>
        <w:t>If not otherwise agreed between Technical Service and vehicle manufacturer.</w:t>
      </w:r>
    </w:p>
    <w:p w14:paraId="6A0AFA16" w14:textId="3C9819D8" w:rsidR="005A609E" w:rsidRPr="000D3D48" w:rsidRDefault="000D3D48" w:rsidP="000D3D48">
      <w:pPr>
        <w:spacing w:after="120"/>
        <w:ind w:left="2268" w:right="1134"/>
        <w:jc w:val="both"/>
        <w:rPr>
          <w:rFonts w:ascii="Times New Roman" w:hAnsi="Times New Roman" w:cs="Times New Roman"/>
          <w:sz w:val="20"/>
          <w:szCs w:val="20"/>
        </w:rPr>
      </w:pPr>
      <w:r w:rsidRPr="000D3D48">
        <w:rPr>
          <w:rFonts w:ascii="Times New Roman" w:hAnsi="Times New Roman" w:cs="Times New Roman"/>
          <w:sz w:val="20"/>
          <w:szCs w:val="20"/>
        </w:rPr>
        <w:t>Frequency step size and dwell time shall be chosen according to</w:t>
      </w:r>
      <w:r w:rsidRPr="000D3D48">
        <w:rPr>
          <w:rFonts w:ascii="Times New Roman" w:hAnsi="Times New Roman" w:cs="Times New Roman"/>
          <w:sz w:val="20"/>
          <w:szCs w:val="20"/>
        </w:rPr>
        <w:br/>
        <w:t>ISO 11451-1.”</w:t>
      </w:r>
    </w:p>
    <w:p w14:paraId="0561EB94" w14:textId="77C4848D" w:rsidR="009A5F24" w:rsidRPr="009A5F24" w:rsidRDefault="009A5F24" w:rsidP="009A5F24">
      <w:pPr>
        <w:spacing w:after="120"/>
        <w:ind w:left="2268" w:right="1134" w:hanging="1134"/>
        <w:jc w:val="both"/>
        <w:rPr>
          <w:rFonts w:ascii="Times New Roman" w:hAnsi="Times New Roman" w:cs="Times New Roman"/>
          <w:sz w:val="20"/>
          <w:szCs w:val="20"/>
        </w:rPr>
      </w:pPr>
      <w:r w:rsidRPr="009A5F24">
        <w:rPr>
          <w:rFonts w:ascii="Times New Roman" w:hAnsi="Times New Roman" w:cs="Times New Roman"/>
          <w:i/>
          <w:iCs/>
          <w:sz w:val="20"/>
          <w:szCs w:val="20"/>
        </w:rPr>
        <w:t xml:space="preserve">Annex 9, Paragraphs 3.1., </w:t>
      </w:r>
      <w:r w:rsidRPr="009A5F24">
        <w:rPr>
          <w:rFonts w:ascii="Times New Roman" w:hAnsi="Times New Roman" w:cs="Times New Roman"/>
          <w:sz w:val="20"/>
          <w:szCs w:val="20"/>
        </w:rPr>
        <w:t>amend to read:</w:t>
      </w:r>
    </w:p>
    <w:p w14:paraId="189746B0" w14:textId="77777777" w:rsidR="009A5F24" w:rsidRPr="009A5F24" w:rsidRDefault="009A5F24" w:rsidP="009A5F24">
      <w:pPr>
        <w:spacing w:after="120"/>
        <w:ind w:left="2268" w:right="1134" w:hanging="1134"/>
        <w:jc w:val="both"/>
        <w:rPr>
          <w:rFonts w:ascii="Times New Roman" w:hAnsi="Times New Roman" w:cs="Times New Roman"/>
          <w:sz w:val="20"/>
          <w:szCs w:val="20"/>
        </w:rPr>
      </w:pPr>
      <w:r w:rsidRPr="009A5F24">
        <w:rPr>
          <w:rFonts w:ascii="Times New Roman" w:hAnsi="Times New Roman" w:cs="Times New Roman"/>
          <w:sz w:val="20"/>
          <w:szCs w:val="20"/>
        </w:rPr>
        <w:t>"3.1.</w:t>
      </w:r>
      <w:r w:rsidRPr="009A5F24">
        <w:rPr>
          <w:rFonts w:ascii="Times New Roman" w:hAnsi="Times New Roman" w:cs="Times New Roman"/>
          <w:sz w:val="20"/>
          <w:szCs w:val="20"/>
        </w:rPr>
        <w:tab/>
        <w:t>Frequency range, dwell times</w:t>
      </w:r>
    </w:p>
    <w:p w14:paraId="7E7F9112" w14:textId="77777777" w:rsidR="009A5F24" w:rsidRPr="009A5F24" w:rsidRDefault="009A5F24" w:rsidP="009A5F24">
      <w:pPr>
        <w:spacing w:after="120"/>
        <w:ind w:left="2268" w:right="1134"/>
        <w:jc w:val="both"/>
        <w:rPr>
          <w:rFonts w:ascii="Times New Roman" w:hAnsi="Times New Roman" w:cs="Times New Roman"/>
          <w:sz w:val="20"/>
          <w:szCs w:val="20"/>
        </w:rPr>
      </w:pPr>
      <w:r w:rsidRPr="009A5F24">
        <w:rPr>
          <w:rFonts w:ascii="Times New Roman" w:hAnsi="Times New Roman" w:cs="Times New Roman"/>
          <w:sz w:val="20"/>
          <w:szCs w:val="20"/>
        </w:rPr>
        <w:t xml:space="preserve">Measurements shall be made in the 20 to </w:t>
      </w:r>
      <w:r w:rsidRPr="009A5F24">
        <w:rPr>
          <w:rFonts w:ascii="Times New Roman" w:hAnsi="Times New Roman" w:cs="Times New Roman"/>
          <w:strike/>
          <w:sz w:val="20"/>
          <w:szCs w:val="20"/>
        </w:rPr>
        <w:t>2</w:t>
      </w:r>
      <w:r w:rsidRPr="009A5F24">
        <w:rPr>
          <w:rFonts w:ascii="Times New Roman" w:hAnsi="Times New Roman" w:cs="Times New Roman"/>
          <w:b/>
          <w:bCs/>
          <w:sz w:val="20"/>
          <w:szCs w:val="20"/>
        </w:rPr>
        <w:t>6</w:t>
      </w:r>
      <w:r w:rsidRPr="009A5F24">
        <w:rPr>
          <w:rFonts w:ascii="Times New Roman" w:hAnsi="Times New Roman" w:cs="Times New Roman"/>
          <w:sz w:val="20"/>
          <w:szCs w:val="20"/>
        </w:rPr>
        <w:t>,000 MHz frequency range with frequency steps according to ISO 11452-1.</w:t>
      </w:r>
    </w:p>
    <w:p w14:paraId="7EED5626" w14:textId="77777777" w:rsidR="009A5F24" w:rsidRPr="009A5F24" w:rsidRDefault="009A5F24" w:rsidP="009A5F24">
      <w:pPr>
        <w:spacing w:after="120"/>
        <w:ind w:left="2268" w:right="1134"/>
        <w:jc w:val="both"/>
        <w:rPr>
          <w:rFonts w:ascii="Times New Roman" w:hAnsi="Times New Roman" w:cs="Times New Roman"/>
          <w:sz w:val="20"/>
          <w:szCs w:val="20"/>
        </w:rPr>
      </w:pPr>
      <w:r w:rsidRPr="009A5F24">
        <w:rPr>
          <w:rFonts w:ascii="Times New Roman" w:hAnsi="Times New Roman" w:cs="Times New Roman"/>
          <w:sz w:val="20"/>
          <w:szCs w:val="20"/>
        </w:rPr>
        <w:t>The test signal modulation shall be:</w:t>
      </w:r>
    </w:p>
    <w:p w14:paraId="720EDE52" w14:textId="6D3ACDE4" w:rsidR="009A5F24" w:rsidRPr="009A5F24" w:rsidRDefault="009A5F24" w:rsidP="009A5F24">
      <w:pPr>
        <w:spacing w:after="120"/>
        <w:ind w:left="2835" w:right="1134" w:hanging="567"/>
        <w:jc w:val="both"/>
        <w:rPr>
          <w:rFonts w:ascii="Times New Roman" w:hAnsi="Times New Roman" w:cs="Times New Roman"/>
          <w:sz w:val="20"/>
          <w:szCs w:val="20"/>
        </w:rPr>
      </w:pPr>
      <w:r w:rsidRPr="009A5F24">
        <w:rPr>
          <w:rFonts w:ascii="Times New Roman" w:hAnsi="Times New Roman" w:cs="Times New Roman"/>
          <w:sz w:val="20"/>
          <w:szCs w:val="20"/>
        </w:rPr>
        <w:t>(a)</w:t>
      </w:r>
      <w:r w:rsidRPr="009A5F24">
        <w:rPr>
          <w:rFonts w:ascii="Times New Roman" w:hAnsi="Times New Roman" w:cs="Times New Roman"/>
          <w:sz w:val="20"/>
          <w:szCs w:val="20"/>
        </w:rPr>
        <w:tab/>
        <w:t xml:space="preserve">AM (amplitude modulation), with 1 kHz modulation and 80 per cent modulation depth in the 20 to </w:t>
      </w:r>
      <w:r w:rsidRPr="009A5F24">
        <w:rPr>
          <w:rFonts w:ascii="Times New Roman" w:hAnsi="Times New Roman" w:cs="Times New Roman"/>
          <w:strike/>
          <w:color w:val="FF0000"/>
          <w:sz w:val="20"/>
          <w:szCs w:val="20"/>
        </w:rPr>
        <w:t>800</w:t>
      </w:r>
      <w:r w:rsidRPr="009A5F24">
        <w:rPr>
          <w:rFonts w:ascii="Times New Roman" w:hAnsi="Times New Roman" w:cs="Times New Roman"/>
          <w:sz w:val="20"/>
          <w:szCs w:val="20"/>
        </w:rPr>
        <w:t xml:space="preserve"> </w:t>
      </w:r>
      <w:r w:rsidRPr="009A5F24">
        <w:rPr>
          <w:rFonts w:ascii="Times New Roman" w:hAnsi="Times New Roman" w:cs="Times New Roman"/>
          <w:b/>
          <w:bCs/>
          <w:color w:val="00B050"/>
          <w:sz w:val="20"/>
          <w:szCs w:val="20"/>
        </w:rPr>
        <w:t>400</w:t>
      </w:r>
      <w:r w:rsidRPr="009A5F24">
        <w:rPr>
          <w:rFonts w:ascii="Times New Roman" w:hAnsi="Times New Roman" w:cs="Times New Roman"/>
          <w:sz w:val="20"/>
          <w:szCs w:val="20"/>
        </w:rPr>
        <w:t xml:space="preserve"> MHz frequency range; </w:t>
      </w:r>
      <w:r w:rsidRPr="009A5F24">
        <w:rPr>
          <w:rFonts w:ascii="Times New Roman" w:hAnsi="Times New Roman" w:cs="Times New Roman"/>
          <w:strike/>
          <w:sz w:val="20"/>
          <w:szCs w:val="20"/>
        </w:rPr>
        <w:t>and</w:t>
      </w:r>
    </w:p>
    <w:p w14:paraId="3F73ECFF" w14:textId="77777777" w:rsidR="009A5F24" w:rsidRPr="009A5F24" w:rsidRDefault="009A5F24" w:rsidP="009A5F24">
      <w:pPr>
        <w:spacing w:after="120"/>
        <w:ind w:left="2835" w:right="1134" w:hanging="567"/>
        <w:jc w:val="both"/>
        <w:rPr>
          <w:rFonts w:ascii="Times New Roman" w:hAnsi="Times New Roman" w:cs="Times New Roman"/>
          <w:strike/>
          <w:sz w:val="20"/>
          <w:szCs w:val="20"/>
        </w:rPr>
      </w:pPr>
      <w:r w:rsidRPr="009A5F24">
        <w:rPr>
          <w:rFonts w:ascii="Times New Roman" w:hAnsi="Times New Roman" w:cs="Times New Roman"/>
          <w:strike/>
          <w:sz w:val="20"/>
          <w:szCs w:val="20"/>
        </w:rPr>
        <w:t>(b)</w:t>
      </w:r>
      <w:r w:rsidRPr="009A5F24">
        <w:rPr>
          <w:rFonts w:ascii="Times New Roman" w:hAnsi="Times New Roman" w:cs="Times New Roman"/>
          <w:strike/>
          <w:sz w:val="20"/>
          <w:szCs w:val="20"/>
        </w:rPr>
        <w:tab/>
        <w:t xml:space="preserve">PM (pulse modulation), </w:t>
      </w:r>
      <w:r w:rsidRPr="009A5F24">
        <w:rPr>
          <w:rFonts w:ascii="Times New Roman" w:hAnsi="Times New Roman" w:cs="Times New Roman"/>
          <w:bCs/>
          <w:strike/>
          <w:sz w:val="20"/>
          <w:szCs w:val="20"/>
        </w:rPr>
        <w:t>Ton</w:t>
      </w:r>
      <w:r w:rsidRPr="009A5F24">
        <w:rPr>
          <w:rFonts w:ascii="Times New Roman" w:hAnsi="Times New Roman" w:cs="Times New Roman"/>
          <w:strike/>
          <w:sz w:val="20"/>
          <w:szCs w:val="20"/>
        </w:rPr>
        <w:t xml:space="preserve"> 577 µs, period 4,600 µs in the 800 to 2,000 MHz frequency range.</w:t>
      </w:r>
    </w:p>
    <w:p w14:paraId="5D57BA31" w14:textId="77777777" w:rsidR="009A5F24" w:rsidRPr="009A5F24" w:rsidRDefault="009A5F24" w:rsidP="009A5F24">
      <w:pPr>
        <w:pStyle w:val="ListParagraph"/>
        <w:numPr>
          <w:ilvl w:val="0"/>
          <w:numId w:val="6"/>
        </w:numPr>
        <w:tabs>
          <w:tab w:val="left" w:leader="dot" w:pos="8505"/>
        </w:tabs>
        <w:spacing w:after="0" w:line="276" w:lineRule="auto"/>
        <w:ind w:left="2835" w:right="1134"/>
        <w:jc w:val="both"/>
        <w:rPr>
          <w:rFonts w:ascii="Times New Roman" w:hAnsi="Times New Roman" w:cs="Times New Roman"/>
          <w:b/>
          <w:bCs/>
          <w:sz w:val="20"/>
          <w:szCs w:val="20"/>
        </w:rPr>
      </w:pPr>
      <w:r w:rsidRPr="009A5F24">
        <w:rPr>
          <w:rFonts w:ascii="Times New Roman" w:hAnsi="Times New Roman" w:cs="Times New Roman"/>
          <w:b/>
          <w:bCs/>
          <w:sz w:val="20"/>
          <w:szCs w:val="20"/>
        </w:rPr>
        <w:t>PM2 (pulse modulation type 2), Ton 3 µs, period 3,333 µs in the 2,700 to 3,100 MHz frequency range; and</w:t>
      </w:r>
    </w:p>
    <w:p w14:paraId="098ED58D" w14:textId="14A34658" w:rsidR="009A5F24" w:rsidRPr="009A5F24" w:rsidRDefault="009A5F24" w:rsidP="009A5F24">
      <w:pPr>
        <w:tabs>
          <w:tab w:val="left" w:leader="dot" w:pos="8505"/>
        </w:tabs>
        <w:spacing w:after="120"/>
        <w:ind w:left="2835" w:right="1134" w:hanging="567"/>
        <w:jc w:val="both"/>
        <w:rPr>
          <w:rFonts w:ascii="Times New Roman" w:hAnsi="Times New Roman" w:cs="Times New Roman"/>
          <w:b/>
          <w:bCs/>
          <w:sz w:val="20"/>
          <w:szCs w:val="20"/>
        </w:rPr>
      </w:pPr>
      <w:r w:rsidRPr="009A5F24">
        <w:rPr>
          <w:rFonts w:ascii="Times New Roman" w:hAnsi="Times New Roman" w:cs="Times New Roman"/>
          <w:b/>
          <w:bCs/>
          <w:sz w:val="20"/>
          <w:szCs w:val="20"/>
        </w:rPr>
        <w:t>(c)</w:t>
      </w:r>
      <w:r w:rsidRPr="009A5F24">
        <w:rPr>
          <w:rFonts w:ascii="Times New Roman" w:hAnsi="Times New Roman" w:cs="Times New Roman"/>
          <w:b/>
          <w:bCs/>
          <w:sz w:val="20"/>
          <w:szCs w:val="20"/>
        </w:rPr>
        <w:tab/>
        <w:t xml:space="preserve">PM3 (pulse modulation type 3), Ton 500 µs, period 1,000 µs in the </w:t>
      </w:r>
      <w:r w:rsidRPr="009A5F24">
        <w:rPr>
          <w:rFonts w:ascii="Times New Roman" w:hAnsi="Times New Roman" w:cs="Times New Roman"/>
          <w:b/>
          <w:bCs/>
          <w:strike/>
          <w:color w:val="FF0000"/>
          <w:sz w:val="20"/>
          <w:szCs w:val="20"/>
        </w:rPr>
        <w:t>800</w:t>
      </w:r>
      <w:r w:rsidRPr="009A5F24">
        <w:rPr>
          <w:rFonts w:ascii="Times New Roman" w:hAnsi="Times New Roman" w:cs="Times New Roman"/>
          <w:b/>
          <w:bCs/>
          <w:color w:val="FF0000"/>
          <w:sz w:val="20"/>
          <w:szCs w:val="20"/>
        </w:rPr>
        <w:t xml:space="preserve"> </w:t>
      </w:r>
      <w:r w:rsidRPr="009A5F24">
        <w:rPr>
          <w:rFonts w:ascii="Times New Roman" w:hAnsi="Times New Roman" w:cs="Times New Roman"/>
          <w:b/>
          <w:bCs/>
          <w:color w:val="00B050"/>
          <w:sz w:val="20"/>
          <w:szCs w:val="20"/>
        </w:rPr>
        <w:t>380</w:t>
      </w:r>
      <w:r w:rsidRPr="009A5F24">
        <w:rPr>
          <w:rFonts w:ascii="Times New Roman" w:hAnsi="Times New Roman" w:cs="Times New Roman"/>
          <w:b/>
          <w:bCs/>
          <w:sz w:val="20"/>
          <w:szCs w:val="20"/>
        </w:rPr>
        <w:t xml:space="preserve"> to 2,700 MHz and the 3,100 to 6,000 MHz frequency ranges.</w:t>
      </w:r>
    </w:p>
    <w:p w14:paraId="47A33D57" w14:textId="77777777" w:rsidR="009A5F24" w:rsidRPr="009A5F24" w:rsidRDefault="009A5F24" w:rsidP="009A5F24">
      <w:pPr>
        <w:spacing w:after="120"/>
        <w:ind w:left="2268" w:right="1134"/>
        <w:jc w:val="both"/>
        <w:rPr>
          <w:rFonts w:ascii="Times New Roman" w:hAnsi="Times New Roman" w:cs="Times New Roman"/>
          <w:sz w:val="20"/>
          <w:szCs w:val="20"/>
        </w:rPr>
      </w:pPr>
      <w:r w:rsidRPr="009A5F24">
        <w:rPr>
          <w:rFonts w:ascii="Times New Roman" w:hAnsi="Times New Roman" w:cs="Times New Roman"/>
          <w:sz w:val="20"/>
          <w:szCs w:val="20"/>
        </w:rPr>
        <w:t>If not otherwise agreed between Technical Service and ESA manufacturer.</w:t>
      </w:r>
    </w:p>
    <w:p w14:paraId="06E7CAF6" w14:textId="054F18D2" w:rsidR="009A5F24" w:rsidRPr="009A5F24" w:rsidRDefault="009A5F24" w:rsidP="000D3D48">
      <w:pPr>
        <w:spacing w:after="120"/>
        <w:ind w:left="2268" w:right="1134"/>
        <w:jc w:val="both"/>
        <w:rPr>
          <w:rFonts w:ascii="Times New Roman" w:hAnsi="Times New Roman" w:cs="Times New Roman"/>
        </w:rPr>
      </w:pPr>
      <w:r w:rsidRPr="009A5F24">
        <w:rPr>
          <w:rFonts w:ascii="Times New Roman" w:hAnsi="Times New Roman" w:cs="Times New Roman"/>
          <w:sz w:val="20"/>
          <w:szCs w:val="20"/>
        </w:rPr>
        <w:lastRenderedPageBreak/>
        <w:t>Frequency step size and dwell time shall be chosen according to</w:t>
      </w:r>
      <w:r w:rsidRPr="009A5F24">
        <w:rPr>
          <w:rFonts w:ascii="Times New Roman" w:hAnsi="Times New Roman" w:cs="Times New Roman"/>
          <w:sz w:val="20"/>
          <w:szCs w:val="20"/>
        </w:rPr>
        <w:br/>
        <w:t>ISO 11452-1</w:t>
      </w:r>
      <w:r w:rsidRPr="009A5F24">
        <w:rPr>
          <w:rFonts w:ascii="Times New Roman" w:hAnsi="Times New Roman" w:cs="Times New Roman"/>
          <w:bCs/>
          <w:sz w:val="20"/>
          <w:szCs w:val="20"/>
        </w:rPr>
        <w:t>.</w:t>
      </w:r>
      <w:r w:rsidR="000D3D48">
        <w:rPr>
          <w:rFonts w:ascii="Times New Roman" w:hAnsi="Times New Roman" w:cs="Times New Roman"/>
          <w:bCs/>
          <w:sz w:val="20"/>
          <w:szCs w:val="20"/>
        </w:rPr>
        <w:t>”</w:t>
      </w:r>
    </w:p>
    <w:sectPr w:rsidR="009A5F24" w:rsidRPr="009A5F24" w:rsidSect="000D3D48">
      <w:headerReference w:type="default" r:id="rId9"/>
      <w:pgSz w:w="11906" w:h="16838"/>
      <w:pgMar w:top="170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BAD7" w14:textId="77777777" w:rsidR="00444E46" w:rsidRDefault="00444E46" w:rsidP="003E64E8">
      <w:pPr>
        <w:spacing w:after="0" w:line="240" w:lineRule="auto"/>
      </w:pPr>
      <w:r>
        <w:separator/>
      </w:r>
    </w:p>
  </w:endnote>
  <w:endnote w:type="continuationSeparator" w:id="0">
    <w:p w14:paraId="013DC6D8" w14:textId="77777777" w:rsidR="00444E46" w:rsidRDefault="00444E46" w:rsidP="003E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F90A" w14:textId="77777777" w:rsidR="00444E46" w:rsidRDefault="00444E46" w:rsidP="003E64E8">
      <w:pPr>
        <w:spacing w:after="0" w:line="240" w:lineRule="auto"/>
      </w:pPr>
      <w:r>
        <w:separator/>
      </w:r>
    </w:p>
  </w:footnote>
  <w:footnote w:type="continuationSeparator" w:id="0">
    <w:p w14:paraId="6047E793" w14:textId="77777777" w:rsidR="00444E46" w:rsidRDefault="00444E46" w:rsidP="003E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5103"/>
      <w:gridCol w:w="4536"/>
    </w:tblGrid>
    <w:tr w:rsidR="0025314F" w:rsidRPr="004171B7" w14:paraId="4CC9E394" w14:textId="77777777" w:rsidTr="001F3092">
      <w:trPr>
        <w:trHeight w:hRule="exact" w:val="991"/>
      </w:trPr>
      <w:tc>
        <w:tcPr>
          <w:tcW w:w="5103" w:type="dxa"/>
          <w:shd w:val="clear" w:color="auto" w:fill="auto"/>
        </w:tcPr>
        <w:p w14:paraId="56F4DE37" w14:textId="5A246C40" w:rsidR="0025314F" w:rsidRPr="004171B7" w:rsidRDefault="0025314F" w:rsidP="0025314F">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OICA</w:t>
          </w:r>
          <w:r>
            <w:rPr>
              <w:rFonts w:eastAsia="HGSGothicM"/>
              <w:kern w:val="2"/>
              <w:lang w:eastAsia="ja-JP"/>
            </w:rPr>
            <w:t xml:space="preserve"> and CLEPA</w:t>
          </w:r>
        </w:p>
      </w:tc>
      <w:tc>
        <w:tcPr>
          <w:tcW w:w="4536" w:type="dxa"/>
          <w:shd w:val="clear" w:color="auto" w:fill="auto"/>
        </w:tcPr>
        <w:p w14:paraId="0AFDCAB6" w14:textId="641F65C7" w:rsidR="0025314F" w:rsidRPr="00DD0982" w:rsidRDefault="0025314F" w:rsidP="0025314F">
          <w:pPr>
            <w:pStyle w:val="Header"/>
            <w:ind w:left="1416"/>
            <w:rPr>
              <w:b/>
              <w:bCs/>
            </w:rPr>
          </w:pPr>
          <w:r w:rsidRPr="00DD0982">
            <w:rPr>
              <w:bCs/>
              <w:u w:val="single"/>
            </w:rPr>
            <w:t>Informal document</w:t>
          </w:r>
          <w:r w:rsidRPr="00DD0982">
            <w:rPr>
              <w:bCs/>
            </w:rPr>
            <w:t xml:space="preserve"> </w:t>
          </w:r>
          <w:r w:rsidRPr="00DD0982">
            <w:t>GRE-90-2</w:t>
          </w:r>
          <w:r w:rsidR="00DD0982" w:rsidRPr="00DD0982">
            <w:t>3</w:t>
          </w:r>
        </w:p>
        <w:p w14:paraId="45565CB8" w14:textId="77777777" w:rsidR="0025314F" w:rsidRPr="00DD0982" w:rsidRDefault="0025314F" w:rsidP="0025314F">
          <w:pPr>
            <w:pStyle w:val="Header"/>
            <w:ind w:left="1416"/>
            <w:rPr>
              <w:b/>
            </w:rPr>
          </w:pPr>
          <w:r w:rsidRPr="00DD0982">
            <w:t xml:space="preserve">(90th GRE, 29 April-3 May 2023, </w:t>
          </w:r>
        </w:p>
        <w:p w14:paraId="1D2FC5F4" w14:textId="77777777" w:rsidR="0025314F" w:rsidRPr="004171B7" w:rsidRDefault="0025314F" w:rsidP="0025314F">
          <w:pPr>
            <w:widowControl w:val="0"/>
            <w:tabs>
              <w:tab w:val="center" w:pos="4677"/>
              <w:tab w:val="right" w:pos="9355"/>
            </w:tabs>
            <w:ind w:left="1416" w:right="400"/>
            <w:rPr>
              <w:rFonts w:ascii="HGSGothicM" w:eastAsia="HGSGothicM" w:hAnsi="Century"/>
              <w:kern w:val="2"/>
              <w:lang w:eastAsia="ar-SA"/>
            </w:rPr>
          </w:pPr>
          <w:r w:rsidRPr="00DD0982">
            <w:t>agenda item 8)</w:t>
          </w:r>
        </w:p>
      </w:tc>
    </w:tr>
  </w:tbl>
  <w:p w14:paraId="5F9C4BA4" w14:textId="323C8631" w:rsidR="003E64E8" w:rsidRPr="0025314F" w:rsidRDefault="003E64E8" w:rsidP="0025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9F6"/>
    <w:multiLevelType w:val="hybridMultilevel"/>
    <w:tmpl w:val="EC6C79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C14022"/>
    <w:multiLevelType w:val="hybridMultilevel"/>
    <w:tmpl w:val="12DA8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E05E4"/>
    <w:multiLevelType w:val="hybridMultilevel"/>
    <w:tmpl w:val="695C7322"/>
    <w:lvl w:ilvl="0" w:tplc="D990F22A">
      <w:start w:val="2"/>
      <w:numFmt w:val="lowerLetter"/>
      <w:lvlText w:val="(%1)"/>
      <w:lvlJc w:val="left"/>
      <w:pPr>
        <w:ind w:left="1710" w:hanging="57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A159B1"/>
    <w:multiLevelType w:val="hybridMultilevel"/>
    <w:tmpl w:val="A9B6575E"/>
    <w:lvl w:ilvl="0" w:tplc="3DCC363E">
      <w:start w:val="2"/>
      <w:numFmt w:val="lowerLetter"/>
      <w:lvlText w:val="(%1)"/>
      <w:lvlJc w:val="left"/>
      <w:pPr>
        <w:ind w:left="1710" w:hanging="576"/>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4" w15:restartNumberingAfterBreak="0">
    <w:nsid w:val="68C93AFC"/>
    <w:multiLevelType w:val="hybridMultilevel"/>
    <w:tmpl w:val="13A4F1FA"/>
    <w:lvl w:ilvl="0" w:tplc="B7E664E2">
      <w:start w:val="1"/>
      <w:numFmt w:val="bullet"/>
      <w:lvlText w:val=""/>
      <w:lvlJc w:val="left"/>
      <w:pPr>
        <w:tabs>
          <w:tab w:val="num" w:pos="720"/>
        </w:tabs>
        <w:ind w:left="720" w:hanging="360"/>
      </w:pPr>
      <w:rPr>
        <w:rFonts w:ascii="Wingdings" w:hAnsi="Wingdings" w:hint="default"/>
      </w:rPr>
    </w:lvl>
    <w:lvl w:ilvl="1" w:tplc="94FC29A0" w:tentative="1">
      <w:start w:val="1"/>
      <w:numFmt w:val="bullet"/>
      <w:lvlText w:val=""/>
      <w:lvlJc w:val="left"/>
      <w:pPr>
        <w:tabs>
          <w:tab w:val="num" w:pos="1440"/>
        </w:tabs>
        <w:ind w:left="1440" w:hanging="360"/>
      </w:pPr>
      <w:rPr>
        <w:rFonts w:ascii="Wingdings" w:hAnsi="Wingdings" w:hint="default"/>
      </w:rPr>
    </w:lvl>
    <w:lvl w:ilvl="2" w:tplc="5A8C4864" w:tentative="1">
      <w:start w:val="1"/>
      <w:numFmt w:val="bullet"/>
      <w:lvlText w:val=""/>
      <w:lvlJc w:val="left"/>
      <w:pPr>
        <w:tabs>
          <w:tab w:val="num" w:pos="2160"/>
        </w:tabs>
        <w:ind w:left="2160" w:hanging="360"/>
      </w:pPr>
      <w:rPr>
        <w:rFonts w:ascii="Wingdings" w:hAnsi="Wingdings" w:hint="default"/>
      </w:rPr>
    </w:lvl>
    <w:lvl w:ilvl="3" w:tplc="7CECFEEE" w:tentative="1">
      <w:start w:val="1"/>
      <w:numFmt w:val="bullet"/>
      <w:lvlText w:val=""/>
      <w:lvlJc w:val="left"/>
      <w:pPr>
        <w:tabs>
          <w:tab w:val="num" w:pos="2880"/>
        </w:tabs>
        <w:ind w:left="2880" w:hanging="360"/>
      </w:pPr>
      <w:rPr>
        <w:rFonts w:ascii="Wingdings" w:hAnsi="Wingdings" w:hint="default"/>
      </w:rPr>
    </w:lvl>
    <w:lvl w:ilvl="4" w:tplc="B2E475A4" w:tentative="1">
      <w:start w:val="1"/>
      <w:numFmt w:val="bullet"/>
      <w:lvlText w:val=""/>
      <w:lvlJc w:val="left"/>
      <w:pPr>
        <w:tabs>
          <w:tab w:val="num" w:pos="3600"/>
        </w:tabs>
        <w:ind w:left="3600" w:hanging="360"/>
      </w:pPr>
      <w:rPr>
        <w:rFonts w:ascii="Wingdings" w:hAnsi="Wingdings" w:hint="default"/>
      </w:rPr>
    </w:lvl>
    <w:lvl w:ilvl="5" w:tplc="AB4AE462" w:tentative="1">
      <w:start w:val="1"/>
      <w:numFmt w:val="bullet"/>
      <w:lvlText w:val=""/>
      <w:lvlJc w:val="left"/>
      <w:pPr>
        <w:tabs>
          <w:tab w:val="num" w:pos="4320"/>
        </w:tabs>
        <w:ind w:left="4320" w:hanging="360"/>
      </w:pPr>
      <w:rPr>
        <w:rFonts w:ascii="Wingdings" w:hAnsi="Wingdings" w:hint="default"/>
      </w:rPr>
    </w:lvl>
    <w:lvl w:ilvl="6" w:tplc="22E86260" w:tentative="1">
      <w:start w:val="1"/>
      <w:numFmt w:val="bullet"/>
      <w:lvlText w:val=""/>
      <w:lvlJc w:val="left"/>
      <w:pPr>
        <w:tabs>
          <w:tab w:val="num" w:pos="5040"/>
        </w:tabs>
        <w:ind w:left="5040" w:hanging="360"/>
      </w:pPr>
      <w:rPr>
        <w:rFonts w:ascii="Wingdings" w:hAnsi="Wingdings" w:hint="default"/>
      </w:rPr>
    </w:lvl>
    <w:lvl w:ilvl="7" w:tplc="7990FA46" w:tentative="1">
      <w:start w:val="1"/>
      <w:numFmt w:val="bullet"/>
      <w:lvlText w:val=""/>
      <w:lvlJc w:val="left"/>
      <w:pPr>
        <w:tabs>
          <w:tab w:val="num" w:pos="5760"/>
        </w:tabs>
        <w:ind w:left="5760" w:hanging="360"/>
      </w:pPr>
      <w:rPr>
        <w:rFonts w:ascii="Wingdings" w:hAnsi="Wingdings" w:hint="default"/>
      </w:rPr>
    </w:lvl>
    <w:lvl w:ilvl="8" w:tplc="FC222AB4" w:tentative="1">
      <w:start w:val="1"/>
      <w:numFmt w:val="bullet"/>
      <w:lvlText w:val=""/>
      <w:lvlJc w:val="left"/>
      <w:pPr>
        <w:tabs>
          <w:tab w:val="num" w:pos="6480"/>
        </w:tabs>
        <w:ind w:left="6480" w:hanging="360"/>
      </w:pPr>
      <w:rPr>
        <w:rFonts w:ascii="Wingdings" w:hAnsi="Wingdings" w:hint="default"/>
      </w:rPr>
    </w:lvl>
  </w:abstractNum>
  <w:num w:numId="1" w16cid:durableId="2074352338">
    <w:abstractNumId w:val="4"/>
  </w:num>
  <w:num w:numId="2" w16cid:durableId="227227517">
    <w:abstractNumId w:val="0"/>
  </w:num>
  <w:num w:numId="3" w16cid:durableId="1182627822">
    <w:abstractNumId w:val="1"/>
  </w:num>
  <w:num w:numId="4" w16cid:durableId="1869222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30406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7992008">
    <w:abstractNumId w:val="2"/>
  </w:num>
  <w:num w:numId="7" w16cid:durableId="9313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8C"/>
    <w:rsid w:val="000C503B"/>
    <w:rsid w:val="000D3D48"/>
    <w:rsid w:val="000E1FA6"/>
    <w:rsid w:val="00132A5A"/>
    <w:rsid w:val="00181A9A"/>
    <w:rsid w:val="00194143"/>
    <w:rsid w:val="001A177F"/>
    <w:rsid w:val="001D4AE8"/>
    <w:rsid w:val="002150C2"/>
    <w:rsid w:val="0025314F"/>
    <w:rsid w:val="00287CCC"/>
    <w:rsid w:val="002A50FF"/>
    <w:rsid w:val="003A683F"/>
    <w:rsid w:val="003E64E8"/>
    <w:rsid w:val="00444E46"/>
    <w:rsid w:val="00493686"/>
    <w:rsid w:val="004A5572"/>
    <w:rsid w:val="004B4649"/>
    <w:rsid w:val="004D3C71"/>
    <w:rsid w:val="004E1909"/>
    <w:rsid w:val="005731E0"/>
    <w:rsid w:val="005862F0"/>
    <w:rsid w:val="005A609E"/>
    <w:rsid w:val="005C57B9"/>
    <w:rsid w:val="005E66DA"/>
    <w:rsid w:val="005F758C"/>
    <w:rsid w:val="00630728"/>
    <w:rsid w:val="00781393"/>
    <w:rsid w:val="007A4649"/>
    <w:rsid w:val="007F5D3F"/>
    <w:rsid w:val="008123DA"/>
    <w:rsid w:val="0083201E"/>
    <w:rsid w:val="008C69BF"/>
    <w:rsid w:val="008D24D9"/>
    <w:rsid w:val="009246C4"/>
    <w:rsid w:val="00934383"/>
    <w:rsid w:val="0093517B"/>
    <w:rsid w:val="00980387"/>
    <w:rsid w:val="009A5F24"/>
    <w:rsid w:val="009C4721"/>
    <w:rsid w:val="00A35A2D"/>
    <w:rsid w:val="00A473AE"/>
    <w:rsid w:val="00A80E36"/>
    <w:rsid w:val="00A87836"/>
    <w:rsid w:val="00AA06F2"/>
    <w:rsid w:val="00B14458"/>
    <w:rsid w:val="00B42CB1"/>
    <w:rsid w:val="00B66BC2"/>
    <w:rsid w:val="00BA5DD2"/>
    <w:rsid w:val="00BD3BBD"/>
    <w:rsid w:val="00BF0B18"/>
    <w:rsid w:val="00BF0EF7"/>
    <w:rsid w:val="00C34299"/>
    <w:rsid w:val="00C77B61"/>
    <w:rsid w:val="00C961B2"/>
    <w:rsid w:val="00D37BF3"/>
    <w:rsid w:val="00DA3455"/>
    <w:rsid w:val="00DA6330"/>
    <w:rsid w:val="00DC3104"/>
    <w:rsid w:val="00DD0982"/>
    <w:rsid w:val="00E272EE"/>
    <w:rsid w:val="00E528AC"/>
    <w:rsid w:val="00E82FA7"/>
    <w:rsid w:val="00E9663F"/>
    <w:rsid w:val="00EC27B9"/>
    <w:rsid w:val="00F15036"/>
    <w:rsid w:val="00F336A9"/>
    <w:rsid w:val="00F532C1"/>
    <w:rsid w:val="00F75BA4"/>
    <w:rsid w:val="00F86E91"/>
    <w:rsid w:val="00FC3AA0"/>
    <w:rsid w:val="00FD658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7CF9"/>
  <w15:chartTrackingRefBased/>
  <w15:docId w15:val="{9FD30ED8-6A4A-4400-85E1-7C24BB29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A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6_G"/>
    <w:basedOn w:val="Normal"/>
    <w:link w:val="HeaderChar"/>
    <w:unhideWhenUsed/>
    <w:qFormat/>
    <w:rsid w:val="003E64E8"/>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3E64E8"/>
  </w:style>
  <w:style w:type="paragraph" w:styleId="Footer">
    <w:name w:val="footer"/>
    <w:basedOn w:val="Normal"/>
    <w:link w:val="FooterChar"/>
    <w:uiPriority w:val="99"/>
    <w:unhideWhenUsed/>
    <w:rsid w:val="003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E8"/>
  </w:style>
  <w:style w:type="paragraph" w:styleId="ListParagraph">
    <w:name w:val="List Paragraph"/>
    <w:basedOn w:val="Normal"/>
    <w:uiPriority w:val="34"/>
    <w:qFormat/>
    <w:rsid w:val="00924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0278">
      <w:bodyDiv w:val="1"/>
      <w:marLeft w:val="0"/>
      <w:marRight w:val="0"/>
      <w:marTop w:val="0"/>
      <w:marBottom w:val="0"/>
      <w:divBdr>
        <w:top w:val="none" w:sz="0" w:space="0" w:color="auto"/>
        <w:left w:val="none" w:sz="0" w:space="0" w:color="auto"/>
        <w:bottom w:val="none" w:sz="0" w:space="0" w:color="auto"/>
        <w:right w:val="none" w:sz="0" w:space="0" w:color="auto"/>
      </w:divBdr>
    </w:div>
    <w:div w:id="822622105">
      <w:bodyDiv w:val="1"/>
      <w:marLeft w:val="0"/>
      <w:marRight w:val="0"/>
      <w:marTop w:val="0"/>
      <w:marBottom w:val="0"/>
      <w:divBdr>
        <w:top w:val="none" w:sz="0" w:space="0" w:color="auto"/>
        <w:left w:val="none" w:sz="0" w:space="0" w:color="auto"/>
        <w:bottom w:val="none" w:sz="0" w:space="0" w:color="auto"/>
        <w:right w:val="none" w:sz="0" w:space="0" w:color="auto"/>
      </w:divBdr>
    </w:div>
    <w:div w:id="891773696">
      <w:bodyDiv w:val="1"/>
      <w:marLeft w:val="0"/>
      <w:marRight w:val="0"/>
      <w:marTop w:val="0"/>
      <w:marBottom w:val="0"/>
      <w:divBdr>
        <w:top w:val="none" w:sz="0" w:space="0" w:color="auto"/>
        <w:left w:val="none" w:sz="0" w:space="0" w:color="auto"/>
        <w:bottom w:val="none" w:sz="0" w:space="0" w:color="auto"/>
        <w:right w:val="none" w:sz="0" w:space="0" w:color="auto"/>
      </w:divBdr>
    </w:div>
    <w:div w:id="1685017239">
      <w:bodyDiv w:val="1"/>
      <w:marLeft w:val="0"/>
      <w:marRight w:val="0"/>
      <w:marTop w:val="0"/>
      <w:marBottom w:val="0"/>
      <w:divBdr>
        <w:top w:val="none" w:sz="0" w:space="0" w:color="auto"/>
        <w:left w:val="none" w:sz="0" w:space="0" w:color="auto"/>
        <w:bottom w:val="none" w:sz="0" w:space="0" w:color="auto"/>
        <w:right w:val="none" w:sz="0" w:space="0" w:color="auto"/>
      </w:divBdr>
    </w:div>
    <w:div w:id="1924100396">
      <w:bodyDiv w:val="1"/>
      <w:marLeft w:val="0"/>
      <w:marRight w:val="0"/>
      <w:marTop w:val="0"/>
      <w:marBottom w:val="0"/>
      <w:divBdr>
        <w:top w:val="none" w:sz="0" w:space="0" w:color="auto"/>
        <w:left w:val="none" w:sz="0" w:space="0" w:color="auto"/>
        <w:bottom w:val="none" w:sz="0" w:space="0" w:color="auto"/>
        <w:right w:val="none" w:sz="0" w:space="0" w:color="auto"/>
      </w:divBdr>
      <w:divsChild>
        <w:div w:id="1993749862">
          <w:marLeft w:val="446"/>
          <w:marRight w:val="0"/>
          <w:marTop w:val="0"/>
          <w:marBottom w:val="160"/>
          <w:divBdr>
            <w:top w:val="none" w:sz="0" w:space="0" w:color="auto"/>
            <w:left w:val="none" w:sz="0" w:space="0" w:color="auto"/>
            <w:bottom w:val="none" w:sz="0" w:space="0" w:color="auto"/>
            <w:right w:val="none" w:sz="0" w:space="0" w:color="auto"/>
          </w:divBdr>
        </w:div>
        <w:div w:id="113066168">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31E57-AF65-4C75-BE98-B49223B08809}">
  <ds:schemaRefs>
    <ds:schemaRef ds:uri="http://schemas.microsoft.com/sharepoint/v3/contenttype/forms"/>
  </ds:schemaRefs>
</ds:datastoreItem>
</file>

<file path=customXml/itemProps2.xml><?xml version="1.0" encoding="utf-8"?>
<ds:datastoreItem xmlns:ds="http://schemas.openxmlformats.org/officeDocument/2006/customXml" ds:itemID="{446F75C6-7054-41C0-A3E3-8D6054D5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4803</Characters>
  <Application>Microsoft Office Word</Application>
  <DocSecurity>0</DocSecurity>
  <Lines>96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Andrea Marie (ME/EMC)</dc:creator>
  <cp:keywords/>
  <dc:description/>
  <cp:lastModifiedBy>Secretariat editorial modifications</cp:lastModifiedBy>
  <cp:revision>6</cp:revision>
  <dcterms:created xsi:type="dcterms:W3CDTF">2024-04-22T05:21:00Z</dcterms:created>
  <dcterms:modified xsi:type="dcterms:W3CDTF">2024-04-26T17:49:00Z</dcterms:modified>
</cp:coreProperties>
</file>