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C29B" w14:textId="171D0EDE" w:rsidR="008E2CD6" w:rsidRPr="00D86A8A" w:rsidRDefault="008E2CD6" w:rsidP="008E2CD6">
      <w:pPr>
        <w:pStyle w:val="HChG"/>
        <w:jc w:val="both"/>
      </w:pPr>
      <w:r w:rsidRPr="00D86A8A">
        <w:tab/>
      </w:r>
      <w:r w:rsidRPr="00D86A8A">
        <w:tab/>
        <w:t xml:space="preserve">Proposal for </w:t>
      </w:r>
      <w:r>
        <w:t>S</w:t>
      </w:r>
      <w:r w:rsidRPr="00D86A8A">
        <w:t>upplement 4 to the Original Version of UN Regulation No. 158 (</w:t>
      </w:r>
      <w:r>
        <w:t>Reversing motion</w:t>
      </w:r>
      <w:r w:rsidRPr="00D86A8A">
        <w:t>)</w:t>
      </w:r>
    </w:p>
    <w:p w14:paraId="2825AF0B" w14:textId="77777777" w:rsidR="008E2CD6" w:rsidRPr="00D86A8A" w:rsidRDefault="008E2CD6" w:rsidP="008E2CD6">
      <w:pPr>
        <w:pStyle w:val="H1G"/>
        <w:rPr>
          <w:b w:val="0"/>
        </w:rPr>
      </w:pPr>
      <w:r w:rsidRPr="00D86A8A">
        <w:tab/>
      </w:r>
      <w:r w:rsidRPr="00D86A8A">
        <w:tab/>
      </w:r>
      <w:r w:rsidRPr="00D86A8A">
        <w:rPr>
          <w:rFonts w:eastAsia="MS Mincho"/>
          <w:lang w:eastAsia="en-US"/>
        </w:rPr>
        <w:t xml:space="preserve">Submitted by </w:t>
      </w:r>
      <w:r w:rsidRPr="00D86A8A">
        <w:t>the expert from the Netherlands</w:t>
      </w:r>
      <w:r w:rsidRPr="00D86A8A">
        <w:footnoteReference w:customMarkFollows="1" w:id="2"/>
        <w:t>*</w:t>
      </w:r>
    </w:p>
    <w:p w14:paraId="48B900DA" w14:textId="77777777" w:rsidR="008E2CD6" w:rsidRPr="00D86A8A" w:rsidRDefault="008E2CD6" w:rsidP="008E2CD6">
      <w:pPr>
        <w:pStyle w:val="SingleTxtG"/>
        <w:ind w:firstLine="567"/>
      </w:pPr>
      <w:r w:rsidRPr="00D86A8A">
        <w:rPr>
          <w:color w:val="000000" w:themeColor="text1"/>
        </w:rPr>
        <w:t>The text reproduced below was prepared by the expert from the Netherlands,</w:t>
      </w:r>
      <w:r w:rsidRPr="00D86A8A">
        <w:t xml:space="preserve"> </w:t>
      </w:r>
      <w:bookmarkStart w:id="0" w:name="_Hlk46250620"/>
      <w:r w:rsidRPr="00D86A8A">
        <w:t>to update the references to the three-dimensional H-point (</w:t>
      </w:r>
      <w:r w:rsidRPr="00D86A8A">
        <w:rPr>
          <w:rFonts w:eastAsia="Malgun Gothic"/>
          <w:lang w:eastAsia="ko-KR"/>
        </w:rPr>
        <w:t xml:space="preserve">3-D "H"-point) </w:t>
      </w:r>
      <w:r w:rsidRPr="00D86A8A">
        <w:t>measurement and calibration procedure, which is updated and moved from the Consolidated Resolution on the Construction of Vehicles (R.E.3) to Mutual Resolution No. 1 (M.R.1). The modifications to the current text of UN Regulation No. 158 are marked in bold for new and strikethrough for deleted characters.</w:t>
      </w:r>
    </w:p>
    <w:bookmarkEnd w:id="0"/>
    <w:p w14:paraId="7C628C73" w14:textId="77777777" w:rsidR="008E2CD6" w:rsidRPr="00D86A8A" w:rsidRDefault="008E2CD6" w:rsidP="008E2CD6">
      <w:pPr>
        <w:pStyle w:val="SingleTxtG"/>
        <w:ind w:firstLine="425"/>
      </w:pPr>
    </w:p>
    <w:p w14:paraId="6BB30F23" w14:textId="77777777" w:rsidR="008E2CD6" w:rsidRPr="00D86A8A" w:rsidRDefault="008E2CD6" w:rsidP="008E2CD6">
      <w:pPr>
        <w:pStyle w:val="HChG"/>
        <w:tabs>
          <w:tab w:val="left" w:pos="8505"/>
        </w:tabs>
        <w:spacing w:before="0" w:after="0" w:line="240" w:lineRule="auto"/>
        <w:ind w:firstLine="425"/>
        <w:jc w:val="lowKashida"/>
        <w:rPr>
          <w:rFonts w:asciiTheme="majorBidi" w:hAnsiTheme="majorBidi" w:cstheme="majorBidi"/>
        </w:rPr>
      </w:pPr>
      <w:r w:rsidRPr="00D86A8A">
        <w:rPr>
          <w:rFonts w:asciiTheme="majorBidi" w:hAnsiTheme="majorBidi" w:cstheme="majorBidi"/>
        </w:rPr>
        <w:br w:type="page"/>
      </w:r>
    </w:p>
    <w:p w14:paraId="4F589931" w14:textId="77777777" w:rsidR="008E2CD6" w:rsidRPr="00D86A8A" w:rsidRDefault="008E2CD6" w:rsidP="008E2CD6">
      <w:pPr>
        <w:suppressAutoHyphens w:val="0"/>
        <w:spacing w:line="240" w:lineRule="auto"/>
        <w:rPr>
          <w:rFonts w:eastAsia="MS Mincho"/>
          <w:b/>
          <w:color w:val="000000"/>
          <w:sz w:val="28"/>
          <w:szCs w:val="28"/>
        </w:rPr>
      </w:pPr>
      <w:r w:rsidRPr="00D86A8A">
        <w:rPr>
          <w:rFonts w:eastAsia="MS Mincho"/>
          <w:b/>
          <w:color w:val="000000"/>
          <w:sz w:val="28"/>
          <w:szCs w:val="28"/>
        </w:rPr>
        <w:lastRenderedPageBreak/>
        <w:tab/>
        <w:t>I.</w:t>
      </w:r>
      <w:r w:rsidRPr="00D86A8A">
        <w:rPr>
          <w:rFonts w:eastAsia="MS Mincho"/>
          <w:b/>
          <w:color w:val="000000"/>
          <w:sz w:val="28"/>
          <w:szCs w:val="28"/>
        </w:rPr>
        <w:tab/>
        <w:t>Proposal</w:t>
      </w:r>
      <w:r w:rsidRPr="00D86A8A">
        <w:rPr>
          <w:rFonts w:eastAsia="MS Mincho"/>
          <w:b/>
          <w:color w:val="000000"/>
          <w:sz w:val="28"/>
          <w:szCs w:val="28"/>
        </w:rPr>
        <w:tab/>
      </w:r>
    </w:p>
    <w:p w14:paraId="3995D713" w14:textId="15DEC742" w:rsidR="00B33D1A" w:rsidRPr="00B33D1A" w:rsidRDefault="00B33D1A" w:rsidP="008E2CD6">
      <w:pPr>
        <w:pStyle w:val="Para"/>
        <w:spacing w:before="120"/>
        <w:ind w:left="2276" w:right="1138" w:hanging="1138"/>
        <w:jc w:val="left"/>
        <w:rPr>
          <w:bCs/>
          <w:color w:val="0070C0"/>
        </w:rPr>
      </w:pPr>
      <w:bookmarkStart w:id="1" w:name="_Toc107305524"/>
      <w:bookmarkStart w:id="2" w:name="_Hlk107305755"/>
      <w:r w:rsidRPr="00B33D1A">
        <w:rPr>
          <w:bCs/>
          <w:i/>
          <w:iCs/>
          <w:color w:val="0070C0"/>
        </w:rPr>
        <w:t>Contents, chapter 20,</w:t>
      </w:r>
      <w:r w:rsidRPr="00B33D1A">
        <w:rPr>
          <w:bCs/>
          <w:color w:val="0070C0"/>
        </w:rPr>
        <w:t xml:space="preserve"> amend to read:</w:t>
      </w:r>
    </w:p>
    <w:p w14:paraId="20D7C1CA" w14:textId="6385CC10" w:rsidR="00DC14B5" w:rsidRDefault="00B33D1A" w:rsidP="00DC14B5">
      <w:pPr>
        <w:pStyle w:val="Para"/>
        <w:spacing w:before="120" w:after="0"/>
        <w:ind w:left="2276" w:right="1138" w:hanging="1138"/>
        <w:jc w:val="left"/>
        <w:rPr>
          <w:color w:val="0070C0"/>
        </w:rPr>
      </w:pPr>
      <w:r w:rsidRPr="00B33D1A">
        <w:rPr>
          <w:color w:val="0070C0"/>
        </w:rPr>
        <w:t xml:space="preserve">“20. Penalties for non-conformity of </w:t>
      </w:r>
      <w:r w:rsidRPr="00B33D1A">
        <w:rPr>
          <w:strike/>
          <w:color w:val="0070C0"/>
        </w:rPr>
        <w:t>protection</w:t>
      </w:r>
      <w:r w:rsidRPr="00B33D1A">
        <w:rPr>
          <w:color w:val="0070C0"/>
        </w:rPr>
        <w:t xml:space="preserve"> </w:t>
      </w:r>
      <w:r w:rsidRPr="00B33D1A">
        <w:rPr>
          <w:b/>
          <w:bCs/>
          <w:color w:val="0070C0"/>
        </w:rPr>
        <w:t>production</w:t>
      </w:r>
      <w:r w:rsidRPr="00B33D1A">
        <w:rPr>
          <w:color w:val="0070C0"/>
        </w:rPr>
        <w:t>..............................................19”</w:t>
      </w:r>
    </w:p>
    <w:p w14:paraId="48F7B325" w14:textId="3CC1F067" w:rsidR="00B33D1A" w:rsidRPr="008A05A8" w:rsidRDefault="00B33D1A" w:rsidP="00B33D1A">
      <w:pPr>
        <w:pStyle w:val="Para"/>
        <w:spacing w:before="120"/>
        <w:ind w:left="2276" w:right="1138" w:hanging="1138"/>
        <w:jc w:val="left"/>
        <w:rPr>
          <w:bCs/>
          <w:color w:val="0070C0"/>
        </w:rPr>
      </w:pPr>
      <w:r w:rsidRPr="008A05A8">
        <w:rPr>
          <w:bCs/>
          <w:i/>
          <w:iCs/>
          <w:color w:val="0070C0"/>
        </w:rPr>
        <w:t xml:space="preserve">Paragraph 5.4.1., </w:t>
      </w:r>
      <w:r w:rsidRPr="008A05A8">
        <w:rPr>
          <w:bCs/>
          <w:color w:val="0070C0"/>
        </w:rPr>
        <w:t>amend to read:</w:t>
      </w:r>
    </w:p>
    <w:p w14:paraId="644F5BF9" w14:textId="19792E8C" w:rsidR="00B33D1A" w:rsidRPr="008A05A8" w:rsidRDefault="00B33D1A" w:rsidP="00B33D1A">
      <w:pPr>
        <w:pStyle w:val="Para"/>
        <w:spacing w:before="120"/>
        <w:ind w:left="2276" w:right="1138" w:hanging="1138"/>
        <w:rPr>
          <w:bCs/>
          <w:color w:val="0070C0"/>
        </w:rPr>
      </w:pPr>
      <w:r w:rsidRPr="008A05A8">
        <w:rPr>
          <w:bCs/>
          <w:color w:val="0070C0"/>
        </w:rPr>
        <w:t>"5.4.1.</w:t>
      </w:r>
      <w:r w:rsidRPr="008A05A8">
        <w:rPr>
          <w:bCs/>
          <w:color w:val="0070C0"/>
        </w:rPr>
        <w:tab/>
        <w:t>A circle surrounding the letter "E" followed by:</w:t>
      </w:r>
    </w:p>
    <w:p w14:paraId="53883FD0" w14:textId="61C42041" w:rsidR="00B33D1A" w:rsidRPr="008A05A8" w:rsidRDefault="00B33D1A" w:rsidP="00B33D1A">
      <w:pPr>
        <w:pStyle w:val="Para"/>
        <w:spacing w:before="120"/>
        <w:ind w:left="2835" w:right="1138" w:hanging="567"/>
        <w:rPr>
          <w:bCs/>
          <w:color w:val="0070C0"/>
        </w:rPr>
      </w:pPr>
      <w:r w:rsidRPr="008A05A8">
        <w:rPr>
          <w:bCs/>
          <w:color w:val="0070C0"/>
        </w:rPr>
        <w:t xml:space="preserve">(a) </w:t>
      </w:r>
      <w:r w:rsidRPr="008A05A8">
        <w:rPr>
          <w:bCs/>
          <w:color w:val="0070C0"/>
        </w:rPr>
        <w:tab/>
        <w:t>The distinguishing number of the country which has granted approval</w:t>
      </w:r>
      <w:r w:rsidRPr="008A05A8">
        <w:rPr>
          <w:b/>
          <w:color w:val="0070C0"/>
          <w:vertAlign w:val="superscript"/>
        </w:rPr>
        <w:t>1</w:t>
      </w:r>
      <w:r w:rsidRPr="008A05A8">
        <w:rPr>
          <w:bCs/>
          <w:color w:val="0070C0"/>
        </w:rPr>
        <w:t xml:space="preserve">; </w:t>
      </w:r>
    </w:p>
    <w:p w14:paraId="2D04FF08" w14:textId="77777777" w:rsidR="00B33D1A" w:rsidRPr="008A05A8" w:rsidRDefault="00B33D1A" w:rsidP="00B33D1A">
      <w:pPr>
        <w:pStyle w:val="Para"/>
        <w:spacing w:before="120"/>
        <w:ind w:left="2276" w:right="1138" w:firstLine="559"/>
        <w:rPr>
          <w:bCs/>
          <w:color w:val="0070C0"/>
        </w:rPr>
      </w:pPr>
      <w:r w:rsidRPr="008A05A8">
        <w:rPr>
          <w:bCs/>
          <w:color w:val="0070C0"/>
        </w:rPr>
        <w:t>and</w:t>
      </w:r>
    </w:p>
    <w:p w14:paraId="7C7FA561" w14:textId="798FFEBE" w:rsidR="00B33D1A" w:rsidRPr="008A05A8" w:rsidRDefault="00B33D1A" w:rsidP="00B33D1A">
      <w:pPr>
        <w:pStyle w:val="Para"/>
        <w:spacing w:before="120"/>
        <w:ind w:left="2835" w:right="1138" w:hanging="567"/>
        <w:rPr>
          <w:bCs/>
          <w:color w:val="0070C0"/>
        </w:rPr>
      </w:pPr>
      <w:r w:rsidRPr="008A05A8">
        <w:rPr>
          <w:bCs/>
          <w:color w:val="0070C0"/>
        </w:rPr>
        <w:t xml:space="preserve">(b) </w:t>
      </w:r>
      <w:r w:rsidRPr="008A05A8">
        <w:rPr>
          <w:bCs/>
          <w:color w:val="0070C0"/>
        </w:rPr>
        <w:tab/>
        <w:t>The number of this Regulation, followed by the letter "R", a dash and the approval number."</w:t>
      </w:r>
    </w:p>
    <w:p w14:paraId="496A923B" w14:textId="65AFCD9C" w:rsidR="00B33D1A" w:rsidRPr="008A05A8" w:rsidRDefault="005E2FAB" w:rsidP="00B33D1A">
      <w:pPr>
        <w:pStyle w:val="Para"/>
        <w:spacing w:before="120"/>
        <w:ind w:right="1138"/>
        <w:rPr>
          <w:bCs/>
          <w:color w:val="0070C0"/>
        </w:rPr>
      </w:pPr>
      <w:r>
        <w:rPr>
          <w:bCs/>
          <w:i/>
          <w:iCs/>
          <w:color w:val="0070C0"/>
        </w:rPr>
        <w:t>(re)</w:t>
      </w:r>
      <w:r w:rsidR="00B33D1A" w:rsidRPr="008A05A8">
        <w:rPr>
          <w:bCs/>
          <w:i/>
          <w:iCs/>
          <w:color w:val="0070C0"/>
        </w:rPr>
        <w:t>Insert footnote 1</w:t>
      </w:r>
      <w:r w:rsidR="00B33D1A" w:rsidRPr="008A05A8">
        <w:rPr>
          <w:bCs/>
          <w:color w:val="0070C0"/>
        </w:rPr>
        <w:t>, to read:</w:t>
      </w:r>
    </w:p>
    <w:p w14:paraId="4BD87381" w14:textId="49D3F5B4" w:rsidR="00DC14B5" w:rsidRPr="00DC14B5" w:rsidRDefault="00B33D1A" w:rsidP="00DC14B5">
      <w:pPr>
        <w:pStyle w:val="Para"/>
        <w:spacing w:before="120"/>
        <w:ind w:left="1418" w:right="1138" w:hanging="284"/>
        <w:jc w:val="left"/>
        <w:rPr>
          <w:b/>
          <w:color w:val="0070C0"/>
          <w:sz w:val="18"/>
          <w:szCs w:val="18"/>
        </w:rPr>
      </w:pPr>
      <w:r w:rsidRPr="008A05A8">
        <w:rPr>
          <w:b/>
          <w:color w:val="0070C0"/>
          <w:sz w:val="18"/>
          <w:szCs w:val="18"/>
          <w:vertAlign w:val="superscript"/>
        </w:rPr>
        <w:t>“1</w:t>
      </w:r>
      <w:r w:rsidR="008A05A8" w:rsidRPr="008A05A8">
        <w:rPr>
          <w:b/>
          <w:color w:val="0070C0"/>
          <w:sz w:val="18"/>
          <w:szCs w:val="18"/>
        </w:rPr>
        <w:t xml:space="preserve"> The distinguishing numbers of the Contracting Parties to the 1958 Agreement are reproduced in Annex 3 to the Consolidated Resolution on the Construction of Vehicles (R.E.3), document ECE/TRANS/WP.29/78/Rev.7 -</w:t>
      </w:r>
      <w:r w:rsidR="00DC14B5">
        <w:rPr>
          <w:b/>
          <w:color w:val="0070C0"/>
          <w:sz w:val="18"/>
          <w:szCs w:val="18"/>
        </w:rPr>
        <w:t xml:space="preserve"> </w:t>
      </w:r>
      <w:r w:rsidR="00DC14B5">
        <w:rPr>
          <w:b/>
          <w:color w:val="0070C0"/>
          <w:sz w:val="18"/>
          <w:szCs w:val="18"/>
        </w:rPr>
        <w:br/>
      </w:r>
      <w:hyperlink r:id="rId11" w:history="1">
        <w:r w:rsidR="00DC14B5" w:rsidRPr="004B7EB8">
          <w:rPr>
            <w:rStyle w:val="Hyperlink"/>
            <w:b/>
            <w:szCs w:val="18"/>
          </w:rPr>
          <w:t>https://unece.org/transport/vehicle-regulations/wp29/resolutions</w:t>
        </w:r>
      </w:hyperlink>
      <w:r w:rsidR="008A05A8" w:rsidRPr="008A05A8">
        <w:rPr>
          <w:b/>
          <w:color w:val="0070C0"/>
          <w:sz w:val="18"/>
          <w:szCs w:val="18"/>
        </w:rPr>
        <w:t>”</w:t>
      </w:r>
    </w:p>
    <w:p w14:paraId="14F9C0CC" w14:textId="789D7683" w:rsidR="008E2CD6" w:rsidRPr="00D86A8A" w:rsidRDefault="008E2CD6" w:rsidP="008E2CD6">
      <w:pPr>
        <w:pStyle w:val="Para"/>
        <w:spacing w:before="120"/>
        <w:ind w:left="2276" w:right="1138" w:hanging="1138"/>
        <w:jc w:val="left"/>
        <w:rPr>
          <w:bCs/>
        </w:rPr>
      </w:pPr>
      <w:r w:rsidRPr="00D86A8A">
        <w:rPr>
          <w:bCs/>
          <w:i/>
          <w:iCs/>
        </w:rPr>
        <w:t xml:space="preserve">Paragraph 12.4., </w:t>
      </w:r>
      <w:r w:rsidRPr="00D86A8A">
        <w:rPr>
          <w:bCs/>
        </w:rPr>
        <w:t>amend to read:</w:t>
      </w:r>
    </w:p>
    <w:p w14:paraId="4C661D56" w14:textId="77777777" w:rsidR="008E2CD6" w:rsidRPr="00D86A8A" w:rsidRDefault="008E2CD6" w:rsidP="008E2CD6">
      <w:pPr>
        <w:pStyle w:val="Para"/>
        <w:rPr>
          <w:bCs/>
        </w:rPr>
      </w:pPr>
      <w:r w:rsidRPr="00D86A8A">
        <w:rPr>
          <w:bCs/>
        </w:rPr>
        <w:t xml:space="preserve">"12.4. </w:t>
      </w:r>
      <w:r w:rsidRPr="00D86A8A">
        <w:rPr>
          <w:bCs/>
        </w:rPr>
        <w:tab/>
        <w:t>"Vehicles of categories M</w:t>
      </w:r>
      <w:r w:rsidRPr="00D86A8A">
        <w:rPr>
          <w:bCs/>
          <w:vertAlign w:val="subscript"/>
        </w:rPr>
        <w:t>1</w:t>
      </w:r>
      <w:r w:rsidRPr="00D86A8A">
        <w:rPr>
          <w:bCs/>
        </w:rPr>
        <w:t>, M</w:t>
      </w:r>
      <w:r w:rsidRPr="00D86A8A">
        <w:rPr>
          <w:bCs/>
          <w:vertAlign w:val="subscript"/>
        </w:rPr>
        <w:t>2</w:t>
      </w:r>
      <w:r w:rsidRPr="00D86A8A">
        <w:rPr>
          <w:bCs/>
        </w:rPr>
        <w:t>, M</w:t>
      </w:r>
      <w:r w:rsidRPr="00D86A8A">
        <w:rPr>
          <w:bCs/>
          <w:vertAlign w:val="subscript"/>
        </w:rPr>
        <w:t>3</w:t>
      </w:r>
      <w:r w:rsidRPr="00D86A8A">
        <w:rPr>
          <w:bCs/>
        </w:rPr>
        <w:t>, N</w:t>
      </w:r>
      <w:r w:rsidRPr="00D86A8A">
        <w:rPr>
          <w:bCs/>
          <w:vertAlign w:val="subscript"/>
        </w:rPr>
        <w:t>1</w:t>
      </w:r>
      <w:r w:rsidRPr="00D86A8A">
        <w:rPr>
          <w:bCs/>
        </w:rPr>
        <w:t>, N</w:t>
      </w:r>
      <w:r w:rsidRPr="00D86A8A">
        <w:rPr>
          <w:bCs/>
          <w:vertAlign w:val="subscript"/>
        </w:rPr>
        <w:t>2</w:t>
      </w:r>
      <w:r w:rsidRPr="00D86A8A">
        <w:rPr>
          <w:bCs/>
        </w:rPr>
        <w:t xml:space="preserve"> and N</w:t>
      </w:r>
      <w:r w:rsidRPr="00D86A8A">
        <w:rPr>
          <w:bCs/>
          <w:vertAlign w:val="subscript"/>
        </w:rPr>
        <w:t>3</w:t>
      </w:r>
      <w:r w:rsidRPr="00D86A8A">
        <w:rPr>
          <w:bCs/>
        </w:rPr>
        <w:t>" means those defined in the Consolidated Resolution on the Construction of Vehicles (R.E.3), (document ECE/TRANS/WP.29/78/Rev.</w:t>
      </w:r>
      <w:r w:rsidRPr="00D86A8A">
        <w:rPr>
          <w:bCs/>
          <w:strike/>
        </w:rPr>
        <w:t>6</w:t>
      </w:r>
      <w:r w:rsidRPr="00D86A8A">
        <w:rPr>
          <w:b/>
        </w:rPr>
        <w:t>7</w:t>
      </w:r>
      <w:r w:rsidRPr="00D86A8A">
        <w:rPr>
          <w:bCs/>
        </w:rPr>
        <w:t>)."</w:t>
      </w:r>
    </w:p>
    <w:p w14:paraId="0480542C" w14:textId="77777777" w:rsidR="008E2CD6" w:rsidRPr="00D86A8A" w:rsidRDefault="008E2CD6" w:rsidP="008E2CD6">
      <w:pPr>
        <w:pStyle w:val="Para"/>
        <w:spacing w:before="120"/>
        <w:ind w:left="2276" w:right="1138" w:hanging="1138"/>
        <w:jc w:val="left"/>
        <w:rPr>
          <w:bCs/>
        </w:rPr>
      </w:pPr>
      <w:r w:rsidRPr="00D86A8A">
        <w:rPr>
          <w:bCs/>
          <w:i/>
          <w:iCs/>
        </w:rPr>
        <w:t xml:space="preserve">Paragraph 15.2.2., </w:t>
      </w:r>
      <w:r w:rsidRPr="00D86A8A">
        <w:rPr>
          <w:bCs/>
        </w:rPr>
        <w:t xml:space="preserve"> amend to read:</w:t>
      </w:r>
    </w:p>
    <w:p w14:paraId="4A29CCFD" w14:textId="77777777" w:rsidR="008E2CD6" w:rsidRPr="00D86A8A" w:rsidRDefault="008E2CD6" w:rsidP="008E2CD6">
      <w:pPr>
        <w:pStyle w:val="Para"/>
        <w:rPr>
          <w:bCs/>
        </w:rPr>
      </w:pPr>
      <w:r w:rsidRPr="00D86A8A">
        <w:rPr>
          <w:bCs/>
        </w:rPr>
        <w:t>"15.2.2.</w:t>
      </w:r>
      <w:r w:rsidRPr="00D86A8A">
        <w:rPr>
          <w:bCs/>
        </w:rPr>
        <w:tab/>
        <w:t xml:space="preserve">The close-proximity rear-view field of vision shall be established using </w:t>
      </w:r>
      <w:proofErr w:type="spellStart"/>
      <w:r w:rsidRPr="00D86A8A">
        <w:rPr>
          <w:bCs/>
        </w:rPr>
        <w:t>ambinocular</w:t>
      </w:r>
      <w:proofErr w:type="spellEnd"/>
      <w:r w:rsidRPr="00D86A8A">
        <w:rPr>
          <w:bC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w:t>
      </w:r>
      <w:r w:rsidRPr="00D86A8A">
        <w:rPr>
          <w:bCs/>
          <w:strike/>
        </w:rPr>
        <w:t>6</w:t>
      </w:r>
      <w:r w:rsidRPr="00D86A8A">
        <w:rPr>
          <w:b/>
        </w:rPr>
        <w:t>7</w:t>
      </w:r>
      <w:r w:rsidRPr="00D86A8A">
        <w:rPr>
          <w:bCs/>
        </w:rPr>
        <w:t>, para. 2.2.5.4.), plus for M</w:t>
      </w:r>
      <w:r w:rsidRPr="00D86A8A">
        <w:rPr>
          <w:bCs/>
          <w:vertAlign w:val="subscript"/>
        </w:rPr>
        <w:t>1</w:t>
      </w:r>
      <w:r w:rsidRPr="00D86A8A">
        <w:rPr>
          <w:bCs/>
        </w:rPr>
        <w:t xml:space="preserve"> and N</w:t>
      </w:r>
      <w:r w:rsidRPr="00D86A8A">
        <w:rPr>
          <w:bCs/>
          <w:vertAlign w:val="subscript"/>
        </w:rPr>
        <w:t>1</w:t>
      </w:r>
      <w:r w:rsidRPr="00D86A8A">
        <w:rPr>
          <w:bCs/>
        </w:rPr>
        <w:t xml:space="preserve"> vehicles one front seat passenger (75 kg). When established through windows, the glazing shall have a total light transmission factor in accordance with UN Regulation No. 43, Annex 24"</w:t>
      </w:r>
    </w:p>
    <w:p w14:paraId="40A9D7CF" w14:textId="77777777" w:rsidR="008E2CD6" w:rsidRPr="00D86A8A" w:rsidRDefault="008E2CD6" w:rsidP="008E2CD6">
      <w:pPr>
        <w:pStyle w:val="Para"/>
        <w:spacing w:before="120" w:after="0"/>
        <w:ind w:left="2276" w:right="1138" w:hanging="1138"/>
        <w:jc w:val="left"/>
        <w:rPr>
          <w:bCs/>
        </w:rPr>
      </w:pPr>
      <w:r w:rsidRPr="00D86A8A">
        <w:rPr>
          <w:bCs/>
          <w:i/>
          <w:iCs/>
        </w:rPr>
        <w:t xml:space="preserve">Annex 8, footnote 1, </w:t>
      </w:r>
      <w:r w:rsidRPr="00D86A8A">
        <w:rPr>
          <w:bCs/>
        </w:rPr>
        <w:t>amend to read:</w:t>
      </w:r>
    </w:p>
    <w:p w14:paraId="4EC8E821" w14:textId="77777777" w:rsidR="008E2CD6" w:rsidRPr="00D86A8A" w:rsidRDefault="008E2CD6" w:rsidP="008E2CD6">
      <w:pPr>
        <w:pStyle w:val="Para"/>
        <w:spacing w:before="120"/>
        <w:ind w:left="1423" w:hanging="289"/>
        <w:rPr>
          <w:b/>
          <w:sz w:val="18"/>
          <w:szCs w:val="18"/>
        </w:rPr>
      </w:pPr>
      <w:r w:rsidRPr="00D86A8A">
        <w:rPr>
          <w:bCs/>
          <w:sz w:val="18"/>
          <w:szCs w:val="18"/>
          <w:vertAlign w:val="superscript"/>
        </w:rPr>
        <w:t>"1</w:t>
      </w:r>
      <w:r w:rsidRPr="00D86A8A">
        <w:rPr>
          <w:bCs/>
          <w:sz w:val="18"/>
          <w:szCs w:val="18"/>
        </w:rPr>
        <w:tab/>
        <w:t xml:space="preserve">The procedure is described in </w:t>
      </w:r>
      <w:bookmarkStart w:id="3" w:name="_Hlk156421770"/>
      <w:r w:rsidRPr="00D86A8A">
        <w:rPr>
          <w:bCs/>
          <w:strike/>
          <w:sz w:val="18"/>
          <w:szCs w:val="18"/>
        </w:rPr>
        <w:t xml:space="preserve">Annex 1 to the Consolidated Resolution on the Construction of Vehicles (R.E.3) (document ECE/TRANS/WP.29/78/Rev.6). </w:t>
      </w:r>
      <w:hyperlink r:id="rId12" w:history="1">
        <w:r w:rsidRPr="00D86A8A">
          <w:rPr>
            <w:rStyle w:val="Hyperlink"/>
            <w:bCs/>
            <w:strike/>
            <w:sz w:val="18"/>
            <w:szCs w:val="18"/>
          </w:rPr>
          <w:t>www.unece.org/trans/main/wp29/wp29wgs/wp29gen/wp29resolutions.html</w:t>
        </w:r>
      </w:hyperlink>
      <w:r w:rsidRPr="00D86A8A">
        <w:rPr>
          <w:bCs/>
          <w:sz w:val="18"/>
          <w:szCs w:val="18"/>
        </w:rPr>
        <w:br/>
      </w:r>
      <w:r w:rsidRPr="00D86A8A">
        <w:rPr>
          <w:b/>
          <w:sz w:val="18"/>
          <w:szCs w:val="18"/>
        </w:rPr>
        <w:t xml:space="preserve">Addendum 6 of Mutual Resolution No. 1 (M.R.1) (document ECE/TRANS/WP.29/1101/Amend.5); see </w:t>
      </w:r>
      <w:hyperlink r:id="rId13" w:history="1">
        <w:r w:rsidRPr="00D86A8A">
          <w:rPr>
            <w:rStyle w:val="Hyperlink"/>
            <w:b/>
            <w:sz w:val="18"/>
            <w:szCs w:val="18"/>
          </w:rPr>
          <w:t>https://unece.org/transport/vehicle-regulations/wp29/resolutions</w:t>
        </w:r>
      </w:hyperlink>
      <w:r w:rsidRPr="00D86A8A">
        <w:rPr>
          <w:rStyle w:val="Hyperlink"/>
          <w:bCs/>
          <w:color w:val="auto"/>
          <w:sz w:val="18"/>
          <w:szCs w:val="18"/>
        </w:rPr>
        <w:t>"</w:t>
      </w:r>
    </w:p>
    <w:bookmarkEnd w:id="3"/>
    <w:p w14:paraId="0C7E2238" w14:textId="77777777" w:rsidR="008E2CD6" w:rsidRPr="00D86A8A" w:rsidRDefault="008E2CD6" w:rsidP="008E2CD6">
      <w:pPr>
        <w:suppressAutoHyphens w:val="0"/>
        <w:spacing w:before="240" w:line="240" w:lineRule="auto"/>
        <w:ind w:left="562" w:firstLine="562"/>
        <w:rPr>
          <w:bCs/>
          <w:lang w:eastAsia="en-US"/>
        </w:rPr>
      </w:pPr>
      <w:r w:rsidRPr="00D86A8A">
        <w:rPr>
          <w:bCs/>
          <w:i/>
          <w:iCs/>
          <w:lang w:eastAsia="en-US"/>
        </w:rPr>
        <w:t>Annex 9, paragraph 1.3.3.2.,</w:t>
      </w:r>
      <w:r w:rsidRPr="00D86A8A">
        <w:rPr>
          <w:bCs/>
          <w:lang w:eastAsia="en-US"/>
        </w:rPr>
        <w:t xml:space="preserve"> amend to read:</w:t>
      </w:r>
    </w:p>
    <w:p w14:paraId="5DF364DB" w14:textId="77777777" w:rsidR="008E2CD6" w:rsidRPr="00D86A8A" w:rsidRDefault="008E2CD6" w:rsidP="008E2CD6">
      <w:pPr>
        <w:suppressAutoHyphens w:val="0"/>
        <w:spacing w:before="120" w:after="120" w:line="240" w:lineRule="auto"/>
        <w:ind w:left="2261" w:hanging="1123"/>
        <w:rPr>
          <w:bCs/>
          <w:lang w:eastAsia="en-US"/>
        </w:rPr>
      </w:pPr>
      <w:r w:rsidRPr="00D86A8A">
        <w:rPr>
          <w:bCs/>
          <w:lang w:eastAsia="en-US"/>
        </w:rPr>
        <w:t xml:space="preserve">"1.3.3.2. </w:t>
      </w:r>
      <w:r w:rsidRPr="00D86A8A">
        <w:rPr>
          <w:bCs/>
          <w:lang w:eastAsia="en-US"/>
        </w:rPr>
        <w:tab/>
        <w:t>Vehicle load.</w:t>
      </w:r>
    </w:p>
    <w:p w14:paraId="5D710D55" w14:textId="77777777" w:rsidR="008E2CD6" w:rsidRPr="00D86A8A" w:rsidRDefault="008E2CD6" w:rsidP="008E2CD6">
      <w:pPr>
        <w:pStyle w:val="SingleTxtG"/>
        <w:ind w:left="2268"/>
        <w:rPr>
          <w:lang w:eastAsia="en-US"/>
        </w:rPr>
      </w:pPr>
      <w:r w:rsidRPr="00D86A8A">
        <w:rPr>
          <w:lang w:eastAsia="en-US"/>
        </w:rPr>
        <w:t>The vehicle is in running order as defined in the consolidated Resolution on the Construction of vehicles (R.E.3) (ECE/TRANS/WP.29/78/Rev.</w:t>
      </w:r>
      <w:r w:rsidRPr="00D86A8A">
        <w:rPr>
          <w:strike/>
          <w:lang w:eastAsia="en-US"/>
        </w:rPr>
        <w:t>6</w:t>
      </w:r>
      <w:r w:rsidRPr="00D86A8A">
        <w:rPr>
          <w:b/>
          <w:lang w:eastAsia="en-US"/>
        </w:rPr>
        <w:t>7</w:t>
      </w:r>
      <w:r w:rsidRPr="00D86A8A">
        <w:rPr>
          <w:lang w:eastAsia="en-US"/>
        </w:rPr>
        <w:t>, paragraph 2.2.5.4.), plus for M</w:t>
      </w:r>
      <w:r w:rsidRPr="00D86A8A">
        <w:rPr>
          <w:vertAlign w:val="subscript"/>
          <w:lang w:eastAsia="en-US"/>
        </w:rPr>
        <w:t>1</w:t>
      </w:r>
      <w:r w:rsidRPr="00D86A8A">
        <w:rPr>
          <w:lang w:eastAsia="en-US"/>
        </w:rPr>
        <w:t xml:space="preserve"> and N</w:t>
      </w:r>
      <w:r w:rsidRPr="00D86A8A">
        <w:rPr>
          <w:vertAlign w:val="subscript"/>
          <w:lang w:eastAsia="en-US"/>
        </w:rPr>
        <w:t>1</w:t>
      </w:r>
      <w:r w:rsidRPr="00D86A8A">
        <w:rPr>
          <w:lang w:eastAsia="en-US"/>
        </w:rPr>
        <w:t xml:space="preserve"> vehicles one front seat passenger (75 kg)."</w:t>
      </w:r>
    </w:p>
    <w:bookmarkEnd w:id="1"/>
    <w:bookmarkEnd w:id="2"/>
    <w:p w14:paraId="551965AC" w14:textId="77777777" w:rsidR="008E2CD6" w:rsidRPr="00D86A8A" w:rsidRDefault="008E2CD6" w:rsidP="008E2CD6">
      <w:pPr>
        <w:suppressAutoHyphens w:val="0"/>
        <w:spacing w:before="240" w:line="240" w:lineRule="auto"/>
        <w:rPr>
          <w:rFonts w:eastAsia="MS Mincho"/>
          <w:b/>
          <w:color w:val="000000"/>
          <w:sz w:val="28"/>
          <w:szCs w:val="28"/>
        </w:rPr>
      </w:pPr>
      <w:r w:rsidRPr="00D86A8A">
        <w:rPr>
          <w:rFonts w:eastAsia="MS Mincho"/>
          <w:b/>
          <w:color w:val="000000"/>
          <w:sz w:val="28"/>
          <w:szCs w:val="28"/>
        </w:rPr>
        <w:tab/>
        <w:t>II.</w:t>
      </w:r>
      <w:r w:rsidRPr="00D86A8A">
        <w:rPr>
          <w:rFonts w:eastAsia="MS Mincho"/>
          <w:b/>
          <w:color w:val="000000"/>
          <w:sz w:val="28"/>
          <w:szCs w:val="28"/>
        </w:rPr>
        <w:tab/>
        <w:t>Justification</w:t>
      </w:r>
    </w:p>
    <w:p w14:paraId="4A5E519F" w14:textId="77777777" w:rsidR="008E2CD6" w:rsidRPr="00D86A8A" w:rsidRDefault="008E2CD6" w:rsidP="008E2CD6">
      <w:pPr>
        <w:pStyle w:val="SingleTxtG"/>
        <w:ind w:left="1710"/>
        <w:jc w:val="left"/>
        <w:rPr>
          <w:rFonts w:eastAsia="Malgun Gothic"/>
          <w:lang w:eastAsia="ko-KR"/>
        </w:rPr>
      </w:pPr>
    </w:p>
    <w:p w14:paraId="1F6E2E4F" w14:textId="77777777" w:rsidR="008E2CD6" w:rsidRPr="00D86A8A" w:rsidRDefault="008E2CD6" w:rsidP="008E2CD6">
      <w:pPr>
        <w:pStyle w:val="SingleTxtG"/>
        <w:numPr>
          <w:ilvl w:val="0"/>
          <w:numId w:val="20"/>
        </w:numPr>
        <w:jc w:val="left"/>
        <w:rPr>
          <w:rFonts w:eastAsia="Malgun Gothic"/>
          <w:lang w:eastAsia="ko-KR"/>
        </w:rPr>
      </w:pPr>
      <w:r w:rsidRPr="00D86A8A">
        <w:rPr>
          <w:rFonts w:eastAsia="Malgun Gothic"/>
          <w:lang w:eastAsia="ko-KR"/>
        </w:rPr>
        <w:t xml:space="preserve">Update to </w:t>
      </w:r>
      <w:r>
        <w:rPr>
          <w:rFonts w:eastAsia="Malgun Gothic"/>
          <w:lang w:eastAsia="ko-KR"/>
        </w:rPr>
        <w:t xml:space="preserve">the </w:t>
      </w:r>
      <w:r w:rsidRPr="00D86A8A">
        <w:rPr>
          <w:rFonts w:eastAsia="Malgun Gothic"/>
          <w:lang w:eastAsia="ko-KR"/>
        </w:rPr>
        <w:t>latest amendment (revision 7) of R.E.3.</w:t>
      </w:r>
    </w:p>
    <w:p w14:paraId="60F3559A" w14:textId="77777777" w:rsidR="008E2CD6" w:rsidRPr="00D86A8A" w:rsidRDefault="008E2CD6" w:rsidP="008E2CD6">
      <w:pPr>
        <w:pStyle w:val="SingleTxtG"/>
        <w:numPr>
          <w:ilvl w:val="0"/>
          <w:numId w:val="20"/>
        </w:numPr>
        <w:ind w:left="1134" w:firstLine="0"/>
        <w:rPr>
          <w:rFonts w:eastAsia="Malgun Gothic"/>
          <w:lang w:eastAsia="ko-KR"/>
        </w:rPr>
      </w:pPr>
      <w:r w:rsidRPr="00D86A8A">
        <w:rPr>
          <w:rFonts w:eastAsia="Malgun Gothic"/>
          <w:lang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007075F1" w14:textId="77777777" w:rsidR="008E2CD6" w:rsidRPr="00D86A8A" w:rsidRDefault="008E2CD6" w:rsidP="008E2CD6">
      <w:pPr>
        <w:spacing w:before="240"/>
        <w:jc w:val="center"/>
        <w:rPr>
          <w:u w:val="single"/>
        </w:rPr>
      </w:pPr>
      <w:r w:rsidRPr="00D86A8A">
        <w:rPr>
          <w:u w:val="single"/>
        </w:rPr>
        <w:lastRenderedPageBreak/>
        <w:tab/>
      </w:r>
      <w:r w:rsidRPr="00D86A8A">
        <w:rPr>
          <w:u w:val="single"/>
        </w:rPr>
        <w:tab/>
      </w:r>
      <w:r w:rsidRPr="00D86A8A">
        <w:rPr>
          <w:u w:val="single"/>
        </w:rPr>
        <w:tab/>
      </w:r>
    </w:p>
    <w:p w14:paraId="1906FC58" w14:textId="77777777" w:rsidR="001C6663" w:rsidRPr="008E2CD6" w:rsidRDefault="001C6663" w:rsidP="00595520"/>
    <w:sectPr w:rsidR="001C6663" w:rsidRPr="008E2CD6" w:rsidSect="008E2CD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9B82" w14:textId="77777777" w:rsidR="00451372" w:rsidRDefault="00451372"/>
  </w:endnote>
  <w:endnote w:type="continuationSeparator" w:id="0">
    <w:p w14:paraId="39EAB09F" w14:textId="77777777" w:rsidR="00451372" w:rsidRDefault="00451372"/>
  </w:endnote>
  <w:endnote w:type="continuationNotice" w:id="1">
    <w:p w14:paraId="74D7BFF2" w14:textId="77777777" w:rsidR="00451372" w:rsidRDefault="0045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5AF3" w14:textId="1B91A56F" w:rsidR="008E2CD6" w:rsidRPr="008E2CD6" w:rsidRDefault="008E2CD6" w:rsidP="008E2CD6">
    <w:pPr>
      <w:pStyle w:val="Footer"/>
      <w:tabs>
        <w:tab w:val="right" w:pos="9638"/>
      </w:tabs>
      <w:rPr>
        <w:sz w:val="18"/>
      </w:rPr>
    </w:pPr>
    <w:r w:rsidRPr="008E2CD6">
      <w:rPr>
        <w:b/>
        <w:sz w:val="18"/>
      </w:rPr>
      <w:fldChar w:fldCharType="begin"/>
    </w:r>
    <w:r w:rsidRPr="008E2CD6">
      <w:rPr>
        <w:b/>
        <w:sz w:val="18"/>
      </w:rPr>
      <w:instrText xml:space="preserve"> PAGE  \* MERGEFORMAT </w:instrText>
    </w:r>
    <w:r w:rsidRPr="008E2CD6">
      <w:rPr>
        <w:b/>
        <w:sz w:val="18"/>
      </w:rPr>
      <w:fldChar w:fldCharType="separate"/>
    </w:r>
    <w:r w:rsidRPr="008E2CD6">
      <w:rPr>
        <w:b/>
        <w:noProof/>
        <w:sz w:val="18"/>
      </w:rPr>
      <w:t>2</w:t>
    </w:r>
    <w:r w:rsidRPr="008E2C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57DE" w14:textId="3106DDAB" w:rsidR="008E2CD6" w:rsidRPr="008E2CD6" w:rsidRDefault="008E2CD6" w:rsidP="008E2CD6">
    <w:pPr>
      <w:pStyle w:val="Footer"/>
      <w:tabs>
        <w:tab w:val="right" w:pos="9638"/>
      </w:tabs>
      <w:rPr>
        <w:b/>
        <w:sz w:val="18"/>
      </w:rPr>
    </w:pPr>
    <w:r>
      <w:tab/>
    </w:r>
    <w:r w:rsidRPr="008E2CD6">
      <w:rPr>
        <w:b/>
        <w:sz w:val="18"/>
      </w:rPr>
      <w:fldChar w:fldCharType="begin"/>
    </w:r>
    <w:r w:rsidRPr="008E2CD6">
      <w:rPr>
        <w:b/>
        <w:sz w:val="18"/>
      </w:rPr>
      <w:instrText xml:space="preserve"> PAGE  \* MERGEFORMAT </w:instrText>
    </w:r>
    <w:r w:rsidRPr="008E2CD6">
      <w:rPr>
        <w:b/>
        <w:sz w:val="18"/>
      </w:rPr>
      <w:fldChar w:fldCharType="separate"/>
    </w:r>
    <w:r w:rsidRPr="008E2CD6">
      <w:rPr>
        <w:b/>
        <w:noProof/>
        <w:sz w:val="18"/>
      </w:rPr>
      <w:t>3</w:t>
    </w:r>
    <w:r w:rsidRPr="008E2C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1346" w14:textId="066FBE1D" w:rsidR="000B786B" w:rsidRDefault="000B786B" w:rsidP="000B786B">
    <w:pPr>
      <w:pStyle w:val="Footer"/>
    </w:pPr>
    <w:r w:rsidRPr="0027112F">
      <w:rPr>
        <w:noProof/>
        <w:lang w:val="en-US"/>
      </w:rPr>
      <w:drawing>
        <wp:anchor distT="0" distB="0" distL="114300" distR="114300" simplePos="0" relativeHeight="251659264" behindDoc="0" locked="1" layoutInCell="1" allowOverlap="1" wp14:anchorId="220EB12F" wp14:editId="28B017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DD00DB" w14:textId="5F877921" w:rsidR="000B786B" w:rsidRPr="000B786B" w:rsidRDefault="000B786B" w:rsidP="000B786B">
    <w:pPr>
      <w:pStyle w:val="Footer"/>
      <w:ind w:right="1134"/>
      <w:rPr>
        <w:sz w:val="20"/>
      </w:rPr>
    </w:pPr>
    <w:r>
      <w:rPr>
        <w:sz w:val="20"/>
      </w:rPr>
      <w:t>GE.24-01578(E)</w:t>
    </w:r>
    <w:r>
      <w:rPr>
        <w:noProof/>
        <w:sz w:val="20"/>
      </w:rPr>
      <w:drawing>
        <wp:anchor distT="0" distB="0" distL="114300" distR="114300" simplePos="0" relativeHeight="251660288" behindDoc="0" locked="0" layoutInCell="1" allowOverlap="1" wp14:anchorId="350B572B" wp14:editId="5C44C7B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641F" w14:textId="77777777" w:rsidR="00451372" w:rsidRPr="000B175B" w:rsidRDefault="00451372" w:rsidP="000B175B">
      <w:pPr>
        <w:tabs>
          <w:tab w:val="right" w:pos="2155"/>
        </w:tabs>
        <w:spacing w:after="80"/>
        <w:ind w:left="680"/>
        <w:rPr>
          <w:u w:val="single"/>
        </w:rPr>
      </w:pPr>
      <w:r>
        <w:rPr>
          <w:u w:val="single"/>
        </w:rPr>
        <w:tab/>
      </w:r>
    </w:p>
  </w:footnote>
  <w:footnote w:type="continuationSeparator" w:id="0">
    <w:p w14:paraId="016B307C" w14:textId="77777777" w:rsidR="00451372" w:rsidRPr="00FC68B7" w:rsidRDefault="00451372" w:rsidP="00FC68B7">
      <w:pPr>
        <w:tabs>
          <w:tab w:val="left" w:pos="2155"/>
        </w:tabs>
        <w:spacing w:after="80"/>
        <w:ind w:left="680"/>
        <w:rPr>
          <w:u w:val="single"/>
        </w:rPr>
      </w:pPr>
      <w:r>
        <w:rPr>
          <w:u w:val="single"/>
        </w:rPr>
        <w:tab/>
      </w:r>
    </w:p>
  </w:footnote>
  <w:footnote w:type="continuationNotice" w:id="1">
    <w:p w14:paraId="2B2B2E51" w14:textId="77777777" w:rsidR="00451372" w:rsidRDefault="00451372"/>
  </w:footnote>
  <w:footnote w:id="2">
    <w:p w14:paraId="619149D7" w14:textId="77777777" w:rsidR="008E2CD6" w:rsidRPr="00EA370C" w:rsidRDefault="008E2CD6" w:rsidP="008E2CD6">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97EF" w14:textId="104318A4" w:rsidR="008E2CD6" w:rsidRPr="004C50D8" w:rsidRDefault="004C50D8">
    <w:pPr>
      <w:pStyle w:val="Header"/>
      <w:rPr>
        <w:lang w:val="fr-CH"/>
      </w:rPr>
    </w:pPr>
    <w:r>
      <w:rPr>
        <w:lang w:val="fr-CH"/>
      </w:rPr>
      <w:t>ECE/TRANS/WP.29/GRSG/2024/24</w:t>
    </w:r>
    <w:r w:rsidR="004D43EE">
      <w:rPr>
        <w:lang w:val="fr-CH"/>
      </w:rPr>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2134" w14:textId="36CE5F25" w:rsidR="008E2CD6" w:rsidRPr="008E2CD6" w:rsidRDefault="004A16D5" w:rsidP="008E2CD6">
    <w:pPr>
      <w:pStyle w:val="Header"/>
      <w:jc w:val="right"/>
    </w:pPr>
    <w:fldSimple w:instr=" TITLE  \* MERGEFORMAT ">
      <w:r w:rsidR="004D43EE">
        <w:t>ECE/TRANS/WP.29/GRSG/2024/24r1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9"/>
    </w:tblGrid>
    <w:tr w:rsidR="004A16D5" w14:paraId="1F5075F4" w14:textId="77777777" w:rsidTr="004A322B">
      <w:tc>
        <w:tcPr>
          <w:tcW w:w="5670" w:type="dxa"/>
        </w:tcPr>
        <w:p w14:paraId="49D54182" w14:textId="77777777" w:rsidR="004A16D5" w:rsidRDefault="004A16D5" w:rsidP="004A16D5">
          <w:pPr>
            <w:pStyle w:val="Header"/>
            <w:pBdr>
              <w:bottom w:val="none" w:sz="0" w:space="0" w:color="auto"/>
            </w:pBdr>
            <w:ind w:right="440"/>
            <w:rPr>
              <w:b w:val="0"/>
              <w:bCs/>
              <w:sz w:val="22"/>
              <w:szCs w:val="22"/>
              <w:lang w:val="en-US"/>
            </w:rPr>
          </w:pPr>
          <w:r>
            <w:rPr>
              <w:b w:val="0"/>
              <w:bCs/>
              <w:sz w:val="22"/>
              <w:szCs w:val="22"/>
              <w:lang w:val="en-US"/>
            </w:rPr>
            <w:t>Submitted by the expert from the Netherlands</w:t>
          </w:r>
        </w:p>
      </w:tc>
      <w:tc>
        <w:tcPr>
          <w:tcW w:w="3959" w:type="dxa"/>
        </w:tcPr>
        <w:p w14:paraId="153F077F" w14:textId="447D761F" w:rsidR="004A16D5" w:rsidRDefault="004A16D5" w:rsidP="004A16D5">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Pr>
              <w:sz w:val="22"/>
              <w:szCs w:val="22"/>
              <w:lang w:val="en-US"/>
            </w:rPr>
            <w:t>SG-12</w:t>
          </w:r>
          <w:r>
            <w:rPr>
              <w:rFonts w:eastAsia="Malgun Gothic" w:hint="eastAsia"/>
              <w:sz w:val="22"/>
              <w:szCs w:val="22"/>
              <w:lang w:val="en-US" w:eastAsia="ko-KR"/>
            </w:rPr>
            <w:t>7</w:t>
          </w:r>
          <w:r>
            <w:rPr>
              <w:sz w:val="22"/>
              <w:szCs w:val="22"/>
              <w:lang w:val="en-US"/>
            </w:rPr>
            <w:t>-</w:t>
          </w:r>
          <w:r w:rsidRPr="008D2F7E">
            <w:rPr>
              <w:sz w:val="22"/>
              <w:szCs w:val="22"/>
              <w:lang w:val="en-US"/>
            </w:rPr>
            <w:t>1</w:t>
          </w:r>
          <w:r>
            <w:rPr>
              <w:sz w:val="22"/>
              <w:szCs w:val="22"/>
              <w:lang w:val="en-US"/>
            </w:rPr>
            <w:t>8</w:t>
          </w:r>
          <w:r>
            <w:rPr>
              <w:b w:val="0"/>
              <w:bCs/>
              <w:sz w:val="22"/>
              <w:szCs w:val="22"/>
              <w:lang w:val="en-US"/>
            </w:rPr>
            <w:br/>
          </w:r>
          <w:r>
            <w:rPr>
              <w:b w:val="0"/>
              <w:bCs/>
              <w:sz w:val="20"/>
              <w:lang w:val="en-US"/>
            </w:rPr>
            <w:t>(12</w:t>
          </w:r>
          <w:r>
            <w:rPr>
              <w:rFonts w:eastAsia="Malgun Gothic" w:hint="eastAsia"/>
              <w:b w:val="0"/>
              <w:bCs/>
              <w:sz w:val="20"/>
              <w:lang w:val="en-US" w:eastAsia="ko-KR"/>
            </w:rPr>
            <w:t>7</w:t>
          </w:r>
          <w:r>
            <w:rPr>
              <w:b w:val="0"/>
              <w:bCs/>
              <w:sz w:val="20"/>
              <w:lang w:val="en-US"/>
            </w:rPr>
            <w:t xml:space="preserve">th GRSG, </w:t>
          </w:r>
          <w:r>
            <w:rPr>
              <w:rFonts w:eastAsia="Malgun Gothic" w:hint="eastAsia"/>
              <w:b w:val="0"/>
              <w:bCs/>
              <w:sz w:val="20"/>
              <w:lang w:val="en-US" w:eastAsia="ko-KR"/>
            </w:rPr>
            <w:t>15</w:t>
          </w:r>
          <w:r>
            <w:rPr>
              <w:b w:val="0"/>
              <w:bCs/>
              <w:sz w:val="20"/>
              <w:lang w:val="en-US"/>
            </w:rPr>
            <w:t>–</w:t>
          </w:r>
          <w:r>
            <w:rPr>
              <w:rFonts w:eastAsia="Malgun Gothic" w:hint="eastAsia"/>
              <w:b w:val="0"/>
              <w:bCs/>
              <w:sz w:val="20"/>
              <w:lang w:val="en-US" w:eastAsia="ko-KR"/>
            </w:rPr>
            <w:t>19</w:t>
          </w:r>
          <w:r>
            <w:rPr>
              <w:b w:val="0"/>
              <w:bCs/>
              <w:sz w:val="20"/>
              <w:lang w:val="en-US"/>
            </w:rPr>
            <w:t xml:space="preserve"> </w:t>
          </w:r>
          <w:r>
            <w:rPr>
              <w:rFonts w:eastAsia="Malgun Gothic" w:hint="eastAsia"/>
              <w:b w:val="0"/>
              <w:bCs/>
              <w:sz w:val="20"/>
              <w:lang w:val="en-US" w:eastAsia="ko-KR"/>
            </w:rPr>
            <w:t>April</w:t>
          </w:r>
          <w:r>
            <w:rPr>
              <w:b w:val="0"/>
              <w:bCs/>
              <w:sz w:val="20"/>
              <w:lang w:val="en-US"/>
            </w:rPr>
            <w:t xml:space="preserve"> 202</w:t>
          </w:r>
          <w:r>
            <w:rPr>
              <w:rFonts w:eastAsia="Malgun Gothic" w:hint="eastAsia"/>
              <w:b w:val="0"/>
              <w:bCs/>
              <w:sz w:val="20"/>
              <w:lang w:val="en-US" w:eastAsia="ko-KR"/>
            </w:rPr>
            <w:t>4</w:t>
          </w:r>
          <w:r>
            <w:rPr>
              <w:b w:val="0"/>
              <w:bCs/>
              <w:sz w:val="20"/>
              <w:lang w:val="en-US"/>
            </w:rPr>
            <w:br/>
          </w:r>
          <w:r w:rsidRPr="006479B0">
            <w:rPr>
              <w:b w:val="0"/>
              <w:bCs/>
            </w:rPr>
            <w:t xml:space="preserve">Agenda item </w:t>
          </w:r>
          <w:r>
            <w:rPr>
              <w:b w:val="0"/>
              <w:bCs/>
            </w:rPr>
            <w:t>4(b)</w:t>
          </w:r>
          <w:r w:rsidRPr="006479B0">
            <w:rPr>
              <w:b w:val="0"/>
              <w:bCs/>
            </w:rPr>
            <w:t>)</w:t>
          </w:r>
        </w:p>
        <w:p w14:paraId="2E0F62DD" w14:textId="77777777" w:rsidR="004A16D5" w:rsidRDefault="004A16D5" w:rsidP="004A16D5">
          <w:pPr>
            <w:pStyle w:val="Header"/>
            <w:pBdr>
              <w:bottom w:val="none" w:sz="0" w:space="0" w:color="auto"/>
            </w:pBdr>
            <w:jc w:val="right"/>
            <w:rPr>
              <w:b w:val="0"/>
              <w:bCs/>
              <w:sz w:val="22"/>
              <w:szCs w:val="22"/>
              <w:lang w:val="en-US"/>
            </w:rPr>
          </w:pPr>
        </w:p>
      </w:tc>
    </w:tr>
  </w:tbl>
  <w:p w14:paraId="6DB73F85" w14:textId="77777777" w:rsidR="004A16D5" w:rsidRDefault="004A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1161059">
    <w:abstractNumId w:val="1"/>
  </w:num>
  <w:num w:numId="2" w16cid:durableId="601181631">
    <w:abstractNumId w:val="0"/>
  </w:num>
  <w:num w:numId="3" w16cid:durableId="861170846">
    <w:abstractNumId w:val="2"/>
  </w:num>
  <w:num w:numId="4" w16cid:durableId="437453694">
    <w:abstractNumId w:val="3"/>
  </w:num>
  <w:num w:numId="5" w16cid:durableId="207574861">
    <w:abstractNumId w:val="8"/>
  </w:num>
  <w:num w:numId="6" w16cid:durableId="2086221354">
    <w:abstractNumId w:val="9"/>
  </w:num>
  <w:num w:numId="7" w16cid:durableId="885138562">
    <w:abstractNumId w:val="7"/>
  </w:num>
  <w:num w:numId="8" w16cid:durableId="2102140628">
    <w:abstractNumId w:val="6"/>
  </w:num>
  <w:num w:numId="9" w16cid:durableId="1933932960">
    <w:abstractNumId w:val="5"/>
  </w:num>
  <w:num w:numId="10" w16cid:durableId="450512336">
    <w:abstractNumId w:val="4"/>
  </w:num>
  <w:num w:numId="11" w16cid:durableId="404643912">
    <w:abstractNumId w:val="16"/>
  </w:num>
  <w:num w:numId="12" w16cid:durableId="2145349980">
    <w:abstractNumId w:val="15"/>
  </w:num>
  <w:num w:numId="13" w16cid:durableId="668487156">
    <w:abstractNumId w:val="10"/>
  </w:num>
  <w:num w:numId="14" w16cid:durableId="1655798435">
    <w:abstractNumId w:val="13"/>
  </w:num>
  <w:num w:numId="15" w16cid:durableId="1778793140">
    <w:abstractNumId w:val="17"/>
  </w:num>
  <w:num w:numId="16" w16cid:durableId="227151134">
    <w:abstractNumId w:val="14"/>
  </w:num>
  <w:num w:numId="17" w16cid:durableId="146169359">
    <w:abstractNumId w:val="18"/>
  </w:num>
  <w:num w:numId="18" w16cid:durableId="340470509">
    <w:abstractNumId w:val="19"/>
  </w:num>
  <w:num w:numId="19" w16cid:durableId="683093081">
    <w:abstractNumId w:val="11"/>
  </w:num>
  <w:num w:numId="20" w16cid:durableId="6577343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D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786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1372"/>
    <w:rsid w:val="00462880"/>
    <w:rsid w:val="00476F24"/>
    <w:rsid w:val="004A16D5"/>
    <w:rsid w:val="004A5D33"/>
    <w:rsid w:val="004C50D8"/>
    <w:rsid w:val="004C55B0"/>
    <w:rsid w:val="004D43EE"/>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2FAB"/>
    <w:rsid w:val="005F08DF"/>
    <w:rsid w:val="005F3066"/>
    <w:rsid w:val="005F3E61"/>
    <w:rsid w:val="005F5A4D"/>
    <w:rsid w:val="00602269"/>
    <w:rsid w:val="00604DDD"/>
    <w:rsid w:val="006115CC"/>
    <w:rsid w:val="00611FC4"/>
    <w:rsid w:val="006176FB"/>
    <w:rsid w:val="00630FCB"/>
    <w:rsid w:val="00640B26"/>
    <w:rsid w:val="0065766B"/>
    <w:rsid w:val="006770B2"/>
    <w:rsid w:val="00686A48"/>
    <w:rsid w:val="0068763C"/>
    <w:rsid w:val="006940E1"/>
    <w:rsid w:val="006A30B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05A8"/>
    <w:rsid w:val="008A6B25"/>
    <w:rsid w:val="008A6C4F"/>
    <w:rsid w:val="008B389E"/>
    <w:rsid w:val="008D045E"/>
    <w:rsid w:val="008D3F25"/>
    <w:rsid w:val="008D4D82"/>
    <w:rsid w:val="008E0E46"/>
    <w:rsid w:val="008E2CD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2A26"/>
    <w:rsid w:val="00AC502A"/>
    <w:rsid w:val="00AE1E26"/>
    <w:rsid w:val="00AF58C1"/>
    <w:rsid w:val="00B04A3F"/>
    <w:rsid w:val="00B06643"/>
    <w:rsid w:val="00B15055"/>
    <w:rsid w:val="00B20551"/>
    <w:rsid w:val="00B30179"/>
    <w:rsid w:val="00B31E0B"/>
    <w:rsid w:val="00B33D1A"/>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4B5"/>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5043B"/>
  <w15:docId w15:val="{B7368387-2FAB-4D41-879F-377DF2E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8E2CD6"/>
    <w:rPr>
      <w:b/>
      <w:sz w:val="28"/>
      <w:lang w:val="en-GB"/>
    </w:rPr>
  </w:style>
  <w:style w:type="character" w:customStyle="1" w:styleId="SingleTxtGChar">
    <w:name w:val="_ Single Txt_G Char"/>
    <w:link w:val="SingleTxtG"/>
    <w:qFormat/>
    <w:locked/>
    <w:rsid w:val="008E2CD6"/>
    <w:rPr>
      <w:lang w:val="en-GB"/>
    </w:rPr>
  </w:style>
  <w:style w:type="character" w:styleId="CommentReference">
    <w:name w:val="annotation reference"/>
    <w:basedOn w:val="DefaultParagraphFont"/>
    <w:semiHidden/>
    <w:unhideWhenUsed/>
    <w:rsid w:val="008E2CD6"/>
    <w:rPr>
      <w:sz w:val="16"/>
      <w:szCs w:val="16"/>
    </w:rPr>
  </w:style>
  <w:style w:type="paragraph" w:styleId="CommentText">
    <w:name w:val="annotation text"/>
    <w:basedOn w:val="Normal"/>
    <w:link w:val="CommentTextChar"/>
    <w:unhideWhenUsed/>
    <w:rsid w:val="008E2CD6"/>
    <w:pPr>
      <w:spacing w:line="240" w:lineRule="auto"/>
    </w:pPr>
  </w:style>
  <w:style w:type="character" w:customStyle="1" w:styleId="CommentTextChar">
    <w:name w:val="Comment Text Char"/>
    <w:basedOn w:val="DefaultParagraphFont"/>
    <w:link w:val="CommentText"/>
    <w:rsid w:val="008E2CD6"/>
    <w:rPr>
      <w:lang w:val="en-GB"/>
    </w:rPr>
  </w:style>
  <w:style w:type="paragraph" w:customStyle="1" w:styleId="Para">
    <w:name w:val="Para"/>
    <w:basedOn w:val="Normal"/>
    <w:qFormat/>
    <w:rsid w:val="008E2CD6"/>
    <w:pPr>
      <w:suppressAutoHyphens w:val="0"/>
      <w:spacing w:after="120"/>
      <w:ind w:left="2268" w:right="1134" w:hanging="1134"/>
      <w:jc w:val="both"/>
    </w:pPr>
    <w:rPr>
      <w:lang w:eastAsia="en-US"/>
    </w:rPr>
  </w:style>
  <w:style w:type="character" w:styleId="UnresolvedMention">
    <w:name w:val="Unresolved Mention"/>
    <w:basedOn w:val="DefaultParagraphFont"/>
    <w:uiPriority w:val="99"/>
    <w:semiHidden/>
    <w:unhideWhenUsed/>
    <w:rsid w:val="00DC14B5"/>
    <w:rPr>
      <w:color w:val="605E5C"/>
      <w:shd w:val="clear" w:color="auto" w:fill="E1DFDD"/>
    </w:rPr>
  </w:style>
  <w:style w:type="character" w:customStyle="1" w:styleId="HeaderChar">
    <w:name w:val="Header Char"/>
    <w:aliases w:val="6_G Char"/>
    <w:basedOn w:val="DefaultParagraphFont"/>
    <w:link w:val="Header"/>
    <w:rsid w:val="004A16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trans/main/wp29/wp29wgs/wp29gen/wp29resolutio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vehicle-regulations/wp29/resolu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79B6A83-DB40-44DC-AC2C-378B0578C176}">
  <ds:schemaRefs>
    <ds:schemaRef ds:uri="http://schemas.microsoft.com/sharepoint/v3/contenttype/forms"/>
  </ds:schemaRefs>
</ds:datastoreItem>
</file>

<file path=customXml/itemProps3.xml><?xml version="1.0" encoding="utf-8"?>
<ds:datastoreItem xmlns:ds="http://schemas.openxmlformats.org/officeDocument/2006/customXml" ds:itemID="{B24F33F9-2675-4E3B-A03E-D224562F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D3A80-1A07-4519-BAE9-9408B11D5C30}">
  <ds:schemaRefs>
    <ds:schemaRef ds:uri="http://www.w3.org/XML/1998/namespace"/>
    <ds:schemaRef ds:uri="http://schemas.microsoft.com/office/2006/documentManagement/types"/>
    <ds:schemaRef ds:uri="http://purl.org/dc/elements/1.1/"/>
    <ds:schemaRef ds:uri="985ec44e-1bab-4c0b-9df0-6ba128686fc9"/>
    <ds:schemaRef ds:uri="http://schemas.microsoft.com/office/2006/metadata/properties"/>
    <ds:schemaRef ds:uri="http://purl.org/dc/terms/"/>
    <ds:schemaRef ds:uri="4b4a1c0d-4a69-4996-a84a-fc699b9f49de"/>
    <ds:schemaRef ds:uri="http://schemas.microsoft.com/office/infopath/2007/PartnerControls"/>
    <ds:schemaRef ds:uri="http://schemas.openxmlformats.org/package/2006/metadata/core-properties"/>
    <ds:schemaRef ds:uri="acccb6d4-dbe5-46d2-b4d3-5733603d8c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ECE/TRANS/WP.29/GRSG/2024/24r1</vt:lpstr>
      <vt:lpstr/>
      <vt:lpstr>United Nations</vt:lpstr>
    </vt:vector>
  </TitlesOfParts>
  <Company>CSD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ECE/TRANS/WP.29/GRSG/2024/24r1</dc:title>
  <dc:subject>2401578</dc:subject>
  <dc:creator>EG</dc:creator>
  <cp:keywords/>
  <dc:description/>
  <cp:lastModifiedBy>EG</cp:lastModifiedBy>
  <cp:revision>2</cp:revision>
  <cp:lastPrinted>2024-01-30T08:50:00Z</cp:lastPrinted>
  <dcterms:created xsi:type="dcterms:W3CDTF">2024-04-11T21:11:00Z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