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B8E1AF9" w14:textId="77777777" w:rsidTr="00F01738">
        <w:trPr>
          <w:trHeight w:hRule="exact" w:val="851"/>
        </w:trPr>
        <w:tc>
          <w:tcPr>
            <w:tcW w:w="1276" w:type="dxa"/>
            <w:tcBorders>
              <w:bottom w:val="single" w:sz="4" w:space="0" w:color="auto"/>
            </w:tcBorders>
          </w:tcPr>
          <w:p w14:paraId="2E70A13F" w14:textId="77777777" w:rsidR="00132EA9" w:rsidRPr="00DB58B5" w:rsidRDefault="00132EA9" w:rsidP="0051769D"/>
        </w:tc>
        <w:tc>
          <w:tcPr>
            <w:tcW w:w="2268" w:type="dxa"/>
            <w:tcBorders>
              <w:bottom w:val="single" w:sz="4" w:space="0" w:color="auto"/>
            </w:tcBorders>
            <w:vAlign w:val="bottom"/>
          </w:tcPr>
          <w:p w14:paraId="31E6C5A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D387FDC" w14:textId="047B4C0D" w:rsidR="00132EA9" w:rsidRPr="00DB58B5" w:rsidRDefault="0051769D" w:rsidP="0051769D">
            <w:pPr>
              <w:jc w:val="right"/>
            </w:pPr>
            <w:r w:rsidRPr="0051769D">
              <w:rPr>
                <w:sz w:val="40"/>
              </w:rPr>
              <w:t>ST</w:t>
            </w:r>
            <w:r>
              <w:t>/SG/AC.10/C.3/2024/7</w:t>
            </w:r>
          </w:p>
        </w:tc>
      </w:tr>
      <w:tr w:rsidR="00132EA9" w:rsidRPr="00DB58B5" w14:paraId="04935F2F" w14:textId="77777777" w:rsidTr="00F01738">
        <w:trPr>
          <w:trHeight w:hRule="exact" w:val="2835"/>
        </w:trPr>
        <w:tc>
          <w:tcPr>
            <w:tcW w:w="1276" w:type="dxa"/>
            <w:tcBorders>
              <w:top w:val="single" w:sz="4" w:space="0" w:color="auto"/>
              <w:bottom w:val="single" w:sz="12" w:space="0" w:color="auto"/>
            </w:tcBorders>
          </w:tcPr>
          <w:p w14:paraId="15ADACA2" w14:textId="77777777" w:rsidR="00132EA9" w:rsidRPr="00DB58B5" w:rsidRDefault="00132EA9" w:rsidP="00F01738">
            <w:pPr>
              <w:spacing w:before="120"/>
              <w:jc w:val="center"/>
            </w:pPr>
            <w:r>
              <w:rPr>
                <w:noProof/>
                <w:lang w:eastAsia="fr-CH"/>
              </w:rPr>
              <w:drawing>
                <wp:inline distT="0" distB="0" distL="0" distR="0" wp14:anchorId="233B4857" wp14:editId="3452F03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C4852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5D88236" w14:textId="77777777" w:rsidR="00132EA9" w:rsidRDefault="0051769D" w:rsidP="00F01738">
            <w:pPr>
              <w:spacing w:before="240"/>
            </w:pPr>
            <w:r>
              <w:t>Distr. générale</w:t>
            </w:r>
          </w:p>
          <w:p w14:paraId="4F01D9C0" w14:textId="77777777" w:rsidR="0051769D" w:rsidRDefault="0051769D" w:rsidP="0051769D">
            <w:pPr>
              <w:spacing w:line="240" w:lineRule="exact"/>
            </w:pPr>
            <w:r>
              <w:t>22 mars 2024</w:t>
            </w:r>
          </w:p>
          <w:p w14:paraId="267FBD6E" w14:textId="77777777" w:rsidR="0051769D" w:rsidRDefault="0051769D" w:rsidP="0051769D">
            <w:pPr>
              <w:spacing w:line="240" w:lineRule="exact"/>
            </w:pPr>
            <w:r>
              <w:t>Français</w:t>
            </w:r>
          </w:p>
          <w:p w14:paraId="08356C96" w14:textId="56270B1E" w:rsidR="0051769D" w:rsidRPr="00DB58B5" w:rsidRDefault="0051769D" w:rsidP="0051769D">
            <w:pPr>
              <w:spacing w:line="240" w:lineRule="exact"/>
            </w:pPr>
            <w:r>
              <w:t>Original : anglais</w:t>
            </w:r>
          </w:p>
        </w:tc>
      </w:tr>
    </w:tbl>
    <w:p w14:paraId="1F88BD03" w14:textId="628C0077" w:rsidR="0051769D" w:rsidRPr="002E6FF0" w:rsidRDefault="0051769D" w:rsidP="0051769D">
      <w:pPr>
        <w:spacing w:before="120"/>
        <w:rPr>
          <w:b/>
          <w:sz w:val="32"/>
          <w:szCs w:val="32"/>
          <w:lang w:val="fr-FR"/>
        </w:rPr>
      </w:pPr>
      <w:r w:rsidRPr="002E6FF0">
        <w:rPr>
          <w:b/>
          <w:bCs/>
          <w:sz w:val="24"/>
          <w:szCs w:val="24"/>
          <w:lang w:val="fr-FR"/>
        </w:rPr>
        <w:t xml:space="preserve">Comité d’experts du transport des marchandises dangereuses </w:t>
      </w:r>
      <w:r w:rsidR="002E6FF0">
        <w:rPr>
          <w:b/>
          <w:bCs/>
          <w:sz w:val="24"/>
          <w:szCs w:val="24"/>
          <w:lang w:val="fr-FR"/>
        </w:rPr>
        <w:br/>
      </w:r>
      <w:r w:rsidRPr="002E6FF0">
        <w:rPr>
          <w:b/>
          <w:bCs/>
          <w:sz w:val="24"/>
          <w:szCs w:val="24"/>
          <w:lang w:val="fr-FR"/>
        </w:rPr>
        <w:t xml:space="preserve">et du Système général harmonisé de classification </w:t>
      </w:r>
      <w:r w:rsidR="002E6FF0">
        <w:rPr>
          <w:b/>
          <w:bCs/>
          <w:sz w:val="24"/>
          <w:szCs w:val="24"/>
          <w:lang w:val="fr-FR"/>
        </w:rPr>
        <w:br/>
      </w:r>
      <w:r w:rsidRPr="002E6FF0">
        <w:rPr>
          <w:b/>
          <w:bCs/>
          <w:sz w:val="24"/>
          <w:szCs w:val="24"/>
          <w:lang w:val="fr-FR"/>
        </w:rPr>
        <w:t>et d’étiquetage des produits chimiques</w:t>
      </w:r>
    </w:p>
    <w:p w14:paraId="5BC7D8B5" w14:textId="77777777" w:rsidR="0051769D" w:rsidRPr="002E6FF0" w:rsidRDefault="0051769D" w:rsidP="0051769D">
      <w:pPr>
        <w:spacing w:before="120"/>
        <w:rPr>
          <w:rFonts w:ascii="Helv" w:hAnsi="Helv" w:cs="Helv"/>
          <w:b/>
          <w:color w:val="000000"/>
          <w:lang w:val="fr-FR"/>
        </w:rPr>
      </w:pPr>
      <w:r w:rsidRPr="002E6FF0">
        <w:rPr>
          <w:b/>
          <w:bCs/>
          <w:lang w:val="fr-FR"/>
        </w:rPr>
        <w:t>Sous-Comité d’experts du transport des marchandises dangereuses</w:t>
      </w:r>
    </w:p>
    <w:p w14:paraId="1CD16F93" w14:textId="77777777" w:rsidR="0051769D" w:rsidRPr="002E6FF0" w:rsidRDefault="0051769D" w:rsidP="0051769D">
      <w:pPr>
        <w:spacing w:before="120"/>
        <w:rPr>
          <w:b/>
          <w:lang w:val="fr-FR"/>
        </w:rPr>
      </w:pPr>
      <w:r w:rsidRPr="002E6FF0">
        <w:rPr>
          <w:b/>
          <w:bCs/>
          <w:lang w:val="fr-FR"/>
        </w:rPr>
        <w:t>Soixante-quatrième session</w:t>
      </w:r>
    </w:p>
    <w:p w14:paraId="29B20962" w14:textId="77777777" w:rsidR="0051769D" w:rsidRPr="002E6FF0" w:rsidRDefault="0051769D" w:rsidP="0051769D">
      <w:pPr>
        <w:rPr>
          <w:lang w:val="fr-FR"/>
        </w:rPr>
      </w:pPr>
      <w:r w:rsidRPr="002E6FF0">
        <w:rPr>
          <w:lang w:val="fr-FR"/>
        </w:rPr>
        <w:t xml:space="preserve">Genève, 24 juin-3 juillet 2024 </w:t>
      </w:r>
    </w:p>
    <w:p w14:paraId="2E1ECA2C" w14:textId="77777777" w:rsidR="0051769D" w:rsidRPr="002E6FF0" w:rsidRDefault="0051769D" w:rsidP="0051769D">
      <w:pPr>
        <w:rPr>
          <w:lang w:val="fr-FR"/>
        </w:rPr>
      </w:pPr>
      <w:r w:rsidRPr="002E6FF0">
        <w:rPr>
          <w:lang w:val="fr-FR"/>
        </w:rPr>
        <w:t>Point 3 de l’ordre du jour provisoire</w:t>
      </w:r>
    </w:p>
    <w:p w14:paraId="6E3EBE17" w14:textId="77777777" w:rsidR="0051769D" w:rsidRPr="002E6FF0" w:rsidRDefault="0051769D" w:rsidP="0051769D">
      <w:pPr>
        <w:rPr>
          <w:rFonts w:eastAsia="Times New Roman"/>
          <w:b/>
          <w:bCs/>
          <w:color w:val="000000" w:themeColor="text1"/>
          <w:lang w:val="fr-FR"/>
        </w:rPr>
      </w:pPr>
      <w:r w:rsidRPr="002E6FF0">
        <w:rPr>
          <w:b/>
          <w:bCs/>
          <w:lang w:val="fr-FR"/>
        </w:rPr>
        <w:t>Inscription, classement et emballage</w:t>
      </w:r>
      <w:bookmarkStart w:id="0" w:name="_Int_L6ekVt0x"/>
      <w:bookmarkEnd w:id="0"/>
    </w:p>
    <w:p w14:paraId="780F7CD3" w14:textId="5D75190D" w:rsidR="0051769D" w:rsidRPr="00553F16" w:rsidRDefault="0051769D" w:rsidP="002E6FF0">
      <w:pPr>
        <w:pStyle w:val="HChG"/>
        <w:rPr>
          <w:lang w:val="fr-FR"/>
        </w:rPr>
      </w:pPr>
      <w:r>
        <w:rPr>
          <w:lang w:val="fr-FR"/>
        </w:rPr>
        <w:tab/>
      </w:r>
      <w:r>
        <w:rPr>
          <w:lang w:val="fr-FR"/>
        </w:rPr>
        <w:tab/>
        <w:t xml:space="preserve">Éclaircissements concernant la liste indicative </w:t>
      </w:r>
      <w:r w:rsidR="002E6FF0">
        <w:rPr>
          <w:lang w:val="fr-FR"/>
        </w:rPr>
        <w:br/>
      </w:r>
      <w:r>
        <w:rPr>
          <w:lang w:val="fr-FR"/>
        </w:rPr>
        <w:t>des matières infectieuses de catégorie A</w:t>
      </w:r>
    </w:p>
    <w:p w14:paraId="0534B041" w14:textId="70D00DE2" w:rsidR="0051769D" w:rsidRPr="00553F16" w:rsidRDefault="0051769D" w:rsidP="002E6FF0">
      <w:pPr>
        <w:pStyle w:val="H1G"/>
        <w:rPr>
          <w:strike/>
          <w:lang w:val="fr-FR"/>
        </w:rPr>
      </w:pPr>
      <w:r>
        <w:rPr>
          <w:lang w:val="fr-FR"/>
        </w:rPr>
        <w:tab/>
      </w:r>
      <w:r>
        <w:rPr>
          <w:lang w:val="fr-FR"/>
        </w:rPr>
        <w:tab/>
        <w:t xml:space="preserve">Communication des experts du Canada et de l’Organisation </w:t>
      </w:r>
      <w:r w:rsidR="002E6FF0">
        <w:rPr>
          <w:lang w:val="fr-FR"/>
        </w:rPr>
        <w:br/>
      </w:r>
      <w:r>
        <w:rPr>
          <w:lang w:val="fr-FR"/>
        </w:rPr>
        <w:t>mondiale de la Santé (OMS)</w:t>
      </w:r>
      <w:r w:rsidRPr="002E6FF0">
        <w:rPr>
          <w:rStyle w:val="Appelnotedebasdep"/>
          <w:b w:val="0"/>
          <w:bCs/>
          <w:sz w:val="20"/>
          <w:vertAlign w:val="baseline"/>
          <w:lang w:val="fr-FR"/>
        </w:rPr>
        <w:footnoteReference w:customMarkFollows="1" w:id="2"/>
        <w:t>*</w:t>
      </w:r>
    </w:p>
    <w:p w14:paraId="515A5BFE" w14:textId="16D294EE" w:rsidR="0051769D" w:rsidRPr="00553F16" w:rsidRDefault="002E6FF0" w:rsidP="002E6FF0">
      <w:pPr>
        <w:pStyle w:val="HChG"/>
        <w:rPr>
          <w:lang w:val="fr-FR"/>
        </w:rPr>
      </w:pPr>
      <w:r>
        <w:rPr>
          <w:lang w:val="fr-FR"/>
        </w:rPr>
        <w:tab/>
      </w:r>
      <w:r w:rsidR="0051769D">
        <w:rPr>
          <w:lang w:val="fr-FR"/>
        </w:rPr>
        <w:t>I.</w:t>
      </w:r>
      <w:r w:rsidR="0051769D">
        <w:rPr>
          <w:lang w:val="fr-FR"/>
        </w:rPr>
        <w:tab/>
      </w:r>
      <w:r w:rsidR="0051769D">
        <w:rPr>
          <w:lang w:val="fr-FR"/>
        </w:rPr>
        <w:tab/>
        <w:t>Introduction</w:t>
      </w:r>
    </w:p>
    <w:p w14:paraId="128809D3" w14:textId="77777777" w:rsidR="0051769D" w:rsidRPr="002E6FF0" w:rsidRDefault="0051769D" w:rsidP="002E6FF0">
      <w:pPr>
        <w:pStyle w:val="SingleTxtG"/>
      </w:pPr>
      <w:r>
        <w:rPr>
          <w:lang w:val="fr-FR"/>
        </w:rPr>
        <w:t>1.</w:t>
      </w:r>
      <w:r>
        <w:rPr>
          <w:lang w:val="fr-FR"/>
        </w:rPr>
        <w:tab/>
        <w:t xml:space="preserve">Aux vues des situations sanitaires nouvelles auxquelles il a fallu faire face récemment à l’échelle mondiale, il est devenu évident que la liste indicative de matières infectieuses de </w:t>
      </w:r>
      <w:r w:rsidRPr="002E6FF0">
        <w:t>la catégorie A se devait d’être flexible et évolutive.</w:t>
      </w:r>
    </w:p>
    <w:p w14:paraId="07EDA25F" w14:textId="77777777" w:rsidR="0051769D" w:rsidRPr="002E6FF0" w:rsidRDefault="0051769D" w:rsidP="002E6FF0">
      <w:pPr>
        <w:pStyle w:val="SingleTxtG"/>
      </w:pPr>
      <w:r w:rsidRPr="002E6FF0">
        <w:t>2.</w:t>
      </w:r>
      <w:r w:rsidRPr="002E6FF0">
        <w:tab/>
        <w:t>Le nombre de demandes de conseils adressées à l’OMS dans le cadre de ces situations sanitaires nouvelles concernant le transport de l’agent pathogène en cause et sa classification témoigne de cette nécessité.</w:t>
      </w:r>
    </w:p>
    <w:p w14:paraId="427ACB43" w14:textId="77777777" w:rsidR="0051769D" w:rsidRPr="002E6FF0" w:rsidRDefault="0051769D" w:rsidP="002E6FF0">
      <w:pPr>
        <w:pStyle w:val="SingleTxtG"/>
      </w:pPr>
      <w:r w:rsidRPr="002E6FF0">
        <w:t>3.</w:t>
      </w:r>
      <w:r w:rsidRPr="002E6FF0">
        <w:tab/>
        <w:t>Par conséquent, la mise en place d’une approche flexible pour la liste indicative permettrait d’adopter une approche plus solide, fondée sur les risques, pour la classification des matières infectieuses de la catégorie A, tout en permettant de faire face aux situations sanitaires nouvelles.</w:t>
      </w:r>
    </w:p>
    <w:p w14:paraId="7BD49E61" w14:textId="25A7F39E" w:rsidR="0051769D" w:rsidRPr="00553F16" w:rsidRDefault="0051769D" w:rsidP="002E6FF0">
      <w:pPr>
        <w:pStyle w:val="SingleTxtG"/>
        <w:rPr>
          <w:lang w:val="fr-FR"/>
        </w:rPr>
      </w:pPr>
      <w:r w:rsidRPr="002E6FF0">
        <w:t>4.</w:t>
      </w:r>
      <w:r w:rsidRPr="002E6FF0">
        <w:tab/>
        <w:t>La présente proposition fait fond sur les observations formulées en séance plénière par le Canada au sujet du document informel INF.30 (soixante-troisième session), qui avait été soumis par l’OMS, et s’inscrit dans le cadre de l’objectif de développement durable n</w:t>
      </w:r>
      <w:r w:rsidR="002E6FF0" w:rsidRPr="002E6FF0">
        <w:rPr>
          <w:vertAlign w:val="superscript"/>
        </w:rPr>
        <w:t>o</w:t>
      </w:r>
      <w:r w:rsidR="002E6FF0">
        <w:t> </w:t>
      </w:r>
      <w:r w:rsidRPr="002E6FF0">
        <w:t>16 (« Paix, justice et institutions efficaces »), en particulier, de la cible 16.6 visant à « mettre en place des institutions efficaces, responsables et transparentes à</w:t>
      </w:r>
      <w:r>
        <w:rPr>
          <w:lang w:val="fr-FR"/>
        </w:rPr>
        <w:t xml:space="preserve"> tous les niveaux ».</w:t>
      </w:r>
    </w:p>
    <w:p w14:paraId="26CCF5A9" w14:textId="08BD545E" w:rsidR="0051769D" w:rsidRPr="00553F16" w:rsidRDefault="002E6FF0" w:rsidP="002E6FF0">
      <w:pPr>
        <w:pStyle w:val="HChG"/>
        <w:rPr>
          <w:lang w:val="fr-FR"/>
        </w:rPr>
      </w:pPr>
      <w:r>
        <w:rPr>
          <w:lang w:val="fr-FR"/>
        </w:rPr>
        <w:tab/>
      </w:r>
      <w:r w:rsidR="0051769D">
        <w:rPr>
          <w:lang w:val="fr-FR"/>
        </w:rPr>
        <w:t>II.</w:t>
      </w:r>
      <w:r w:rsidR="0051769D">
        <w:rPr>
          <w:lang w:val="fr-FR"/>
        </w:rPr>
        <w:tab/>
      </w:r>
      <w:r w:rsidR="0051769D">
        <w:rPr>
          <w:lang w:val="fr-FR"/>
        </w:rPr>
        <w:tab/>
        <w:t>Explication</w:t>
      </w:r>
    </w:p>
    <w:p w14:paraId="1FF92924" w14:textId="77777777" w:rsidR="0051769D" w:rsidRPr="00553F16" w:rsidRDefault="0051769D" w:rsidP="002E6FF0">
      <w:pPr>
        <w:pStyle w:val="SingleTxtG"/>
        <w:rPr>
          <w:lang w:val="fr-FR"/>
        </w:rPr>
      </w:pPr>
      <w:r>
        <w:rPr>
          <w:lang w:val="fr-FR"/>
        </w:rPr>
        <w:t>5.</w:t>
      </w:r>
      <w:r>
        <w:rPr>
          <w:lang w:val="fr-FR"/>
        </w:rPr>
        <w:tab/>
      </w:r>
      <w:r w:rsidRPr="002E6FF0">
        <w:t>Afin</w:t>
      </w:r>
      <w:r>
        <w:rPr>
          <w:lang w:val="fr-FR"/>
        </w:rPr>
        <w:t xml:space="preserve"> d’agir de manière plus efficace en cas de situation sanitaire nouvelle, il convient de mettre en place un cadre qui permette aux autorités sanitaires nationales et internationales de disposer de la souplesse nécessaire pour faire face à ces situations.</w:t>
      </w:r>
    </w:p>
    <w:p w14:paraId="34AC0E44" w14:textId="77777777" w:rsidR="0051769D" w:rsidRPr="00553F16" w:rsidRDefault="0051769D" w:rsidP="002E6FF0">
      <w:pPr>
        <w:pStyle w:val="SingleTxtG"/>
        <w:rPr>
          <w:lang w:val="fr-FR"/>
        </w:rPr>
      </w:pPr>
      <w:r>
        <w:rPr>
          <w:lang w:val="fr-FR"/>
        </w:rPr>
        <w:lastRenderedPageBreak/>
        <w:t>6.</w:t>
      </w:r>
      <w:r>
        <w:rPr>
          <w:lang w:val="fr-FR"/>
        </w:rPr>
        <w:tab/>
        <w:t>Pour établir ce cadre nécessaire, des éléments de texte supplémentaires devraient être ajoutés dans l’introduction de la liste indicative des matières infectieuses de la catégorie A. Ces éléments devraient être inclus dans le corps du texte avant la liste indicative.</w:t>
      </w:r>
    </w:p>
    <w:p w14:paraId="47AC056B" w14:textId="37DF375C" w:rsidR="0051769D" w:rsidRPr="00553F16" w:rsidRDefault="002E6FF0" w:rsidP="002E6FF0">
      <w:pPr>
        <w:pStyle w:val="HChG"/>
        <w:rPr>
          <w:lang w:val="fr-FR"/>
        </w:rPr>
      </w:pPr>
      <w:r>
        <w:rPr>
          <w:lang w:val="fr-FR"/>
        </w:rPr>
        <w:tab/>
      </w:r>
      <w:r w:rsidR="0051769D">
        <w:rPr>
          <w:lang w:val="fr-FR"/>
        </w:rPr>
        <w:t>III.</w:t>
      </w:r>
      <w:r w:rsidR="0051769D">
        <w:rPr>
          <w:lang w:val="fr-FR"/>
        </w:rPr>
        <w:tab/>
      </w:r>
      <w:r w:rsidR="0051769D">
        <w:rPr>
          <w:lang w:val="fr-FR"/>
        </w:rPr>
        <w:tab/>
        <w:t>Modifications supplémentaires</w:t>
      </w:r>
    </w:p>
    <w:p w14:paraId="2D58B4FC" w14:textId="77777777" w:rsidR="0051769D" w:rsidRPr="002E6FF0" w:rsidRDefault="0051769D" w:rsidP="002E6FF0">
      <w:pPr>
        <w:pStyle w:val="SingleTxtG"/>
      </w:pPr>
      <w:r>
        <w:rPr>
          <w:lang w:val="fr-FR"/>
        </w:rPr>
        <w:t>7.</w:t>
      </w:r>
      <w:r>
        <w:rPr>
          <w:lang w:val="fr-FR"/>
        </w:rPr>
        <w:tab/>
      </w:r>
      <w:r w:rsidRPr="002E6FF0">
        <w:t>En outre, l’examen des notas associés à la liste indicative a permis de déterminer qu’une autre modification s’avérait nécessaire.</w:t>
      </w:r>
    </w:p>
    <w:p w14:paraId="3F23FC97" w14:textId="77777777" w:rsidR="0051769D" w:rsidRPr="002E6FF0" w:rsidRDefault="0051769D" w:rsidP="002E6FF0">
      <w:pPr>
        <w:pStyle w:val="SingleTxtG"/>
      </w:pPr>
      <w:r w:rsidRPr="002E6FF0">
        <w:t>8.</w:t>
      </w:r>
      <w:r w:rsidRPr="002E6FF0">
        <w:tab/>
        <w:t>Le texte actuel du NOTA 2 est, à notre avis, de nature réglementaire, car il indique une prescription obligatoire pour les matières infectieuses qui ne figurent pas sur la liste mais répondent aux mêmes critères que les matières infectieuses de la liste, ainsi que la manière de procéder en cas de doute sur la classification appropriée.</w:t>
      </w:r>
    </w:p>
    <w:p w14:paraId="629E0CE9" w14:textId="77777777" w:rsidR="0051769D" w:rsidRPr="00553F16" w:rsidRDefault="0051769D" w:rsidP="002E6FF0">
      <w:pPr>
        <w:pStyle w:val="SingleTxtG"/>
        <w:rPr>
          <w:lang w:val="fr-FR"/>
        </w:rPr>
      </w:pPr>
      <w:r w:rsidRPr="002E6FF0">
        <w:t>9.</w:t>
      </w:r>
      <w:r w:rsidRPr="002E6FF0">
        <w:tab/>
        <w:t>Il est donc</w:t>
      </w:r>
      <w:r>
        <w:rPr>
          <w:lang w:val="fr-FR"/>
        </w:rPr>
        <w:t xml:space="preserve"> proposé de déplacer les informations qui figurent dans le NOTA 2 dans le texte réglementaire figurant avant la liste indicative des matières infectieuses de la catégorie A.</w:t>
      </w:r>
    </w:p>
    <w:p w14:paraId="6462419A" w14:textId="58B65A56" w:rsidR="0051769D" w:rsidRPr="00553F16" w:rsidRDefault="002E6FF0" w:rsidP="002E6FF0">
      <w:pPr>
        <w:pStyle w:val="HChG"/>
        <w:rPr>
          <w:lang w:val="fr-FR"/>
        </w:rPr>
      </w:pPr>
      <w:r>
        <w:rPr>
          <w:lang w:val="fr-FR"/>
        </w:rPr>
        <w:tab/>
      </w:r>
      <w:r w:rsidR="0051769D">
        <w:rPr>
          <w:lang w:val="fr-FR"/>
        </w:rPr>
        <w:t>IV.</w:t>
      </w:r>
      <w:r w:rsidR="0051769D">
        <w:rPr>
          <w:lang w:val="fr-FR"/>
        </w:rPr>
        <w:tab/>
      </w:r>
      <w:r w:rsidR="0051769D">
        <w:rPr>
          <w:lang w:val="fr-FR"/>
        </w:rPr>
        <w:tab/>
        <w:t>Proposition</w:t>
      </w:r>
    </w:p>
    <w:p w14:paraId="287B8D8F" w14:textId="34161ECB" w:rsidR="0051769D" w:rsidRPr="00553F16" w:rsidRDefault="0051769D" w:rsidP="002E6FF0">
      <w:pPr>
        <w:pStyle w:val="SingleTxtG"/>
        <w:keepNext/>
        <w:rPr>
          <w:lang w:val="fr-FR"/>
        </w:rPr>
      </w:pPr>
      <w:r>
        <w:rPr>
          <w:lang w:val="fr-FR"/>
        </w:rPr>
        <w:t>10.</w:t>
      </w:r>
      <w:r>
        <w:rPr>
          <w:lang w:val="fr-FR"/>
        </w:rPr>
        <w:tab/>
        <w:t xml:space="preserve">Au 2.6.3.2.2.1, les modifications suivantes sont proposées (texte supprimé </w:t>
      </w:r>
      <w:r>
        <w:rPr>
          <w:strike/>
          <w:lang w:val="fr-FR"/>
        </w:rPr>
        <w:t xml:space="preserve">biffé </w:t>
      </w:r>
      <w:r>
        <w:rPr>
          <w:lang w:val="fr-FR"/>
        </w:rPr>
        <w:t xml:space="preserve">et nouveau texte </w:t>
      </w:r>
      <w:r>
        <w:rPr>
          <w:b/>
          <w:bCs/>
          <w:u w:val="single"/>
          <w:lang w:val="fr-FR"/>
        </w:rPr>
        <w:t>en gras et souligné</w:t>
      </w:r>
      <w:r>
        <w:rPr>
          <w:lang w:val="fr-FR"/>
        </w:rPr>
        <w:t>)</w:t>
      </w:r>
      <w:r w:rsidR="002E6FF0">
        <w:rPr>
          <w:lang w:val="fr-FR"/>
        </w:rPr>
        <w:t> </w:t>
      </w:r>
      <w:r>
        <w:rPr>
          <w:lang w:val="fr-FR"/>
        </w:rPr>
        <w:t>:</w:t>
      </w:r>
    </w:p>
    <w:p w14:paraId="26F26DE8" w14:textId="77777777" w:rsidR="0051769D" w:rsidRPr="0025208B" w:rsidRDefault="0051769D" w:rsidP="0051769D">
      <w:pPr>
        <w:pStyle w:val="SingleTxtG"/>
        <w:rPr>
          <w:lang w:val="fr-FR"/>
        </w:rPr>
      </w:pPr>
      <w:r>
        <w:rPr>
          <w:strike/>
          <w:lang w:val="fr-FR"/>
        </w:rPr>
        <w:t>« NOTA 2:</w:t>
      </w:r>
      <w:r>
        <w:rPr>
          <w:lang w:val="fr-FR"/>
        </w:rPr>
        <w:t xml:space="preserve"> </w:t>
      </w:r>
      <w:r w:rsidRPr="00173ED5">
        <w:rPr>
          <w:b/>
          <w:bCs/>
          <w:u w:val="single"/>
          <w:lang w:val="fr-FR"/>
        </w:rPr>
        <w:t>2.6.3.2.2.1.1</w:t>
      </w:r>
      <w:r>
        <w:rPr>
          <w:lang w:val="fr-FR"/>
        </w:rPr>
        <w:tab/>
        <w:t>Le tableau ci-après n’est pas exhaustif. Les matières infectieuses, y compris les agents pathogènes nouveaux ou émergents, qui n’y figurent pas mais répondent aux mêmes critères doivent être classées dans la catégorie A. En outre, une matière dont on ne peut déterminer si elle répond ou non aux critères doit être incluse dans la catégorie A.</w:t>
      </w:r>
    </w:p>
    <w:p w14:paraId="3D6F37A5" w14:textId="77777777" w:rsidR="0051769D" w:rsidRPr="00553F16" w:rsidRDefault="0051769D" w:rsidP="0051769D">
      <w:pPr>
        <w:pStyle w:val="SingleTxtG"/>
        <w:tabs>
          <w:tab w:val="clear" w:pos="2268"/>
        </w:tabs>
        <w:rPr>
          <w:b/>
          <w:bCs/>
          <w:u w:val="single"/>
          <w:lang w:val="fr-FR"/>
        </w:rPr>
      </w:pPr>
      <w:r>
        <w:rPr>
          <w:b/>
          <w:bCs/>
          <w:u w:val="single"/>
          <w:lang w:val="fr-FR"/>
        </w:rPr>
        <w:t>2.6.3.2.2.1.2</w:t>
      </w:r>
      <w:r>
        <w:rPr>
          <w:lang w:val="fr-FR"/>
        </w:rPr>
        <w:tab/>
      </w:r>
      <w:r>
        <w:rPr>
          <w:b/>
          <w:bCs/>
          <w:u w:val="single"/>
          <w:lang w:val="fr-FR"/>
        </w:rPr>
        <w:t>Cette liste indicative peut ne pas être représentative du contexte sanitaire en cours et peut être modifiée sur la base des avis de l’Organisation mondiale de la Santé, de l’Organisation des Nations Unies pour l’alimentation et l’agriculture ou des autorités nationales pour faire face à des situations sanitaires nouvelles »</w:t>
      </w:r>
      <w:r>
        <w:rPr>
          <w:lang w:val="fr-FR"/>
        </w:rPr>
        <w:t>.</w:t>
      </w:r>
    </w:p>
    <w:p w14:paraId="6EB69107" w14:textId="77777777" w:rsidR="0051769D" w:rsidRDefault="0051769D" w:rsidP="002E6FF0">
      <w:pPr>
        <w:pStyle w:val="SingleTxtG"/>
        <w:rPr>
          <w:lang w:val="fr-FR"/>
        </w:rPr>
      </w:pPr>
      <w:r>
        <w:rPr>
          <w:lang w:val="fr-FR"/>
        </w:rPr>
        <w:t>11.</w:t>
      </w:r>
      <w:r>
        <w:rPr>
          <w:lang w:val="fr-FR"/>
        </w:rPr>
        <w:tab/>
        <w:t xml:space="preserve">En </w:t>
      </w:r>
      <w:r w:rsidRPr="002E6FF0">
        <w:t>cas</w:t>
      </w:r>
      <w:r>
        <w:rPr>
          <w:lang w:val="fr-FR"/>
        </w:rPr>
        <w:t xml:space="preserve"> d’adoption de ces modifications, il conviendrait, en tant qu’amendement de conséquence, de renuméroter le NOTA 3, qui deviendrait ainsi le NOTA 2.</w:t>
      </w:r>
    </w:p>
    <w:p w14:paraId="6D01A98A" w14:textId="772C8668" w:rsidR="002E6FF0" w:rsidRPr="002E6FF0" w:rsidRDefault="002E6FF0" w:rsidP="002E6FF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E6FF0" w:rsidRPr="002E6FF0" w:rsidSect="0051769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1D452" w14:textId="77777777" w:rsidR="00A30F85" w:rsidRDefault="00A30F85" w:rsidP="00F95C08">
      <w:pPr>
        <w:spacing w:line="240" w:lineRule="auto"/>
      </w:pPr>
    </w:p>
  </w:endnote>
  <w:endnote w:type="continuationSeparator" w:id="0">
    <w:p w14:paraId="70905735" w14:textId="77777777" w:rsidR="00A30F85" w:rsidRPr="00AC3823" w:rsidRDefault="00A30F85" w:rsidP="00AC3823">
      <w:pPr>
        <w:pStyle w:val="Pieddepage"/>
      </w:pPr>
    </w:p>
  </w:endnote>
  <w:endnote w:type="continuationNotice" w:id="1">
    <w:p w14:paraId="68543325" w14:textId="77777777" w:rsidR="00A30F85" w:rsidRDefault="00A30F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773FC" w14:textId="7C3D05A6" w:rsidR="0051769D" w:rsidRPr="0051769D" w:rsidRDefault="0051769D" w:rsidP="0051769D">
    <w:pPr>
      <w:pStyle w:val="Pieddepage"/>
      <w:tabs>
        <w:tab w:val="right" w:pos="9638"/>
      </w:tabs>
    </w:pPr>
    <w:r w:rsidRPr="0051769D">
      <w:rPr>
        <w:b/>
        <w:sz w:val="18"/>
      </w:rPr>
      <w:fldChar w:fldCharType="begin"/>
    </w:r>
    <w:r w:rsidRPr="0051769D">
      <w:rPr>
        <w:b/>
        <w:sz w:val="18"/>
      </w:rPr>
      <w:instrText xml:space="preserve"> PAGE  \* MERGEFORMAT </w:instrText>
    </w:r>
    <w:r w:rsidRPr="0051769D">
      <w:rPr>
        <w:b/>
        <w:sz w:val="18"/>
      </w:rPr>
      <w:fldChar w:fldCharType="separate"/>
    </w:r>
    <w:r w:rsidRPr="0051769D">
      <w:rPr>
        <w:b/>
        <w:noProof/>
        <w:sz w:val="18"/>
      </w:rPr>
      <w:t>2</w:t>
    </w:r>
    <w:r w:rsidRPr="0051769D">
      <w:rPr>
        <w:b/>
        <w:sz w:val="18"/>
      </w:rPr>
      <w:fldChar w:fldCharType="end"/>
    </w:r>
    <w:r>
      <w:rPr>
        <w:b/>
        <w:sz w:val="18"/>
      </w:rPr>
      <w:tab/>
    </w:r>
    <w:r>
      <w:t>GE.24-05539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C811B" w14:textId="7AD5832F" w:rsidR="0051769D" w:rsidRPr="0051769D" w:rsidRDefault="0051769D" w:rsidP="0051769D">
    <w:pPr>
      <w:pStyle w:val="Pieddepage"/>
      <w:tabs>
        <w:tab w:val="right" w:pos="9638"/>
      </w:tabs>
      <w:rPr>
        <w:b/>
        <w:sz w:val="18"/>
      </w:rPr>
    </w:pPr>
    <w:r>
      <w:t>GE.24-05539</w:t>
    </w:r>
    <w:r>
      <w:tab/>
    </w:r>
    <w:r w:rsidRPr="0051769D">
      <w:rPr>
        <w:b/>
        <w:sz w:val="18"/>
      </w:rPr>
      <w:fldChar w:fldCharType="begin"/>
    </w:r>
    <w:r w:rsidRPr="0051769D">
      <w:rPr>
        <w:b/>
        <w:sz w:val="18"/>
      </w:rPr>
      <w:instrText xml:space="preserve"> PAGE  \* MERGEFORMAT </w:instrText>
    </w:r>
    <w:r w:rsidRPr="0051769D">
      <w:rPr>
        <w:b/>
        <w:sz w:val="18"/>
      </w:rPr>
      <w:fldChar w:fldCharType="separate"/>
    </w:r>
    <w:r w:rsidRPr="0051769D">
      <w:rPr>
        <w:b/>
        <w:noProof/>
        <w:sz w:val="18"/>
      </w:rPr>
      <w:t>3</w:t>
    </w:r>
    <w:r w:rsidRPr="005176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13083" w14:textId="54FD9931" w:rsidR="0068456F" w:rsidRPr="0051769D" w:rsidRDefault="0051769D" w:rsidP="0051769D">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437B9F2" wp14:editId="5782990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24-05539  (F)</w:t>
    </w:r>
    <w:r>
      <w:rPr>
        <w:noProof/>
        <w:sz w:val="20"/>
      </w:rPr>
      <w:drawing>
        <wp:anchor distT="0" distB="0" distL="114300" distR="114300" simplePos="0" relativeHeight="251660288" behindDoc="0" locked="0" layoutInCell="1" allowOverlap="1" wp14:anchorId="60E46732" wp14:editId="6B2C0086">
          <wp:simplePos x="0" y="0"/>
          <wp:positionH relativeFrom="margin">
            <wp:posOffset>5489575</wp:posOffset>
          </wp:positionH>
          <wp:positionV relativeFrom="margin">
            <wp:posOffset>8891905</wp:posOffset>
          </wp:positionV>
          <wp:extent cx="628650" cy="628650"/>
          <wp:effectExtent l="0" t="0" r="0" b="0"/>
          <wp:wrapNone/>
          <wp:docPr id="29975160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220424    230424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18D13" w14:textId="77777777" w:rsidR="00A30F85" w:rsidRPr="00AC3823" w:rsidRDefault="00A30F85" w:rsidP="00AC3823">
      <w:pPr>
        <w:pStyle w:val="Pieddepage"/>
        <w:tabs>
          <w:tab w:val="right" w:pos="2155"/>
        </w:tabs>
        <w:spacing w:after="80" w:line="240" w:lineRule="atLeast"/>
        <w:ind w:left="680"/>
        <w:rPr>
          <w:u w:val="single"/>
        </w:rPr>
      </w:pPr>
      <w:r>
        <w:rPr>
          <w:u w:val="single"/>
        </w:rPr>
        <w:tab/>
      </w:r>
    </w:p>
  </w:footnote>
  <w:footnote w:type="continuationSeparator" w:id="0">
    <w:p w14:paraId="32EFE191" w14:textId="77777777" w:rsidR="00A30F85" w:rsidRPr="00AC3823" w:rsidRDefault="00A30F85" w:rsidP="00AC3823">
      <w:pPr>
        <w:pStyle w:val="Pieddepage"/>
        <w:tabs>
          <w:tab w:val="right" w:pos="2155"/>
        </w:tabs>
        <w:spacing w:after="80" w:line="240" w:lineRule="atLeast"/>
        <w:ind w:left="680"/>
        <w:rPr>
          <w:u w:val="single"/>
        </w:rPr>
      </w:pPr>
      <w:r>
        <w:rPr>
          <w:u w:val="single"/>
        </w:rPr>
        <w:tab/>
      </w:r>
    </w:p>
  </w:footnote>
  <w:footnote w:type="continuationNotice" w:id="1">
    <w:p w14:paraId="0BA1EEB8" w14:textId="77777777" w:rsidR="00A30F85" w:rsidRPr="00AC3823" w:rsidRDefault="00A30F85">
      <w:pPr>
        <w:spacing w:line="240" w:lineRule="auto"/>
        <w:rPr>
          <w:sz w:val="2"/>
          <w:szCs w:val="2"/>
        </w:rPr>
      </w:pPr>
    </w:p>
  </w:footnote>
  <w:footnote w:id="2">
    <w:p w14:paraId="660CB89F" w14:textId="77777777" w:rsidR="0051769D" w:rsidRPr="0082113E" w:rsidRDefault="0051769D" w:rsidP="0051769D">
      <w:pPr>
        <w:pStyle w:val="Notedebasdepage"/>
      </w:pPr>
      <w:r>
        <w:rPr>
          <w:lang w:val="fr-FR"/>
        </w:rPr>
        <w:tab/>
      </w:r>
      <w:r w:rsidRPr="002E6FF0">
        <w:rPr>
          <w:sz w:val="20"/>
          <w:szCs w:val="22"/>
          <w:lang w:val="fr-FR"/>
        </w:rPr>
        <w:t>*</w:t>
      </w:r>
      <w:r w:rsidRPr="002E6FF0">
        <w:rPr>
          <w:sz w:val="20"/>
          <w:szCs w:val="22"/>
          <w:lang w:val="fr-FR"/>
        </w:rPr>
        <w:tab/>
      </w:r>
      <w:r>
        <w:rPr>
          <w:lang w:val="fr-FR"/>
        </w:rPr>
        <w:t>A/78/6 (Sect. 20), tableau 20.5.</w:t>
      </w:r>
    </w:p>
    <w:p w14:paraId="1113ABAB" w14:textId="77777777" w:rsidR="0051769D" w:rsidRPr="005303A6" w:rsidRDefault="0051769D" w:rsidP="0051769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96AD4" w14:textId="6D2ECD9B" w:rsidR="0051769D" w:rsidRPr="0051769D" w:rsidRDefault="0051769D">
    <w:pPr>
      <w:pStyle w:val="En-tte"/>
    </w:pPr>
    <w:fldSimple w:instr=" TITLE  \* MERGEFORMAT ">
      <w:r w:rsidR="0033557B">
        <w:t>ST/SG/AC.10/C.3/2024/7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0E486" w14:textId="0F965604" w:rsidR="0051769D" w:rsidRPr="0051769D" w:rsidRDefault="0051769D" w:rsidP="0051769D">
    <w:pPr>
      <w:pStyle w:val="En-tte"/>
      <w:jc w:val="right"/>
    </w:pPr>
    <w:fldSimple w:instr=" TITLE  \* MERGEFORMAT ">
      <w:r w:rsidR="0033557B">
        <w:t>ST/SG/AC.10/C.3/2024/7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71591667">
    <w:abstractNumId w:val="12"/>
  </w:num>
  <w:num w:numId="2" w16cid:durableId="1037268593">
    <w:abstractNumId w:val="11"/>
  </w:num>
  <w:num w:numId="3" w16cid:durableId="1924946321">
    <w:abstractNumId w:val="10"/>
  </w:num>
  <w:num w:numId="4" w16cid:durableId="775948753">
    <w:abstractNumId w:val="8"/>
  </w:num>
  <w:num w:numId="5" w16cid:durableId="1549953198">
    <w:abstractNumId w:val="3"/>
  </w:num>
  <w:num w:numId="6" w16cid:durableId="966742090">
    <w:abstractNumId w:val="2"/>
  </w:num>
  <w:num w:numId="7" w16cid:durableId="1232234076">
    <w:abstractNumId w:val="1"/>
  </w:num>
  <w:num w:numId="8" w16cid:durableId="171801677">
    <w:abstractNumId w:val="0"/>
  </w:num>
  <w:num w:numId="9" w16cid:durableId="1834055835">
    <w:abstractNumId w:val="9"/>
  </w:num>
  <w:num w:numId="10" w16cid:durableId="613439930">
    <w:abstractNumId w:val="7"/>
  </w:num>
  <w:num w:numId="11" w16cid:durableId="589003966">
    <w:abstractNumId w:val="6"/>
  </w:num>
  <w:num w:numId="12" w16cid:durableId="801846727">
    <w:abstractNumId w:val="5"/>
  </w:num>
  <w:num w:numId="13" w16cid:durableId="453866445">
    <w:abstractNumId w:val="4"/>
  </w:num>
  <w:num w:numId="14" w16cid:durableId="936062437">
    <w:abstractNumId w:val="12"/>
  </w:num>
  <w:num w:numId="15" w16cid:durableId="1738434193">
    <w:abstractNumId w:val="11"/>
  </w:num>
  <w:num w:numId="16" w16cid:durableId="20793262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85"/>
    <w:rsid w:val="00017F94"/>
    <w:rsid w:val="00023842"/>
    <w:rsid w:val="000305D3"/>
    <w:rsid w:val="000334F9"/>
    <w:rsid w:val="0007796D"/>
    <w:rsid w:val="000B7790"/>
    <w:rsid w:val="00111F2F"/>
    <w:rsid w:val="00132EA9"/>
    <w:rsid w:val="00133877"/>
    <w:rsid w:val="0014365E"/>
    <w:rsid w:val="00172E49"/>
    <w:rsid w:val="00176178"/>
    <w:rsid w:val="001F525A"/>
    <w:rsid w:val="00223272"/>
    <w:rsid w:val="0024779E"/>
    <w:rsid w:val="00283190"/>
    <w:rsid w:val="002832AC"/>
    <w:rsid w:val="002D7C93"/>
    <w:rsid w:val="002E6FF0"/>
    <w:rsid w:val="0033557B"/>
    <w:rsid w:val="00441C3B"/>
    <w:rsid w:val="00446FE5"/>
    <w:rsid w:val="00452396"/>
    <w:rsid w:val="004E468C"/>
    <w:rsid w:val="0051769D"/>
    <w:rsid w:val="005505B7"/>
    <w:rsid w:val="00573BE5"/>
    <w:rsid w:val="00584DC4"/>
    <w:rsid w:val="00586ED3"/>
    <w:rsid w:val="00596AA9"/>
    <w:rsid w:val="0068456F"/>
    <w:rsid w:val="0071601D"/>
    <w:rsid w:val="007A62E6"/>
    <w:rsid w:val="0080684C"/>
    <w:rsid w:val="008123E0"/>
    <w:rsid w:val="00871C75"/>
    <w:rsid w:val="008776DC"/>
    <w:rsid w:val="008B40CD"/>
    <w:rsid w:val="009705C8"/>
    <w:rsid w:val="009C1CF4"/>
    <w:rsid w:val="00A30353"/>
    <w:rsid w:val="00A30F85"/>
    <w:rsid w:val="00A81281"/>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0917C"/>
  <w15:docId w15:val="{0056F1C6-F165-4695-A051-C9256B7E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4C151-5B38-4E62-8E00-DEA91DDD6844}"/>
</file>

<file path=customXml/itemProps2.xml><?xml version="1.0" encoding="utf-8"?>
<ds:datastoreItem xmlns:ds="http://schemas.openxmlformats.org/officeDocument/2006/customXml" ds:itemID="{4231FDE6-9451-4553-BC84-8DCA62146F2D}"/>
</file>

<file path=docProps/app.xml><?xml version="1.0" encoding="utf-8"?>
<Properties xmlns="http://schemas.openxmlformats.org/officeDocument/2006/extended-properties" xmlns:vt="http://schemas.openxmlformats.org/officeDocument/2006/docPropsVTypes">
  <Template>ST.dotm</Template>
  <TotalTime>2</TotalTime>
  <Pages>2</Pages>
  <Words>622</Words>
  <Characters>3481</Characters>
  <Application>Microsoft Office Word</Application>
  <DocSecurity>0</DocSecurity>
  <Lines>69</Lines>
  <Paragraphs>32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ST/SG/AC.10/C.3/2024/7</dc:title>
  <dc:subject/>
  <dc:creator>Christine CHAUTAGNAT</dc:creator>
  <cp:keywords/>
  <cp:lastModifiedBy>Christine Chautagnat</cp:lastModifiedBy>
  <cp:revision>2</cp:revision>
  <cp:lastPrinted>2024-04-23T09:05:00Z</cp:lastPrinted>
  <dcterms:created xsi:type="dcterms:W3CDTF">2024-04-23T09:07:00Z</dcterms:created>
  <dcterms:modified xsi:type="dcterms:W3CDTF">2024-04-23T09:07:00Z</dcterms:modified>
</cp:coreProperties>
</file>