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19E1243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304E4C8" w14:textId="77777777" w:rsidR="00132EA9" w:rsidRPr="00DB58B5" w:rsidRDefault="00132EA9" w:rsidP="00053E7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DC97F01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61A4BF7" w14:textId="7BB8658D" w:rsidR="00132EA9" w:rsidRPr="00DB58B5" w:rsidRDefault="00053E76" w:rsidP="00053E76">
            <w:pPr>
              <w:jc w:val="right"/>
            </w:pPr>
            <w:r w:rsidRPr="00053E76">
              <w:rPr>
                <w:sz w:val="40"/>
              </w:rPr>
              <w:t>ST</w:t>
            </w:r>
            <w:r>
              <w:t>/SG/AC.10/C.3/2024/17</w:t>
            </w:r>
          </w:p>
        </w:tc>
      </w:tr>
      <w:tr w:rsidR="00132EA9" w:rsidRPr="00DB58B5" w14:paraId="02F40F7B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371184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5B6BC5B" wp14:editId="0E64B81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4A7F65A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39A2A3" w14:textId="77777777" w:rsidR="00132EA9" w:rsidRDefault="00053E76" w:rsidP="00F01738">
            <w:pPr>
              <w:spacing w:before="240"/>
            </w:pPr>
            <w:r>
              <w:t>Distr. générale</w:t>
            </w:r>
          </w:p>
          <w:p w14:paraId="41515252" w14:textId="77777777" w:rsidR="00053E76" w:rsidRDefault="00053E76" w:rsidP="00053E76">
            <w:pPr>
              <w:spacing w:line="240" w:lineRule="exact"/>
            </w:pPr>
            <w:r>
              <w:t>9 avril 2024</w:t>
            </w:r>
          </w:p>
          <w:p w14:paraId="66BAD375" w14:textId="77777777" w:rsidR="00053E76" w:rsidRDefault="00053E76" w:rsidP="00053E76">
            <w:pPr>
              <w:spacing w:line="240" w:lineRule="exact"/>
            </w:pPr>
            <w:r>
              <w:t>Français</w:t>
            </w:r>
          </w:p>
          <w:p w14:paraId="6AA2CF35" w14:textId="00E8E44D" w:rsidR="00053E76" w:rsidRPr="00DB58B5" w:rsidRDefault="00053E76" w:rsidP="00053E76">
            <w:pPr>
              <w:spacing w:line="240" w:lineRule="exact"/>
            </w:pPr>
            <w:r>
              <w:t>Original : anglais</w:t>
            </w:r>
          </w:p>
        </w:tc>
      </w:tr>
    </w:tbl>
    <w:p w14:paraId="7F422138" w14:textId="63FEF5CC" w:rsidR="00053E76" w:rsidRPr="00CA0680" w:rsidRDefault="00053E76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372B0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372B00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27015569" w14:textId="75DFACD3" w:rsidR="00053E76" w:rsidRPr="00CA0680" w:rsidRDefault="00053E76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372B00">
        <w:rPr>
          <w:b/>
        </w:rPr>
        <w:t>’</w:t>
      </w:r>
      <w:r w:rsidRPr="00CA0680">
        <w:rPr>
          <w:b/>
        </w:rPr>
        <w:t>experts du transport des marchandises dangereuses</w:t>
      </w:r>
    </w:p>
    <w:p w14:paraId="79365E8E" w14:textId="05E221DB" w:rsidR="00053E76" w:rsidRDefault="00053E76" w:rsidP="000305D3">
      <w:pPr>
        <w:spacing w:before="120"/>
        <w:rPr>
          <w:b/>
        </w:rPr>
      </w:pPr>
      <w:r>
        <w:rPr>
          <w:b/>
          <w:bCs/>
          <w:lang w:val="fr-FR"/>
        </w:rPr>
        <w:t>Soixante-quatrième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35D65D61" w14:textId="2B127C59" w:rsidR="00053E76" w:rsidRDefault="00053E76" w:rsidP="000305D3">
      <w:r>
        <w:rPr>
          <w:lang w:val="fr-FR"/>
        </w:rPr>
        <w:t>Genève, 24 juin-3 juillet 2024</w:t>
      </w:r>
    </w:p>
    <w:p w14:paraId="7BC92C60" w14:textId="1B0125DD" w:rsidR="00053E76" w:rsidRDefault="00053E76" w:rsidP="000305D3">
      <w:r>
        <w:rPr>
          <w:lang w:val="fr-FR"/>
        </w:rPr>
        <w:t>Point 3 de l</w:t>
      </w:r>
      <w:r w:rsidR="00372B00">
        <w:rPr>
          <w:lang w:val="fr-FR"/>
        </w:rPr>
        <w:t>’</w:t>
      </w:r>
      <w:r>
        <w:rPr>
          <w:lang w:val="fr-FR"/>
        </w:rPr>
        <w:t>ordre du jour provisoire</w:t>
      </w:r>
    </w:p>
    <w:p w14:paraId="3D72F208" w14:textId="77777777" w:rsidR="00053E76" w:rsidRPr="00DB3267" w:rsidRDefault="00053E76" w:rsidP="00053E76">
      <w:pPr>
        <w:rPr>
          <w:b/>
        </w:rPr>
      </w:pPr>
      <w:r>
        <w:rPr>
          <w:b/>
          <w:bCs/>
          <w:lang w:val="fr-FR"/>
        </w:rPr>
        <w:t>Inscription, classement et emballage</w:t>
      </w:r>
    </w:p>
    <w:p w14:paraId="7DBBE5E2" w14:textId="2FD14F66" w:rsidR="00053E76" w:rsidRPr="00DB3267" w:rsidRDefault="00053E76" w:rsidP="00E03AAD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Transport des liquides organiques porteurs d</w:t>
      </w:r>
      <w:r w:rsidR="00372B00">
        <w:rPr>
          <w:lang w:val="fr-FR"/>
        </w:rPr>
        <w:t>’</w:t>
      </w:r>
      <w:r>
        <w:rPr>
          <w:lang w:val="fr-FR"/>
        </w:rPr>
        <w:t xml:space="preserve">hydrogène </w:t>
      </w:r>
      <w:r w:rsidR="00372B00">
        <w:rPr>
          <w:lang w:val="fr-FR"/>
        </w:rPr>
        <w:t>− </w:t>
      </w:r>
      <w:r>
        <w:rPr>
          <w:lang w:val="fr-FR"/>
        </w:rPr>
        <w:t>nouvelle disposition spéciale pour le No ONU 3082</w:t>
      </w:r>
    </w:p>
    <w:p w14:paraId="2C6F0C29" w14:textId="0E51DC52" w:rsidR="00053E76" w:rsidRPr="00DB3267" w:rsidRDefault="00053E76" w:rsidP="00E03AAD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372B00">
        <w:rPr>
          <w:lang w:val="fr-FR"/>
        </w:rPr>
        <w:t>’</w:t>
      </w:r>
      <w:r>
        <w:rPr>
          <w:lang w:val="fr-FR"/>
        </w:rPr>
        <w:t>expert de l</w:t>
      </w:r>
      <w:r w:rsidR="00372B00">
        <w:rPr>
          <w:lang w:val="fr-FR"/>
        </w:rPr>
        <w:t>’</w:t>
      </w:r>
      <w:r>
        <w:rPr>
          <w:lang w:val="fr-FR"/>
        </w:rPr>
        <w:t>Allemagne</w:t>
      </w:r>
      <w:r w:rsidR="00372B00" w:rsidRPr="00372B0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3B323A84" w14:textId="357A5F01" w:rsidR="00053E76" w:rsidRPr="00DB3267" w:rsidRDefault="00E03AAD" w:rsidP="00E03AAD">
      <w:pPr>
        <w:pStyle w:val="HChG"/>
      </w:pPr>
      <w:r>
        <w:rPr>
          <w:lang w:val="fr-FR"/>
        </w:rPr>
        <w:tab/>
      </w:r>
      <w:r w:rsidR="00053E76">
        <w:rPr>
          <w:lang w:val="fr-FR"/>
        </w:rPr>
        <w:t>I.</w:t>
      </w:r>
      <w:r w:rsidR="00053E76">
        <w:rPr>
          <w:lang w:val="fr-FR"/>
        </w:rPr>
        <w:tab/>
        <w:t>Introduction</w:t>
      </w:r>
    </w:p>
    <w:p w14:paraId="10FBA795" w14:textId="190B19E2" w:rsidR="00053E76" w:rsidRPr="00DB3267" w:rsidRDefault="00053E76" w:rsidP="00E03AAD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</w:t>
      </w:r>
      <w:r w:rsidR="00372B00">
        <w:rPr>
          <w:lang w:val="fr-FR"/>
        </w:rPr>
        <w:t>’</w:t>
      </w:r>
      <w:r>
        <w:rPr>
          <w:lang w:val="fr-FR"/>
        </w:rPr>
        <w:t>hydrogène est appelé à jouer un rôle important dans la décarbonisation de l</w:t>
      </w:r>
      <w:r w:rsidR="00372B00">
        <w:rPr>
          <w:lang w:val="fr-FR"/>
        </w:rPr>
        <w:t>’</w:t>
      </w:r>
      <w:r>
        <w:rPr>
          <w:lang w:val="fr-FR"/>
        </w:rPr>
        <w:t>énergie. Il existe différentes solutions pour le transport de l</w:t>
      </w:r>
      <w:r w:rsidR="00372B00">
        <w:rPr>
          <w:lang w:val="fr-FR"/>
        </w:rPr>
        <w:t>’</w:t>
      </w:r>
      <w:r>
        <w:rPr>
          <w:lang w:val="fr-FR"/>
        </w:rPr>
        <w:t>hydrogène, l</w:t>
      </w:r>
      <w:r w:rsidR="00372B00">
        <w:rPr>
          <w:lang w:val="fr-FR"/>
        </w:rPr>
        <w:t>’</w:t>
      </w:r>
      <w:r>
        <w:rPr>
          <w:lang w:val="fr-FR"/>
        </w:rPr>
        <w:t>une d</w:t>
      </w:r>
      <w:r w:rsidR="00372B00">
        <w:rPr>
          <w:lang w:val="fr-FR"/>
        </w:rPr>
        <w:t>’</w:t>
      </w:r>
      <w:r>
        <w:rPr>
          <w:lang w:val="fr-FR"/>
        </w:rPr>
        <w:t>entre elles étant la liaison de molécules d</w:t>
      </w:r>
      <w:r w:rsidR="00372B00">
        <w:rPr>
          <w:lang w:val="fr-FR"/>
        </w:rPr>
        <w:t>’</w:t>
      </w:r>
      <w:r>
        <w:rPr>
          <w:lang w:val="fr-FR"/>
        </w:rPr>
        <w:t>hydrogène à des porteurs chimiques. Les règles relatives aux différentes modalités de transport de l</w:t>
      </w:r>
      <w:r w:rsidR="00372B00">
        <w:rPr>
          <w:lang w:val="fr-FR"/>
        </w:rPr>
        <w:t>’</w:t>
      </w:r>
      <w:r>
        <w:rPr>
          <w:lang w:val="fr-FR"/>
        </w:rPr>
        <w:t>hydrogène devront être adaptées en conséquence.</w:t>
      </w:r>
    </w:p>
    <w:p w14:paraId="2158B980" w14:textId="282BEAB5" w:rsidR="00053E76" w:rsidRPr="00DB3267" w:rsidRDefault="00053E76" w:rsidP="00E03AAD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>L</w:t>
      </w:r>
      <w:r w:rsidR="00372B00">
        <w:rPr>
          <w:lang w:val="fr-FR"/>
        </w:rPr>
        <w:t>’</w:t>
      </w:r>
      <w:r>
        <w:rPr>
          <w:lang w:val="fr-FR"/>
        </w:rPr>
        <w:t>Allemagne est convaincue que les conditions de transport des liquides organiques porteurs d</w:t>
      </w:r>
      <w:r w:rsidR="00372B00">
        <w:rPr>
          <w:lang w:val="fr-FR"/>
        </w:rPr>
        <w:t>’</w:t>
      </w:r>
      <w:r>
        <w:rPr>
          <w:lang w:val="fr-FR"/>
        </w:rPr>
        <w:t>hydrogène (LOHC) à base de benzyltoluène gagneraient à être clarifiées. En outre, elle est d</w:t>
      </w:r>
      <w:r w:rsidR="00372B00">
        <w:rPr>
          <w:lang w:val="fr-FR"/>
        </w:rPr>
        <w:t>’</w:t>
      </w:r>
      <w:r>
        <w:rPr>
          <w:lang w:val="fr-FR"/>
        </w:rPr>
        <w:t>avis que les interprétations et les amendements proposés dans le présent document permettront de prendre des mesures plus cohérentes et d</w:t>
      </w:r>
      <w:r w:rsidR="00372B00">
        <w:rPr>
          <w:lang w:val="fr-FR"/>
        </w:rPr>
        <w:t>’</w:t>
      </w:r>
      <w:r>
        <w:rPr>
          <w:lang w:val="fr-FR"/>
        </w:rPr>
        <w:t>assurer un niveau de protection plus élevé pour le transport de l</w:t>
      </w:r>
      <w:r w:rsidR="00372B00">
        <w:rPr>
          <w:lang w:val="fr-FR"/>
        </w:rPr>
        <w:t>’</w:t>
      </w:r>
      <w:r>
        <w:rPr>
          <w:lang w:val="fr-FR"/>
        </w:rPr>
        <w:t>hydrogène lorsqu</w:t>
      </w:r>
      <w:r w:rsidR="00372B00">
        <w:rPr>
          <w:lang w:val="fr-FR"/>
        </w:rPr>
        <w:t>’</w:t>
      </w:r>
      <w:r>
        <w:rPr>
          <w:lang w:val="fr-FR"/>
        </w:rPr>
        <w:t>il est chimiquement lié à ce porteur. Actuellement, le Règlement type ne définit pas correctement les teneurs en hydrogène physiquement dissous pour le benzyltoluène utilisé comme porteur d</w:t>
      </w:r>
      <w:r w:rsidR="00372B00">
        <w:rPr>
          <w:lang w:val="fr-FR"/>
        </w:rPr>
        <w:t>’</w:t>
      </w:r>
      <w:r>
        <w:rPr>
          <w:lang w:val="fr-FR"/>
        </w:rPr>
        <w:t>hydrogène. Grâce aux prescriptions proposées ci-dessous, l</w:t>
      </w:r>
      <w:r w:rsidR="00372B00">
        <w:rPr>
          <w:lang w:val="fr-FR"/>
        </w:rPr>
        <w:t>’</w:t>
      </w:r>
      <w:r>
        <w:rPr>
          <w:lang w:val="fr-FR"/>
        </w:rPr>
        <w:t>Allemagne entend accroître la sécurité de cette méthode de transport de l</w:t>
      </w:r>
      <w:r w:rsidR="00372B00">
        <w:rPr>
          <w:lang w:val="fr-FR"/>
        </w:rPr>
        <w:t>’</w:t>
      </w:r>
      <w:r>
        <w:rPr>
          <w:lang w:val="fr-FR"/>
        </w:rPr>
        <w:t>hydrogène.</w:t>
      </w:r>
    </w:p>
    <w:p w14:paraId="63D12A15" w14:textId="70F06983" w:rsidR="00053E76" w:rsidRPr="00DB3267" w:rsidRDefault="00053E76" w:rsidP="00E03AAD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Un document de travail a été présenté à la dernière session du Sous-Comité. Au vu des réactions positives, l</w:t>
      </w:r>
      <w:r w:rsidR="00372B00">
        <w:rPr>
          <w:lang w:val="fr-FR"/>
        </w:rPr>
        <w:t>’</w:t>
      </w:r>
      <w:r>
        <w:rPr>
          <w:lang w:val="fr-FR"/>
        </w:rPr>
        <w:t>Allemagne a décidé de soumettre à nouveau la proposition avec quelques informations complémentaires.</w:t>
      </w:r>
    </w:p>
    <w:p w14:paraId="6A484583" w14:textId="16431F28" w:rsidR="00053E76" w:rsidRPr="00DB3267" w:rsidRDefault="00E03AAD" w:rsidP="00E03AAD">
      <w:pPr>
        <w:pStyle w:val="HChG"/>
      </w:pPr>
      <w:r>
        <w:rPr>
          <w:bCs/>
          <w:lang w:val="fr-FR"/>
        </w:rPr>
        <w:tab/>
      </w:r>
      <w:r w:rsidR="00053E76">
        <w:rPr>
          <w:bCs/>
          <w:lang w:val="fr-FR"/>
        </w:rPr>
        <w:t>II.</w:t>
      </w:r>
      <w:r w:rsidR="00053E76">
        <w:rPr>
          <w:lang w:val="fr-FR"/>
        </w:rPr>
        <w:tab/>
      </w:r>
      <w:r w:rsidR="00053E76" w:rsidRPr="00E03AAD">
        <w:rPr>
          <w:lang w:val="fr-FR"/>
        </w:rPr>
        <w:t>Examen</w:t>
      </w:r>
    </w:p>
    <w:p w14:paraId="719FA347" w14:textId="6E563FF0" w:rsidR="00053E76" w:rsidRPr="00DB3267" w:rsidRDefault="00053E76" w:rsidP="00E03AAD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Il existe différentes solutions pour le transport de l</w:t>
      </w:r>
      <w:r w:rsidR="00372B00">
        <w:rPr>
          <w:lang w:val="fr-FR"/>
        </w:rPr>
        <w:t>’</w:t>
      </w:r>
      <w:r>
        <w:rPr>
          <w:lang w:val="fr-FR"/>
        </w:rPr>
        <w:t>hydrogène</w:t>
      </w:r>
      <w:r w:rsidR="00372B00">
        <w:rPr>
          <w:lang w:val="fr-FR"/>
        </w:rPr>
        <w:t> </w:t>
      </w:r>
      <w:r>
        <w:rPr>
          <w:lang w:val="fr-FR"/>
        </w:rPr>
        <w:t>: sous haute pression en tant que gaz, sous forme liquéfiée réfrigérée, ou lié chimiquement à des liquides organiques porteurs d</w:t>
      </w:r>
      <w:r w:rsidR="00372B00">
        <w:rPr>
          <w:lang w:val="fr-FR"/>
        </w:rPr>
        <w:t>’</w:t>
      </w:r>
      <w:r>
        <w:rPr>
          <w:lang w:val="fr-FR"/>
        </w:rPr>
        <w:t>hydrogène (LOHC), parmi lesquels figure le benzyltoluène.</w:t>
      </w:r>
    </w:p>
    <w:p w14:paraId="1447E231" w14:textId="195A6251" w:rsidR="00053E76" w:rsidRPr="00DB3267" w:rsidRDefault="00053E76" w:rsidP="00E03AAD">
      <w:pPr>
        <w:pStyle w:val="SingleTxtG"/>
      </w:pPr>
      <w:r>
        <w:rPr>
          <w:lang w:val="fr-FR"/>
        </w:rPr>
        <w:lastRenderedPageBreak/>
        <w:t>5.</w:t>
      </w:r>
      <w:r>
        <w:rPr>
          <w:lang w:val="fr-FR"/>
        </w:rPr>
        <w:tab/>
        <w:t>Le benzyltoluène est une matière connue de longue date qui figure dans la classe 9 des marchandises dangereuses sous le No ONU 3082 (MATIÈRE DANGEREUSE DU POINT DE VUE DE L</w:t>
      </w:r>
      <w:r w:rsidR="00372B00">
        <w:rPr>
          <w:lang w:val="fr-FR"/>
        </w:rPr>
        <w:t>’</w:t>
      </w:r>
      <w:r>
        <w:rPr>
          <w:lang w:val="fr-FR"/>
        </w:rPr>
        <w:t>ENVIRONNEMENT, LIQUIDE, N.S.A.). Six molécules d</w:t>
      </w:r>
      <w:r w:rsidR="00372B00">
        <w:rPr>
          <w:lang w:val="fr-FR"/>
        </w:rPr>
        <w:t>’</w:t>
      </w:r>
      <w:r>
        <w:rPr>
          <w:lang w:val="fr-FR"/>
        </w:rPr>
        <w:t>hydrogène peuvent être chimiquement liées à une molécule de benzyltoluène suivant le schéma ci-dessous (hydrogénation).</w:t>
      </w:r>
    </w:p>
    <w:p w14:paraId="08995777" w14:textId="77777777" w:rsidR="00053E76" w:rsidRPr="00E018E1" w:rsidRDefault="00053E76" w:rsidP="00E03AAD">
      <w:pPr>
        <w:pStyle w:val="SingleTxtG"/>
      </w:pPr>
      <w:r w:rsidRPr="00E018E1">
        <w:rPr>
          <w:noProof/>
        </w:rPr>
        <w:drawing>
          <wp:inline distT="0" distB="0" distL="0" distR="0" wp14:anchorId="7DE4A195" wp14:editId="71C255A7">
            <wp:extent cx="4045907" cy="1557020"/>
            <wp:effectExtent l="0" t="0" r="0" b="5080"/>
            <wp:docPr id="3" name="Grafik 3" descr="Une image contenant diagramme, ligne, croqu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Une image contenant diagramme, ligne, croqui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39" cy="1584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D37EF" w14:textId="3499CD3F" w:rsidR="00053E76" w:rsidRPr="00DB3267" w:rsidRDefault="00053E76" w:rsidP="00E03AAD">
      <w:pPr>
        <w:pStyle w:val="SingleTxtG"/>
      </w:pPr>
      <w:r>
        <w:rPr>
          <w:lang w:val="fr-FR"/>
        </w:rPr>
        <w:t>Ainsi, en fonction du degré d</w:t>
      </w:r>
      <w:r w:rsidR="00372B00">
        <w:rPr>
          <w:lang w:val="fr-FR"/>
        </w:rPr>
        <w:t>’</w:t>
      </w:r>
      <w:r>
        <w:rPr>
          <w:lang w:val="fr-FR"/>
        </w:rPr>
        <w:t>hydrogénation, jusqu</w:t>
      </w:r>
      <w:r w:rsidR="00372B00">
        <w:rPr>
          <w:lang w:val="fr-FR"/>
        </w:rPr>
        <w:t>’</w:t>
      </w:r>
      <w:r>
        <w:rPr>
          <w:lang w:val="fr-FR"/>
        </w:rPr>
        <w:t>à quelque 700 litres d</w:t>
      </w:r>
      <w:r w:rsidR="00372B00">
        <w:rPr>
          <w:lang w:val="fr-FR"/>
        </w:rPr>
        <w:t>’</w:t>
      </w:r>
      <w:r>
        <w:rPr>
          <w:lang w:val="fr-FR"/>
        </w:rPr>
        <w:t>hydrogène peuvent être liés chimiquement dans un litre de benzyltoluène.</w:t>
      </w:r>
    </w:p>
    <w:p w14:paraId="5F17C582" w14:textId="3B12CF34" w:rsidR="00053E76" w:rsidRPr="00DB3267" w:rsidRDefault="00053E76" w:rsidP="00E03AAD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Des conditions de réaction particulières sont nécessaires pour que l</w:t>
      </w:r>
      <w:r w:rsidR="00372B00">
        <w:rPr>
          <w:lang w:val="fr-FR"/>
        </w:rPr>
        <w:t>’</w:t>
      </w:r>
      <w:r>
        <w:rPr>
          <w:lang w:val="fr-FR"/>
        </w:rPr>
        <w:t>hydrogène chimiquement lié soit libéré par la suite. Dans le cas présent, les liaisons chimiques sont rompues à l</w:t>
      </w:r>
      <w:r w:rsidR="00372B00">
        <w:rPr>
          <w:lang w:val="fr-FR"/>
        </w:rPr>
        <w:t>’</w:t>
      </w:r>
      <w:r>
        <w:rPr>
          <w:lang w:val="fr-FR"/>
        </w:rPr>
        <w:t>aide d</w:t>
      </w:r>
      <w:r w:rsidR="00372B00">
        <w:rPr>
          <w:lang w:val="fr-FR"/>
        </w:rPr>
        <w:t>’</w:t>
      </w:r>
      <w:r>
        <w:rPr>
          <w:lang w:val="fr-FR"/>
        </w:rPr>
        <w:t>un système catalytique à 250 °C. L</w:t>
      </w:r>
      <w:r w:rsidR="00372B00">
        <w:rPr>
          <w:lang w:val="fr-FR"/>
        </w:rPr>
        <w:t>’</w:t>
      </w:r>
      <w:r>
        <w:rPr>
          <w:lang w:val="fr-FR"/>
        </w:rPr>
        <w:t>hydrogène lié chimiquement ne peut donc pas être libéré dans les conditions de transport.</w:t>
      </w:r>
    </w:p>
    <w:p w14:paraId="2E00E578" w14:textId="7DC3C19A" w:rsidR="00053E76" w:rsidRPr="00DB3267" w:rsidRDefault="00053E76" w:rsidP="00E03AAD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Le problème, que l</w:t>
      </w:r>
      <w:r w:rsidR="00372B00">
        <w:rPr>
          <w:lang w:val="fr-FR"/>
        </w:rPr>
        <w:t>’</w:t>
      </w:r>
      <w:r>
        <w:rPr>
          <w:lang w:val="fr-FR"/>
        </w:rPr>
        <w:t>Allemagne a envisagé sous l</w:t>
      </w:r>
      <w:r w:rsidR="00372B00">
        <w:rPr>
          <w:lang w:val="fr-FR"/>
        </w:rPr>
        <w:t>’</w:t>
      </w:r>
      <w:r>
        <w:rPr>
          <w:lang w:val="fr-FR"/>
        </w:rPr>
        <w:t>angle de la sécurité, réside dans le fait qu</w:t>
      </w:r>
      <w:r w:rsidR="00372B00">
        <w:rPr>
          <w:lang w:val="fr-FR"/>
        </w:rPr>
        <w:t>’</w:t>
      </w:r>
      <w:r>
        <w:rPr>
          <w:lang w:val="fr-FR"/>
        </w:rPr>
        <w:t>il peut subsister dans le porteur d</w:t>
      </w:r>
      <w:r w:rsidR="00372B00">
        <w:rPr>
          <w:lang w:val="fr-FR"/>
        </w:rPr>
        <w:t>’</w:t>
      </w:r>
      <w:r>
        <w:rPr>
          <w:lang w:val="fr-FR"/>
        </w:rPr>
        <w:t>hydrogène des résidus d</w:t>
      </w:r>
      <w:r w:rsidR="00372B00">
        <w:rPr>
          <w:lang w:val="fr-FR"/>
        </w:rPr>
        <w:t>’</w:t>
      </w:r>
      <w:r>
        <w:rPr>
          <w:lang w:val="fr-FR"/>
        </w:rPr>
        <w:t>hydrogène physiquement dissous, c</w:t>
      </w:r>
      <w:r w:rsidR="00372B00">
        <w:rPr>
          <w:lang w:val="fr-FR"/>
        </w:rPr>
        <w:t>’</w:t>
      </w:r>
      <w:r>
        <w:rPr>
          <w:lang w:val="fr-FR"/>
        </w:rPr>
        <w:t>est-à-dire non lié chimiquement, à l</w:t>
      </w:r>
      <w:r w:rsidR="00372B00">
        <w:rPr>
          <w:lang w:val="fr-FR"/>
        </w:rPr>
        <w:t>’</w:t>
      </w:r>
      <w:r>
        <w:rPr>
          <w:lang w:val="fr-FR"/>
        </w:rPr>
        <w:t>issue du processus de liaison de l</w:t>
      </w:r>
      <w:r w:rsidR="00372B00">
        <w:rPr>
          <w:lang w:val="fr-FR"/>
        </w:rPr>
        <w:t>’</w:t>
      </w:r>
      <w:r>
        <w:rPr>
          <w:lang w:val="fr-FR"/>
        </w:rPr>
        <w:t>hydrogène au porteur d</w:t>
      </w:r>
      <w:r w:rsidR="00372B00">
        <w:rPr>
          <w:lang w:val="fr-FR"/>
        </w:rPr>
        <w:t>’</w:t>
      </w:r>
      <w:r>
        <w:rPr>
          <w:lang w:val="fr-FR"/>
        </w:rPr>
        <w:t>hydrogène (hydrogénation). Ces résidus, qui ne sont que physiquement dissous, risquent d</w:t>
      </w:r>
      <w:r w:rsidR="00372B00">
        <w:rPr>
          <w:lang w:val="fr-FR"/>
        </w:rPr>
        <w:t>’</w:t>
      </w:r>
      <w:r>
        <w:rPr>
          <w:lang w:val="fr-FR"/>
        </w:rPr>
        <w:t>être libérés pendant le transport.</w:t>
      </w:r>
    </w:p>
    <w:p w14:paraId="736FECE1" w14:textId="1A16C5D3" w:rsidR="00053E76" w:rsidRPr="00DB3267" w:rsidRDefault="00053E76" w:rsidP="00E03AAD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 xml:space="preserve">Le Physikalisch-Technische Bundesanstalt (Institut national allemand de métrologie </w:t>
      </w:r>
      <w:r w:rsidR="00FB3059">
        <w:rPr>
          <w:lang w:val="fr-FR"/>
        </w:rPr>
        <w:t>− </w:t>
      </w:r>
      <w:r>
        <w:rPr>
          <w:lang w:val="fr-FR"/>
        </w:rPr>
        <w:t>PTB) a procédé à des essais expérimentaux pour recueillir des données fiables et pouvoir réaliser une évaluation solide de la sécurité pour les scénarios possibles. Ces essais visaient à déterminer si la libération des résidus d</w:t>
      </w:r>
      <w:r w:rsidR="00372B00">
        <w:rPr>
          <w:lang w:val="fr-FR"/>
        </w:rPr>
        <w:t>’</w:t>
      </w:r>
      <w:r>
        <w:rPr>
          <w:lang w:val="fr-FR"/>
        </w:rPr>
        <w:t>hydrogène physiquement dissous pouvait conduire à la formation d</w:t>
      </w:r>
      <w:r w:rsidR="00372B00">
        <w:rPr>
          <w:lang w:val="fr-FR"/>
        </w:rPr>
        <w:t>’</w:t>
      </w:r>
      <w:r>
        <w:rPr>
          <w:lang w:val="fr-FR"/>
        </w:rPr>
        <w:t>une atmosphère explosive.</w:t>
      </w:r>
    </w:p>
    <w:p w14:paraId="27DF6E19" w14:textId="7C713CD5" w:rsidR="00053E76" w:rsidRPr="00DB3267" w:rsidRDefault="00053E76" w:rsidP="00E03AAD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Les essais menés au PTB l</w:t>
      </w:r>
      <w:r w:rsidR="00372B00">
        <w:rPr>
          <w:lang w:val="fr-FR"/>
        </w:rPr>
        <w:t>’</w:t>
      </w:r>
      <w:r>
        <w:rPr>
          <w:lang w:val="fr-FR"/>
        </w:rPr>
        <w:t>ont été dans des conditions extrêmes (scénarios les plus défavorables). Le taux de remplissage de l</w:t>
      </w:r>
      <w:r w:rsidR="00372B00">
        <w:rPr>
          <w:lang w:val="fr-FR"/>
        </w:rPr>
        <w:t>’</w:t>
      </w:r>
      <w:r>
        <w:rPr>
          <w:lang w:val="fr-FR"/>
        </w:rPr>
        <w:t>autoclave était de 90</w:t>
      </w:r>
      <w:r w:rsidR="00372B00">
        <w:rPr>
          <w:lang w:val="fr-FR"/>
        </w:rPr>
        <w:t> </w:t>
      </w:r>
      <w:r>
        <w:rPr>
          <w:lang w:val="fr-FR"/>
        </w:rPr>
        <w:t>% et les échantillons ont d</w:t>
      </w:r>
      <w:r w:rsidR="00372B00">
        <w:rPr>
          <w:lang w:val="fr-FR"/>
        </w:rPr>
        <w:t>’</w:t>
      </w:r>
      <w:r>
        <w:rPr>
          <w:lang w:val="fr-FR"/>
        </w:rPr>
        <w:t xml:space="preserve">abord été refroidis à -30 °C puis chauffés à 70 °C afin que le dégagement gazeux (hydrogène) soit le plus élevé possible. </w:t>
      </w:r>
    </w:p>
    <w:p w14:paraId="418F8063" w14:textId="0B47F5AD" w:rsidR="00053E76" w:rsidRPr="00DB3267" w:rsidRDefault="00E03AAD" w:rsidP="00E03AAD">
      <w:pPr>
        <w:pStyle w:val="HChG"/>
      </w:pPr>
      <w:r>
        <w:rPr>
          <w:lang w:val="fr-FR"/>
        </w:rPr>
        <w:tab/>
      </w:r>
      <w:r w:rsidR="00053E76">
        <w:rPr>
          <w:lang w:val="fr-FR"/>
        </w:rPr>
        <w:t>III.</w:t>
      </w:r>
      <w:r w:rsidR="00053E76">
        <w:rPr>
          <w:lang w:val="fr-FR"/>
        </w:rPr>
        <w:tab/>
        <w:t>Résultats</w:t>
      </w:r>
    </w:p>
    <w:p w14:paraId="393D1E7F" w14:textId="72410A99" w:rsidR="00053E76" w:rsidRPr="00DB3267" w:rsidRDefault="00053E76" w:rsidP="00E03AAD">
      <w:pPr>
        <w:pStyle w:val="SingleTxtG"/>
      </w:pPr>
      <w:r>
        <w:rPr>
          <w:lang w:val="fr-FR"/>
        </w:rPr>
        <w:t>10.</w:t>
      </w:r>
      <w:r>
        <w:rPr>
          <w:lang w:val="fr-FR"/>
        </w:rPr>
        <w:tab/>
        <w:t>Les essais ont montré qu</w:t>
      </w:r>
      <w:r w:rsidR="00372B00">
        <w:rPr>
          <w:lang w:val="fr-FR"/>
        </w:rPr>
        <w:t>’</w:t>
      </w:r>
      <w:r>
        <w:rPr>
          <w:lang w:val="fr-FR"/>
        </w:rPr>
        <w:t>il existait un faible risque de formation d</w:t>
      </w:r>
      <w:r w:rsidR="00372B00">
        <w:rPr>
          <w:lang w:val="fr-FR"/>
        </w:rPr>
        <w:t>’</w:t>
      </w:r>
      <w:r>
        <w:rPr>
          <w:lang w:val="fr-FR"/>
        </w:rPr>
        <w:t>une atmosphère explosible pour les échantillons non traités uniquement, et seulement dans les conditions extrêmes décrites ci-dessus. Dans tous les autres cas, aucune inflammation n</w:t>
      </w:r>
      <w:r w:rsidR="00372B00">
        <w:rPr>
          <w:lang w:val="fr-FR"/>
        </w:rPr>
        <w:t>’</w:t>
      </w:r>
      <w:r>
        <w:rPr>
          <w:lang w:val="fr-FR"/>
        </w:rPr>
        <w:t>a été détectée.</w:t>
      </w:r>
    </w:p>
    <w:p w14:paraId="78C7C161" w14:textId="43E7804F" w:rsidR="00053E76" w:rsidRPr="00DB3267" w:rsidRDefault="00053E76" w:rsidP="00E03AAD">
      <w:pPr>
        <w:pStyle w:val="SingleTxtG"/>
      </w:pPr>
      <w:r>
        <w:rPr>
          <w:lang w:val="fr-FR"/>
        </w:rPr>
        <w:t>11.</w:t>
      </w:r>
      <w:r>
        <w:rPr>
          <w:lang w:val="fr-FR"/>
        </w:rPr>
        <w:tab/>
        <w:t>L</w:t>
      </w:r>
      <w:r w:rsidR="00372B00">
        <w:rPr>
          <w:lang w:val="fr-FR"/>
        </w:rPr>
        <w:t>’</w:t>
      </w:r>
      <w:r>
        <w:rPr>
          <w:lang w:val="fr-FR"/>
        </w:rPr>
        <w:t>évaluation de sécurité a été menée conformément aux dispositions applicables à la division 4.3 (Matières qui, au contact de l</w:t>
      </w:r>
      <w:r w:rsidR="00372B00">
        <w:rPr>
          <w:lang w:val="fr-FR"/>
        </w:rPr>
        <w:t>’</w:t>
      </w:r>
      <w:r>
        <w:rPr>
          <w:lang w:val="fr-FR"/>
        </w:rPr>
        <w:t>eau, dégagent des gaz inflammables). La valeur limite fixée dans les dispositions est de 1 litre (gaz inflammable) par kg (matière) en une heure pour les matières classées dans la division 4.3. Compte tenu de ce qui précède, on considère qu</w:t>
      </w:r>
      <w:r w:rsidR="00372B00">
        <w:rPr>
          <w:lang w:val="fr-FR"/>
        </w:rPr>
        <w:t>’</w:t>
      </w:r>
      <w:r>
        <w:rPr>
          <w:lang w:val="fr-FR"/>
        </w:rPr>
        <w:t>une teneur limite d</w:t>
      </w:r>
      <w:r w:rsidR="00372B00">
        <w:rPr>
          <w:lang w:val="fr-FR"/>
        </w:rPr>
        <w:t>’</w:t>
      </w:r>
      <w:r>
        <w:rPr>
          <w:lang w:val="fr-FR"/>
        </w:rPr>
        <w:t>hydrogène physiquement dissous de 0,5 L/kg (LOHC) est acceptable pour que l</w:t>
      </w:r>
      <w:r w:rsidR="00372B00">
        <w:rPr>
          <w:lang w:val="fr-FR"/>
        </w:rPr>
        <w:t>’</w:t>
      </w:r>
      <w:r>
        <w:rPr>
          <w:lang w:val="fr-FR"/>
        </w:rPr>
        <w:t>hydrogène lié à des liquides organiques porteurs d</w:t>
      </w:r>
      <w:r w:rsidR="00372B00">
        <w:rPr>
          <w:lang w:val="fr-FR"/>
        </w:rPr>
        <w:t>’</w:t>
      </w:r>
      <w:r>
        <w:rPr>
          <w:lang w:val="fr-FR"/>
        </w:rPr>
        <w:t>hydrogène puisse être transporté en toute sécurité.</w:t>
      </w:r>
    </w:p>
    <w:p w14:paraId="22529EE0" w14:textId="0724727A" w:rsidR="00053E76" w:rsidRPr="00DB3267" w:rsidRDefault="00053E76" w:rsidP="00E03AAD">
      <w:pPr>
        <w:pStyle w:val="SingleTxtG"/>
      </w:pPr>
      <w:r>
        <w:rPr>
          <w:lang w:val="fr-FR"/>
        </w:rPr>
        <w:t>12.</w:t>
      </w:r>
      <w:r>
        <w:rPr>
          <w:lang w:val="fr-FR"/>
        </w:rPr>
        <w:tab/>
        <w:t>L</w:t>
      </w:r>
      <w:r w:rsidR="00372B00">
        <w:rPr>
          <w:lang w:val="fr-FR"/>
        </w:rPr>
        <w:t>’</w:t>
      </w:r>
      <w:r>
        <w:rPr>
          <w:lang w:val="fr-FR"/>
        </w:rPr>
        <w:t>Allemagne tient à rappeler expressément que des processus différents fondés sur des valeurs limites systématiquement différentes ont été étudiés dans le cadre de ces évaluations comparatives. D</w:t>
      </w:r>
      <w:r w:rsidR="00372B00">
        <w:rPr>
          <w:lang w:val="fr-FR"/>
        </w:rPr>
        <w:t>’</w:t>
      </w:r>
      <w:r>
        <w:rPr>
          <w:lang w:val="fr-FR"/>
        </w:rPr>
        <w:t>une part, il se produit une réaction chimique (formation de gaz inflammables au contact de l</w:t>
      </w:r>
      <w:r w:rsidR="00372B00">
        <w:rPr>
          <w:lang w:val="fr-FR"/>
        </w:rPr>
        <w:t>’</w:t>
      </w:r>
      <w:r>
        <w:rPr>
          <w:lang w:val="fr-FR"/>
        </w:rPr>
        <w:t>eau) qui peut se poursuivre de façon plus ou moins continue pendant toute la durée du transport. D</w:t>
      </w:r>
      <w:r w:rsidR="00372B00">
        <w:rPr>
          <w:lang w:val="fr-FR"/>
        </w:rPr>
        <w:t>’</w:t>
      </w:r>
      <w:r>
        <w:rPr>
          <w:lang w:val="fr-FR"/>
        </w:rPr>
        <w:t xml:space="preserve">autre part, il se produit un processus de dégagement </w:t>
      </w:r>
      <w:r>
        <w:rPr>
          <w:lang w:val="fr-FR"/>
        </w:rPr>
        <w:lastRenderedPageBreak/>
        <w:t>gazeux qui s</w:t>
      </w:r>
      <w:r w:rsidR="00372B00">
        <w:rPr>
          <w:lang w:val="fr-FR"/>
        </w:rPr>
        <w:t>’</w:t>
      </w:r>
      <w:r>
        <w:rPr>
          <w:lang w:val="fr-FR"/>
        </w:rPr>
        <w:t>achève lorsque la quantité de gaz dissous s</w:t>
      </w:r>
      <w:r w:rsidR="00372B00">
        <w:rPr>
          <w:lang w:val="fr-FR"/>
        </w:rPr>
        <w:t>’</w:t>
      </w:r>
      <w:r>
        <w:rPr>
          <w:lang w:val="fr-FR"/>
        </w:rPr>
        <w:t>est libérée du liquide porteur d</w:t>
      </w:r>
      <w:r w:rsidR="00372B00">
        <w:rPr>
          <w:lang w:val="fr-FR"/>
        </w:rPr>
        <w:t>’</w:t>
      </w:r>
      <w:r>
        <w:rPr>
          <w:lang w:val="fr-FR"/>
        </w:rPr>
        <w:t>hydrogène.</w:t>
      </w:r>
    </w:p>
    <w:p w14:paraId="56A5BBEF" w14:textId="1F4B223C" w:rsidR="00053E76" w:rsidRPr="00DB3267" w:rsidRDefault="00053E76" w:rsidP="00E03AAD">
      <w:pPr>
        <w:pStyle w:val="SingleTxtG"/>
      </w:pPr>
      <w:r>
        <w:rPr>
          <w:lang w:val="fr-FR"/>
        </w:rPr>
        <w:t>13.</w:t>
      </w:r>
      <w:r>
        <w:rPr>
          <w:lang w:val="fr-FR"/>
        </w:rPr>
        <w:tab/>
        <w:t>La teneur limite restrictive en hydrogène physiquement dissous, à savoir 0,5 L/kg (LOHC), peut être atteinte moyennant des efforts raisonnables, grâce à des mesures telles que le dégazage ciblé ou l</w:t>
      </w:r>
      <w:r w:rsidR="00372B00">
        <w:rPr>
          <w:lang w:val="fr-FR"/>
        </w:rPr>
        <w:t>’</w:t>
      </w:r>
      <w:r>
        <w:rPr>
          <w:lang w:val="fr-FR"/>
        </w:rPr>
        <w:t>optimisation des paramètres du processus. Il est également possible de surveiller la valeur limite en procédant à des tests sur des échantillons représentatifs ou à une analyse des gaz en ligne.</w:t>
      </w:r>
    </w:p>
    <w:p w14:paraId="2F27A162" w14:textId="55DFACB1" w:rsidR="00053E76" w:rsidRPr="00DB3267" w:rsidRDefault="00053E76" w:rsidP="00E03AAD">
      <w:pPr>
        <w:pStyle w:val="SingleTxtG"/>
      </w:pPr>
      <w:r>
        <w:rPr>
          <w:lang w:val="fr-FR"/>
        </w:rPr>
        <w:t>14.</w:t>
      </w:r>
      <w:r>
        <w:rPr>
          <w:lang w:val="fr-FR"/>
        </w:rPr>
        <w:tab/>
        <w:t>Le présent document concourt à la réalisation de l</w:t>
      </w:r>
      <w:r w:rsidR="00372B00">
        <w:rPr>
          <w:lang w:val="fr-FR"/>
        </w:rPr>
        <w:t>’</w:t>
      </w:r>
      <w:r>
        <w:rPr>
          <w:lang w:val="fr-FR"/>
        </w:rPr>
        <w:t>objectif de développement durable n</w:t>
      </w:r>
      <w:r w:rsidRPr="00FB3059">
        <w:rPr>
          <w:vertAlign w:val="superscript"/>
          <w:lang w:val="fr-FR"/>
        </w:rPr>
        <w:t>o</w:t>
      </w:r>
      <w:r w:rsidR="00FB3059">
        <w:rPr>
          <w:lang w:val="fr-FR"/>
        </w:rPr>
        <w:t> </w:t>
      </w:r>
      <w:r>
        <w:rPr>
          <w:lang w:val="fr-FR"/>
        </w:rPr>
        <w:t>13 (Mesures relatives à la lutte contre les changements climatiques) du Programme de développement durable à l</w:t>
      </w:r>
      <w:r w:rsidR="00372B00">
        <w:rPr>
          <w:lang w:val="fr-FR"/>
        </w:rPr>
        <w:t>’</w:t>
      </w:r>
      <w:r>
        <w:rPr>
          <w:lang w:val="fr-FR"/>
        </w:rPr>
        <w:t>horizon 2030 en favorisant la sécurité du transport des carburants de substitution à faible teneur en carbone.</w:t>
      </w:r>
    </w:p>
    <w:p w14:paraId="1E66F31D" w14:textId="59B3F1E1" w:rsidR="00053E76" w:rsidRPr="00DB3267" w:rsidRDefault="00E03AAD" w:rsidP="00E03AAD">
      <w:pPr>
        <w:pStyle w:val="HChG"/>
      </w:pPr>
      <w:r>
        <w:rPr>
          <w:lang w:val="fr-FR"/>
        </w:rPr>
        <w:tab/>
      </w:r>
      <w:r w:rsidR="00053E76">
        <w:rPr>
          <w:lang w:val="fr-FR"/>
        </w:rPr>
        <w:t>IV.</w:t>
      </w:r>
      <w:r w:rsidR="00053E76">
        <w:rPr>
          <w:lang w:val="fr-FR"/>
        </w:rPr>
        <w:tab/>
        <w:t>Proposition</w:t>
      </w:r>
    </w:p>
    <w:p w14:paraId="6E895016" w14:textId="77777777" w:rsidR="00053E76" w:rsidRDefault="00053E76" w:rsidP="00E03AAD">
      <w:pPr>
        <w:pStyle w:val="SingleTxtG"/>
        <w:rPr>
          <w:lang w:val="fr-FR"/>
        </w:rPr>
      </w:pPr>
      <w:r>
        <w:rPr>
          <w:lang w:val="fr-FR"/>
        </w:rPr>
        <w:t>15.</w:t>
      </w:r>
      <w:r>
        <w:rPr>
          <w:lang w:val="fr-FR"/>
        </w:rPr>
        <w:tab/>
        <w:t xml:space="preserve">Modifier la Liste des marchandises dangereuses du chapitre 3.2 comme suit (les ajouts sont </w:t>
      </w:r>
      <w:r>
        <w:rPr>
          <w:u w:val="single"/>
          <w:lang w:val="fr-FR"/>
        </w:rPr>
        <w:t>soulignés</w:t>
      </w:r>
      <w:r>
        <w:rPr>
          <w:lang w:val="fr-FR"/>
        </w:rPr>
        <w:t>) :</w:t>
      </w:r>
    </w:p>
    <w:tbl>
      <w:tblPr>
        <w:tblW w:w="95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419"/>
        <w:gridCol w:w="709"/>
        <w:gridCol w:w="850"/>
        <w:gridCol w:w="851"/>
        <w:gridCol w:w="845"/>
        <w:gridCol w:w="535"/>
        <w:gridCol w:w="321"/>
        <w:gridCol w:w="850"/>
        <w:gridCol w:w="851"/>
        <w:gridCol w:w="850"/>
        <w:gridCol w:w="913"/>
      </w:tblGrid>
      <w:tr w:rsidR="00E03AAD" w:rsidRPr="00FB3059" w14:paraId="613445ED" w14:textId="77777777" w:rsidTr="001E4A36">
        <w:trPr>
          <w:cantSplit/>
          <w:trHeight w:val="20"/>
          <w:tblHeader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9C59E" w14:textId="0C7E0B59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No ONU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F2C04" w14:textId="669615EF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Nom et description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88BB2" w14:textId="0AE4032F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Classe ou division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3D10D" w14:textId="3C7C67EB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Danger subsidiaire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7D20F" w14:textId="16EC3B24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Groupe d</w:t>
            </w:r>
            <w:r w:rsidR="00372B00" w:rsidRPr="00FB3059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’</w:t>
            </w: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emballage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290B3" w14:textId="5482E2FC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Dispositions spéciales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5D142" w14:textId="48B6CA0A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Quantités limitées et exceptées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9AD97" w14:textId="42DC4D3A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Emballages et GRV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540D0" w14:textId="5C51A662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  <w:lang w:val="fr-CH"/>
              </w:rPr>
            </w:pPr>
            <w:r w:rsidRPr="00FB3059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Citernes mobiles et conteneurs pour vrac</w:t>
            </w:r>
          </w:p>
        </w:tc>
      </w:tr>
      <w:tr w:rsidR="001E4A36" w14:paraId="656C1D72" w14:textId="77777777" w:rsidTr="001E4A36">
        <w:trPr>
          <w:cantSplit/>
          <w:trHeight w:val="20"/>
          <w:tblHeader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7130" w14:textId="77777777" w:rsidR="00E03AAD" w:rsidRPr="00FB3059" w:rsidRDefault="00E03AAD" w:rsidP="00645BB1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FAFC" w14:textId="77777777" w:rsidR="00E03AAD" w:rsidRPr="00FB3059" w:rsidRDefault="00E03AAD" w:rsidP="00645BB1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4008" w14:textId="77777777" w:rsidR="00E03AAD" w:rsidRPr="00FB3059" w:rsidRDefault="00E03AAD" w:rsidP="00645BB1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34C5F" w14:textId="77777777" w:rsidR="00E03AAD" w:rsidRPr="00FB3059" w:rsidRDefault="00E03AAD" w:rsidP="00645BB1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ADB5" w14:textId="77777777" w:rsidR="00E03AAD" w:rsidRPr="00FB3059" w:rsidRDefault="00E03AAD" w:rsidP="00645BB1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C063" w14:textId="77777777" w:rsidR="00E03AAD" w:rsidRPr="00FB3059" w:rsidRDefault="00E03AAD" w:rsidP="00645BB1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6251" w14:textId="77777777" w:rsidR="00E03AAD" w:rsidRPr="00FB3059" w:rsidRDefault="00E03AAD" w:rsidP="00645BB1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29AC9" w14:textId="0D6217D9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Instructions d</w:t>
            </w:r>
            <w:r w:rsidR="00372B00" w:rsidRPr="00FB3059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’</w:t>
            </w: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emballage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F74D" w14:textId="44FDA495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Dispositions spéciales d</w:t>
            </w:r>
            <w:r w:rsidR="00372B00" w:rsidRPr="00FB3059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’</w:t>
            </w:r>
            <w:r w:rsidRPr="00E03AAD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emballage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3F633" w14:textId="0E7CA22D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FB3059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Instructions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8E953" w14:textId="5E0384FD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 w:val="15"/>
                <w:szCs w:val="15"/>
              </w:rPr>
            </w:pPr>
            <w:r w:rsidRPr="00FB3059">
              <w:rPr>
                <w:rFonts w:ascii="Times New Roman" w:hAnsi="Times New Roman" w:cs="Times New Roman"/>
                <w:sz w:val="15"/>
                <w:szCs w:val="15"/>
                <w:lang w:val="fr-FR"/>
              </w:rPr>
              <w:t>Dispositions spéciales</w:t>
            </w:r>
          </w:p>
        </w:tc>
      </w:tr>
      <w:tr w:rsidR="001E4A36" w14:paraId="7F0CC97E" w14:textId="77777777" w:rsidTr="001E4A36">
        <w:trPr>
          <w:trHeight w:val="20"/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287D6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(1)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20C62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1FE50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646DD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(4)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9533E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(5)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B4BE3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(6)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B1F8D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(7a)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64722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(7b)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38DD7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52435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2ADA72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(10)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0B3569" w14:textId="77777777" w:rsidR="00E03AAD" w:rsidRPr="00FB3059" w:rsidRDefault="00E03AAD" w:rsidP="00645BB1">
            <w:pPr>
              <w:pStyle w:val="DGLbodybold"/>
              <w:spacing w:line="240" w:lineRule="atLeast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(11)</w:t>
            </w:r>
          </w:p>
        </w:tc>
      </w:tr>
      <w:tr w:rsidR="001E4A36" w14:paraId="7A0F15E3" w14:textId="77777777" w:rsidTr="001E4A36">
        <w:trPr>
          <w:cantSplit/>
          <w:trHeight w:val="2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AEA80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3082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2F090" w14:textId="769C72E3" w:rsidR="00E03AAD" w:rsidRPr="00FB3059" w:rsidRDefault="00E03AAD" w:rsidP="00645BB1">
            <w:pPr>
              <w:pStyle w:val="DGLbodyleft"/>
              <w:spacing w:line="240" w:lineRule="atLeast"/>
              <w:rPr>
                <w:rFonts w:ascii="Times New Roman" w:hAnsi="Times New Roman" w:cs="Times New Roman"/>
                <w:szCs w:val="16"/>
                <w:lang w:val="fr-CH"/>
              </w:rPr>
            </w:pPr>
            <w:r w:rsidRPr="00E03AAD">
              <w:rPr>
                <w:rFonts w:ascii="Times New Roman" w:hAnsi="Times New Roman" w:cs="Times New Roman"/>
                <w:szCs w:val="16"/>
                <w:lang w:val="fr-FR"/>
              </w:rPr>
              <w:t>MATIÈRE DANGEREUSE DU POINT DE VUE DE L</w:t>
            </w:r>
            <w:r w:rsidR="00372B00" w:rsidRPr="00FB3059">
              <w:rPr>
                <w:rFonts w:ascii="Times New Roman" w:hAnsi="Times New Roman" w:cs="Times New Roman"/>
                <w:szCs w:val="16"/>
                <w:lang w:val="fr-FR"/>
              </w:rPr>
              <w:t>’</w:t>
            </w:r>
            <w:r w:rsidRPr="00E03AAD">
              <w:rPr>
                <w:rFonts w:ascii="Times New Roman" w:hAnsi="Times New Roman" w:cs="Times New Roman"/>
                <w:szCs w:val="16"/>
                <w:lang w:val="fr-FR"/>
              </w:rPr>
              <w:t>ENVIRONNEMENT, LIQUIDE, N.S.A.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73A9C5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49BCC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9A18D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III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759CB" w14:textId="77777777" w:rsidR="00E03AAD" w:rsidRPr="00FB3059" w:rsidRDefault="00E03AAD" w:rsidP="00645BB1">
            <w:pPr>
              <w:ind w:right="17"/>
              <w:jc w:val="center"/>
              <w:rPr>
                <w:sz w:val="16"/>
                <w:szCs w:val="16"/>
              </w:rPr>
            </w:pPr>
            <w:r w:rsidRPr="00FB3059">
              <w:rPr>
                <w:sz w:val="16"/>
                <w:szCs w:val="16"/>
              </w:rPr>
              <w:t>274</w:t>
            </w:r>
          </w:p>
          <w:p w14:paraId="601C83BB" w14:textId="77777777" w:rsidR="00E03AAD" w:rsidRPr="00FB3059" w:rsidRDefault="00E03AAD" w:rsidP="00645BB1">
            <w:pPr>
              <w:ind w:right="17"/>
              <w:jc w:val="center"/>
              <w:rPr>
                <w:sz w:val="16"/>
                <w:szCs w:val="16"/>
              </w:rPr>
            </w:pPr>
            <w:r w:rsidRPr="00FB3059">
              <w:rPr>
                <w:sz w:val="16"/>
                <w:szCs w:val="16"/>
              </w:rPr>
              <w:t>331</w:t>
            </w:r>
          </w:p>
          <w:p w14:paraId="40F6859C" w14:textId="77777777" w:rsidR="00E03AAD" w:rsidRPr="00FB3059" w:rsidRDefault="00E03AAD" w:rsidP="00645BB1">
            <w:pPr>
              <w:ind w:right="17"/>
              <w:jc w:val="center"/>
              <w:rPr>
                <w:sz w:val="16"/>
                <w:szCs w:val="16"/>
              </w:rPr>
            </w:pPr>
            <w:r w:rsidRPr="00FB3059">
              <w:rPr>
                <w:sz w:val="16"/>
                <w:szCs w:val="16"/>
              </w:rPr>
              <w:t>335</w:t>
            </w:r>
          </w:p>
          <w:p w14:paraId="4C7081FF" w14:textId="77777777" w:rsidR="00E03AAD" w:rsidRPr="00FB3059" w:rsidRDefault="00E03AAD" w:rsidP="00645BB1">
            <w:pPr>
              <w:ind w:right="17"/>
              <w:jc w:val="center"/>
              <w:rPr>
                <w:sz w:val="16"/>
                <w:szCs w:val="16"/>
              </w:rPr>
            </w:pPr>
            <w:r w:rsidRPr="00FB3059">
              <w:rPr>
                <w:sz w:val="16"/>
                <w:szCs w:val="16"/>
              </w:rPr>
              <w:t xml:space="preserve">375 </w:t>
            </w:r>
          </w:p>
          <w:p w14:paraId="1337E2B0" w14:textId="77777777" w:rsidR="00E03AAD" w:rsidRPr="00FB3059" w:rsidRDefault="00E03AAD" w:rsidP="00645BB1">
            <w:pPr>
              <w:ind w:right="17"/>
              <w:jc w:val="center"/>
              <w:rPr>
                <w:sz w:val="16"/>
                <w:szCs w:val="16"/>
                <w:u w:val="single"/>
              </w:rPr>
            </w:pPr>
            <w:r w:rsidRPr="00FB3059">
              <w:rPr>
                <w:sz w:val="16"/>
                <w:szCs w:val="16"/>
                <w:u w:val="single"/>
              </w:rPr>
              <w:t>XXX</w:t>
            </w:r>
          </w:p>
          <w:p w14:paraId="6200459D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B8368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5 L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6D11CA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E1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02029" w14:textId="77777777" w:rsidR="00E03AAD" w:rsidRPr="00FB3059" w:rsidRDefault="00E03AAD" w:rsidP="00645BB1">
            <w:pPr>
              <w:ind w:right="17"/>
              <w:jc w:val="center"/>
              <w:rPr>
                <w:sz w:val="16"/>
                <w:szCs w:val="16"/>
              </w:rPr>
            </w:pPr>
            <w:r w:rsidRPr="00FB3059">
              <w:rPr>
                <w:sz w:val="16"/>
                <w:szCs w:val="16"/>
              </w:rPr>
              <w:t>P001</w:t>
            </w:r>
          </w:p>
          <w:p w14:paraId="63EEC46C" w14:textId="77777777" w:rsidR="00E03AAD" w:rsidRPr="00FB3059" w:rsidRDefault="00E03AAD" w:rsidP="00645BB1">
            <w:pPr>
              <w:ind w:right="17"/>
              <w:jc w:val="center"/>
              <w:rPr>
                <w:sz w:val="16"/>
                <w:szCs w:val="16"/>
              </w:rPr>
            </w:pPr>
            <w:r w:rsidRPr="00FB3059">
              <w:rPr>
                <w:sz w:val="16"/>
                <w:szCs w:val="16"/>
              </w:rPr>
              <w:t>IBC03</w:t>
            </w:r>
          </w:p>
          <w:p w14:paraId="59F24E75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LP01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8B592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PP1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A7E6D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T4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0F404" w14:textId="77777777" w:rsidR="00E03AAD" w:rsidRPr="00FB3059" w:rsidRDefault="00E03AAD" w:rsidP="00645BB1">
            <w:pPr>
              <w:ind w:right="17"/>
              <w:jc w:val="center"/>
              <w:rPr>
                <w:sz w:val="16"/>
                <w:szCs w:val="16"/>
              </w:rPr>
            </w:pPr>
            <w:r w:rsidRPr="00FB3059">
              <w:rPr>
                <w:sz w:val="16"/>
                <w:szCs w:val="16"/>
              </w:rPr>
              <w:t>TP1</w:t>
            </w:r>
          </w:p>
          <w:p w14:paraId="7B4DFDD0" w14:textId="77777777" w:rsidR="00E03AAD" w:rsidRPr="00FB3059" w:rsidRDefault="00E03AAD" w:rsidP="00645BB1">
            <w:pPr>
              <w:pStyle w:val="DGLbody"/>
              <w:spacing w:line="240" w:lineRule="atLeast"/>
              <w:jc w:val="center"/>
              <w:rPr>
                <w:rFonts w:ascii="Times New Roman" w:hAnsi="Times New Roman" w:cs="Times New Roman"/>
                <w:szCs w:val="16"/>
              </w:rPr>
            </w:pPr>
            <w:r w:rsidRPr="00FB3059">
              <w:rPr>
                <w:rFonts w:ascii="Times New Roman" w:hAnsi="Times New Roman" w:cs="Times New Roman"/>
                <w:szCs w:val="16"/>
              </w:rPr>
              <w:t>TP29</w:t>
            </w:r>
          </w:p>
        </w:tc>
      </w:tr>
    </w:tbl>
    <w:p w14:paraId="39BB6811" w14:textId="10551FB0" w:rsidR="00053E76" w:rsidRPr="00DB3267" w:rsidRDefault="00053E76" w:rsidP="00E03AAD">
      <w:pPr>
        <w:pStyle w:val="SingleTxtG"/>
        <w:spacing w:before="240"/>
      </w:pPr>
      <w:r>
        <w:rPr>
          <w:lang w:val="fr-FR"/>
        </w:rPr>
        <w:t>16.</w:t>
      </w:r>
      <w:r>
        <w:rPr>
          <w:lang w:val="fr-FR"/>
        </w:rPr>
        <w:tab/>
        <w:t>Ajouter la disposition spéciale XXX ci-après au chapitre 3.3</w:t>
      </w:r>
      <w:r w:rsidR="00E03AAD">
        <w:rPr>
          <w:lang w:val="fr-FR"/>
        </w:rPr>
        <w:t> </w:t>
      </w:r>
      <w:r>
        <w:rPr>
          <w:lang w:val="fr-FR"/>
        </w:rPr>
        <w:t>:</w:t>
      </w:r>
    </w:p>
    <w:p w14:paraId="68029263" w14:textId="0519E472" w:rsidR="00053E76" w:rsidRDefault="00053E76" w:rsidP="00E03AAD">
      <w:pPr>
        <w:pStyle w:val="SingleTxtG"/>
      </w:pPr>
      <w:r>
        <w:rPr>
          <w:lang w:val="fr-FR"/>
        </w:rPr>
        <w:t>«</w:t>
      </w:r>
      <w:r w:rsidR="00E03AAD">
        <w:rPr>
          <w:lang w:val="fr-FR"/>
        </w:rPr>
        <w:t> </w:t>
      </w:r>
      <w:r>
        <w:rPr>
          <w:lang w:val="fr-FR"/>
        </w:rPr>
        <w:t>XXX</w:t>
      </w:r>
      <w:r>
        <w:rPr>
          <w:lang w:val="fr-FR"/>
        </w:rPr>
        <w:tab/>
        <w:t>Les liquides organiques porteurs d</w:t>
      </w:r>
      <w:r w:rsidR="00372B00">
        <w:rPr>
          <w:lang w:val="fr-FR"/>
        </w:rPr>
        <w:t>’</w:t>
      </w:r>
      <w:r>
        <w:rPr>
          <w:lang w:val="fr-FR"/>
        </w:rPr>
        <w:t>hydrogène (LOHC) à base de benzyltoluène qui contiennent de l</w:t>
      </w:r>
      <w:r w:rsidR="00372B00">
        <w:rPr>
          <w:lang w:val="fr-FR"/>
        </w:rPr>
        <w:t>’</w:t>
      </w:r>
      <w:r>
        <w:rPr>
          <w:lang w:val="fr-FR"/>
        </w:rPr>
        <w:t>hydrogène physiquement dissous peuvent être transportés au titre de cette rubrique si la teneur en hydrogène physiquement dissous ne dépasse pas 0,5 L (H</w:t>
      </w:r>
      <w:r w:rsidRPr="00333089">
        <w:rPr>
          <w:vertAlign w:val="subscript"/>
          <w:lang w:val="fr-FR"/>
        </w:rPr>
        <w:t>2</w:t>
      </w:r>
      <w:r>
        <w:rPr>
          <w:lang w:val="fr-FR"/>
        </w:rPr>
        <w:t>)/kg (LOHC).</w:t>
      </w:r>
      <w:r w:rsidR="00FB3059">
        <w:rPr>
          <w:lang w:val="fr-FR"/>
        </w:rPr>
        <w:t> »</w:t>
      </w:r>
      <w:r>
        <w:rPr>
          <w:lang w:val="fr-FR"/>
        </w:rPr>
        <w:t>.</w:t>
      </w:r>
    </w:p>
    <w:p w14:paraId="55892CA3" w14:textId="065B0F3C" w:rsidR="00446FE5" w:rsidRPr="00E03AAD" w:rsidRDefault="00E03AAD" w:rsidP="00E03AA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E03AAD" w:rsidSect="00053E7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9C1A5B" w14:textId="77777777" w:rsidR="00674CDD" w:rsidRDefault="00674CDD" w:rsidP="00F95C08">
      <w:pPr>
        <w:spacing w:line="240" w:lineRule="auto"/>
      </w:pPr>
    </w:p>
  </w:endnote>
  <w:endnote w:type="continuationSeparator" w:id="0">
    <w:p w14:paraId="544E21CC" w14:textId="77777777" w:rsidR="00674CDD" w:rsidRPr="00AC3823" w:rsidRDefault="00674CDD" w:rsidP="00AC3823">
      <w:pPr>
        <w:pStyle w:val="Pieddepage"/>
      </w:pPr>
    </w:p>
  </w:endnote>
  <w:endnote w:type="continuationNotice" w:id="1">
    <w:p w14:paraId="6A576667" w14:textId="77777777" w:rsidR="00674CDD" w:rsidRDefault="00674C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D135F" w14:textId="4F3B871B" w:rsidR="00053E76" w:rsidRPr="00053E76" w:rsidRDefault="00053E76" w:rsidP="00053E76">
    <w:pPr>
      <w:pStyle w:val="Pieddepage"/>
      <w:tabs>
        <w:tab w:val="right" w:pos="9638"/>
      </w:tabs>
    </w:pPr>
    <w:r w:rsidRPr="00053E76">
      <w:rPr>
        <w:b/>
        <w:sz w:val="18"/>
      </w:rPr>
      <w:fldChar w:fldCharType="begin"/>
    </w:r>
    <w:r w:rsidRPr="00053E76">
      <w:rPr>
        <w:b/>
        <w:sz w:val="18"/>
      </w:rPr>
      <w:instrText xml:space="preserve"> PAGE  \* MERGEFORMAT </w:instrText>
    </w:r>
    <w:r w:rsidRPr="00053E76">
      <w:rPr>
        <w:b/>
        <w:sz w:val="18"/>
      </w:rPr>
      <w:fldChar w:fldCharType="separate"/>
    </w:r>
    <w:r w:rsidRPr="00053E76">
      <w:rPr>
        <w:b/>
        <w:noProof/>
        <w:sz w:val="18"/>
      </w:rPr>
      <w:t>2</w:t>
    </w:r>
    <w:r w:rsidRPr="00053E76">
      <w:rPr>
        <w:b/>
        <w:sz w:val="18"/>
      </w:rPr>
      <w:fldChar w:fldCharType="end"/>
    </w:r>
    <w:r>
      <w:rPr>
        <w:b/>
        <w:sz w:val="18"/>
      </w:rPr>
      <w:tab/>
    </w:r>
    <w:r>
      <w:t>GE.24-06423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DC39FC" w14:textId="11F78668" w:rsidR="00053E76" w:rsidRPr="00053E76" w:rsidRDefault="00053E76" w:rsidP="00053E76">
    <w:pPr>
      <w:pStyle w:val="Pieddepage"/>
      <w:tabs>
        <w:tab w:val="right" w:pos="9638"/>
      </w:tabs>
      <w:rPr>
        <w:b/>
        <w:sz w:val="18"/>
      </w:rPr>
    </w:pPr>
    <w:r>
      <w:t>GE.24-06423</w:t>
    </w:r>
    <w:r>
      <w:tab/>
    </w:r>
    <w:r w:rsidRPr="00053E76">
      <w:rPr>
        <w:b/>
        <w:sz w:val="18"/>
      </w:rPr>
      <w:fldChar w:fldCharType="begin"/>
    </w:r>
    <w:r w:rsidRPr="00053E76">
      <w:rPr>
        <w:b/>
        <w:sz w:val="18"/>
      </w:rPr>
      <w:instrText xml:space="preserve"> PAGE  \* MERGEFORMAT </w:instrText>
    </w:r>
    <w:r w:rsidRPr="00053E76">
      <w:rPr>
        <w:b/>
        <w:sz w:val="18"/>
      </w:rPr>
      <w:fldChar w:fldCharType="separate"/>
    </w:r>
    <w:r w:rsidRPr="00053E76">
      <w:rPr>
        <w:b/>
        <w:noProof/>
        <w:sz w:val="18"/>
      </w:rPr>
      <w:t>3</w:t>
    </w:r>
    <w:r w:rsidRPr="00053E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B2C7E" w14:textId="227057CB" w:rsidR="0068456F" w:rsidRPr="00053E76" w:rsidRDefault="00053E76" w:rsidP="00053E76">
    <w:pPr>
      <w:pStyle w:val="Pieddepage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812750B" wp14:editId="0E66B78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24-06423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89C11DB" wp14:editId="30CCA55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84502330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B00">
      <w:rPr>
        <w:sz w:val="20"/>
      </w:rPr>
      <w:t xml:space="preserve">    180424    190424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56FF3" w14:textId="77777777" w:rsidR="00674CDD" w:rsidRPr="00AC3823" w:rsidRDefault="00674CD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07469D1" w14:textId="77777777" w:rsidR="00674CDD" w:rsidRPr="00AC3823" w:rsidRDefault="00674CD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C3B641B" w14:textId="77777777" w:rsidR="00674CDD" w:rsidRPr="00AC3823" w:rsidRDefault="00674CDD">
      <w:pPr>
        <w:spacing w:line="240" w:lineRule="auto"/>
        <w:rPr>
          <w:sz w:val="2"/>
          <w:szCs w:val="2"/>
        </w:rPr>
      </w:pPr>
    </w:p>
  </w:footnote>
  <w:footnote w:id="2">
    <w:p w14:paraId="757DE73D" w14:textId="624B8F3C" w:rsidR="00372B00" w:rsidRPr="00372B00" w:rsidRDefault="00372B00">
      <w:pPr>
        <w:pStyle w:val="Notedebasdepage"/>
      </w:pPr>
      <w:r>
        <w:rPr>
          <w:rStyle w:val="Appelnotedebasdep"/>
        </w:rPr>
        <w:tab/>
      </w:r>
      <w:r w:rsidRPr="00372B00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372B00">
        <w:rPr>
          <w:lang w:val="fr-FR"/>
        </w:rPr>
        <w:t>A/7</w:t>
      </w:r>
      <w:r w:rsidRPr="00372B00">
        <w:rPr>
          <w:lang w:val="fr-FR"/>
        </w:rPr>
        <w:t>8</w:t>
      </w:r>
      <w:r w:rsidRPr="00372B00">
        <w:rPr>
          <w:lang w:val="fr-FR"/>
        </w:rPr>
        <w:t>/6</w:t>
      </w:r>
      <w:r>
        <w:rPr>
          <w:lang w:val="fr-FR"/>
        </w:rPr>
        <w:t xml:space="preserve"> (Sect. 20), tableau 20.5.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3C4B0" w14:textId="257378A7" w:rsidR="00053E76" w:rsidRPr="00053E76" w:rsidRDefault="00053E76">
    <w:pPr>
      <w:pStyle w:val="En-tte"/>
    </w:pPr>
    <w:fldSimple w:instr=" TITLE  \* MERGEFORMAT ">
      <w:r w:rsidR="008F232E">
        <w:t>ST/SG/AC.10/C.3/2024/17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D7504D" w14:textId="462A677C" w:rsidR="00053E76" w:rsidRPr="00053E76" w:rsidRDefault="00053E76" w:rsidP="00053E76">
    <w:pPr>
      <w:pStyle w:val="En-tte"/>
      <w:jc w:val="right"/>
    </w:pPr>
    <w:fldSimple w:instr=" TITLE  \* MERGEFORMAT ">
      <w:r w:rsidR="008F232E">
        <w:t>ST/SG/AC.10/C.3/2024/17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337003864">
    <w:abstractNumId w:val="12"/>
  </w:num>
  <w:num w:numId="2" w16cid:durableId="768039867">
    <w:abstractNumId w:val="11"/>
  </w:num>
  <w:num w:numId="3" w16cid:durableId="978804907">
    <w:abstractNumId w:val="10"/>
  </w:num>
  <w:num w:numId="4" w16cid:durableId="765155694">
    <w:abstractNumId w:val="8"/>
  </w:num>
  <w:num w:numId="5" w16cid:durableId="1486971523">
    <w:abstractNumId w:val="3"/>
  </w:num>
  <w:num w:numId="6" w16cid:durableId="1908373373">
    <w:abstractNumId w:val="2"/>
  </w:num>
  <w:num w:numId="7" w16cid:durableId="1566598052">
    <w:abstractNumId w:val="1"/>
  </w:num>
  <w:num w:numId="8" w16cid:durableId="429736322">
    <w:abstractNumId w:val="0"/>
  </w:num>
  <w:num w:numId="9" w16cid:durableId="1227110901">
    <w:abstractNumId w:val="9"/>
  </w:num>
  <w:num w:numId="10" w16cid:durableId="1132790717">
    <w:abstractNumId w:val="7"/>
  </w:num>
  <w:num w:numId="11" w16cid:durableId="1814371602">
    <w:abstractNumId w:val="6"/>
  </w:num>
  <w:num w:numId="12" w16cid:durableId="2097900941">
    <w:abstractNumId w:val="5"/>
  </w:num>
  <w:num w:numId="13" w16cid:durableId="1034577675">
    <w:abstractNumId w:val="4"/>
  </w:num>
  <w:num w:numId="14" w16cid:durableId="1860268493">
    <w:abstractNumId w:val="12"/>
  </w:num>
  <w:num w:numId="15" w16cid:durableId="65498536">
    <w:abstractNumId w:val="11"/>
  </w:num>
  <w:num w:numId="16" w16cid:durableId="6300635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DD"/>
    <w:rsid w:val="00017F94"/>
    <w:rsid w:val="00023842"/>
    <w:rsid w:val="000305D3"/>
    <w:rsid w:val="000334F9"/>
    <w:rsid w:val="00053E76"/>
    <w:rsid w:val="0007796D"/>
    <w:rsid w:val="000B7790"/>
    <w:rsid w:val="000C6E02"/>
    <w:rsid w:val="00111F2F"/>
    <w:rsid w:val="00132EA9"/>
    <w:rsid w:val="0014365E"/>
    <w:rsid w:val="00172E49"/>
    <w:rsid w:val="00176178"/>
    <w:rsid w:val="001E4A36"/>
    <w:rsid w:val="001F525A"/>
    <w:rsid w:val="00223272"/>
    <w:rsid w:val="0024779E"/>
    <w:rsid w:val="00283190"/>
    <w:rsid w:val="002832AC"/>
    <w:rsid w:val="002D7C93"/>
    <w:rsid w:val="00372B00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74CDD"/>
    <w:rsid w:val="0068456F"/>
    <w:rsid w:val="0071601D"/>
    <w:rsid w:val="007A62E6"/>
    <w:rsid w:val="0080684C"/>
    <w:rsid w:val="008123E0"/>
    <w:rsid w:val="00871C75"/>
    <w:rsid w:val="008776DC"/>
    <w:rsid w:val="008B40CD"/>
    <w:rsid w:val="008F232E"/>
    <w:rsid w:val="009705C8"/>
    <w:rsid w:val="009C1CF4"/>
    <w:rsid w:val="00A30353"/>
    <w:rsid w:val="00A81281"/>
    <w:rsid w:val="00AC3823"/>
    <w:rsid w:val="00AE323C"/>
    <w:rsid w:val="00B00181"/>
    <w:rsid w:val="00B00B0D"/>
    <w:rsid w:val="00B33A05"/>
    <w:rsid w:val="00B765F7"/>
    <w:rsid w:val="00BA0CA9"/>
    <w:rsid w:val="00C02897"/>
    <w:rsid w:val="00D3439C"/>
    <w:rsid w:val="00DB1831"/>
    <w:rsid w:val="00DD3BFD"/>
    <w:rsid w:val="00DF6678"/>
    <w:rsid w:val="00E03AAD"/>
    <w:rsid w:val="00EF2E22"/>
    <w:rsid w:val="00F01738"/>
    <w:rsid w:val="00F660DF"/>
    <w:rsid w:val="00F730C8"/>
    <w:rsid w:val="00F95C08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68213"/>
  <w15:docId w15:val="{7867047C-AB1C-4F15-B1DF-C5610C8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584DC4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584DC4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584DC4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584DC4"/>
  </w:style>
  <w:style w:type="character" w:customStyle="1" w:styleId="NotedefinCar">
    <w:name w:val="Note de fin Car"/>
    <w:aliases w:val="2_G Car"/>
    <w:basedOn w:val="Policepardfaut"/>
    <w:link w:val="Notedefin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DGLbodyChar">
    <w:name w:val="DGL_body Char"/>
    <w:basedOn w:val="Policepardfaut"/>
    <w:link w:val="DGLbody"/>
    <w:locked/>
    <w:rsid w:val="00E03AAD"/>
    <w:rPr>
      <w:sz w:val="16"/>
      <w:lang w:val="en-US" w:eastAsia="en-US"/>
    </w:rPr>
  </w:style>
  <w:style w:type="paragraph" w:customStyle="1" w:styleId="DGLbody">
    <w:name w:val="DGL_body"/>
    <w:basedOn w:val="Normal"/>
    <w:link w:val="DGLbodyChar"/>
    <w:qFormat/>
    <w:rsid w:val="00E03AAD"/>
    <w:pPr>
      <w:tabs>
        <w:tab w:val="left" w:pos="1418"/>
        <w:tab w:val="left" w:pos="1985"/>
        <w:tab w:val="left" w:pos="2552"/>
        <w:tab w:val="left" w:pos="3119"/>
      </w:tabs>
      <w:suppressAutoHyphens w:val="0"/>
      <w:kinsoku/>
      <w:overflowPunct/>
      <w:autoSpaceDE/>
      <w:autoSpaceDN/>
      <w:adjustRightInd/>
      <w:spacing w:after="60" w:line="240" w:lineRule="auto"/>
      <w:jc w:val="both"/>
    </w:pPr>
    <w:rPr>
      <w:rFonts w:asciiTheme="minorHAnsi" w:eastAsia="Times New Roman" w:hAnsiTheme="minorHAnsi" w:cstheme="minorBidi"/>
      <w:sz w:val="16"/>
      <w:szCs w:val="22"/>
      <w:lang w:val="en-US"/>
    </w:rPr>
  </w:style>
  <w:style w:type="character" w:customStyle="1" w:styleId="DGLbodyleftChar">
    <w:name w:val="DGL_body_left Char"/>
    <w:basedOn w:val="DGLbodyChar"/>
    <w:link w:val="DGLbodyleft"/>
    <w:locked/>
    <w:rsid w:val="00E03AAD"/>
    <w:rPr>
      <w:sz w:val="16"/>
      <w:lang w:val="en-US" w:eastAsia="en-US"/>
    </w:rPr>
  </w:style>
  <w:style w:type="paragraph" w:customStyle="1" w:styleId="DGLbodyleft">
    <w:name w:val="DGL_body_left"/>
    <w:basedOn w:val="DGLbody"/>
    <w:link w:val="DGLbodyleftChar"/>
    <w:qFormat/>
    <w:rsid w:val="00E03AAD"/>
    <w:pPr>
      <w:jc w:val="left"/>
    </w:pPr>
  </w:style>
  <w:style w:type="character" w:customStyle="1" w:styleId="DGLbodyboldChar">
    <w:name w:val="DGL_body_bold Char"/>
    <w:basedOn w:val="DGLbodyChar"/>
    <w:link w:val="DGLbodybold"/>
    <w:locked/>
    <w:rsid w:val="00E03AAD"/>
    <w:rPr>
      <w:b/>
      <w:bCs/>
      <w:sz w:val="16"/>
      <w:lang w:val="en-US" w:eastAsia="en-US"/>
    </w:rPr>
  </w:style>
  <w:style w:type="paragraph" w:customStyle="1" w:styleId="DGLbodybold">
    <w:name w:val="DGL_body_bold"/>
    <w:basedOn w:val="DGLbody"/>
    <w:link w:val="DGLbodyboldChar"/>
    <w:qFormat/>
    <w:rsid w:val="00E03AAD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7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S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0E22F-3565-48EC-9969-E3AF4C69FCB0}"/>
</file>

<file path=customXml/itemProps2.xml><?xml version="1.0" encoding="utf-8"?>
<ds:datastoreItem xmlns:ds="http://schemas.openxmlformats.org/officeDocument/2006/customXml" ds:itemID="{2F5AF4D0-5C28-4A07-A1EC-E2978A0CB1F5}"/>
</file>

<file path=docProps/app.xml><?xml version="1.0" encoding="utf-8"?>
<Properties xmlns="http://schemas.openxmlformats.org/officeDocument/2006/extended-properties" xmlns:vt="http://schemas.openxmlformats.org/officeDocument/2006/docPropsVTypes">
  <Template>ST.dotm</Template>
  <TotalTime>1</TotalTime>
  <Pages>3</Pages>
  <Words>834</Words>
  <Characters>6391</Characters>
  <Application>Microsoft Office Word</Application>
  <DocSecurity>0</DocSecurity>
  <Lines>2130</Lines>
  <Paragraphs>602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ST/SG/AC.10/C.3/2024/17</vt:lpstr>
    </vt:vector>
  </TitlesOfParts>
  <Company>DCM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ST/SG/AC.10/C.3/2024/17</dc:title>
  <dc:subject/>
  <dc:creator>Julien OKRZESIK</dc:creator>
  <cp:keywords/>
  <cp:lastModifiedBy>Julien OKRZESIK</cp:lastModifiedBy>
  <cp:revision>3</cp:revision>
  <cp:lastPrinted>2024-04-19T08:12:00Z</cp:lastPrinted>
  <dcterms:created xsi:type="dcterms:W3CDTF">2024-04-19T08:11:00Z</dcterms:created>
  <dcterms:modified xsi:type="dcterms:W3CDTF">2024-04-19T08:13:00Z</dcterms:modified>
</cp:coreProperties>
</file>