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30489BEC" w14:textId="77777777" w:rsidTr="00F01738">
        <w:trPr>
          <w:trHeight w:hRule="exact" w:val="851"/>
        </w:trPr>
        <w:tc>
          <w:tcPr>
            <w:tcW w:w="1276" w:type="dxa"/>
            <w:tcBorders>
              <w:bottom w:val="single" w:sz="4" w:space="0" w:color="auto"/>
            </w:tcBorders>
          </w:tcPr>
          <w:p w14:paraId="49912AA3" w14:textId="77777777" w:rsidR="00132EA9" w:rsidRPr="00DB58B5" w:rsidRDefault="00132EA9" w:rsidP="00745AA5"/>
        </w:tc>
        <w:tc>
          <w:tcPr>
            <w:tcW w:w="2268" w:type="dxa"/>
            <w:tcBorders>
              <w:bottom w:val="single" w:sz="4" w:space="0" w:color="auto"/>
            </w:tcBorders>
            <w:vAlign w:val="bottom"/>
          </w:tcPr>
          <w:p w14:paraId="611D94AB"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6DD3BB6" w14:textId="4ADA113F" w:rsidR="00132EA9" w:rsidRPr="00DB58B5" w:rsidRDefault="00745AA5" w:rsidP="00745AA5">
            <w:pPr>
              <w:jc w:val="right"/>
            </w:pPr>
            <w:r w:rsidRPr="00745AA5">
              <w:rPr>
                <w:sz w:val="40"/>
              </w:rPr>
              <w:t>ST</w:t>
            </w:r>
            <w:r>
              <w:t>/SG/AC.10/C.3/2024/23</w:t>
            </w:r>
          </w:p>
        </w:tc>
      </w:tr>
      <w:tr w:rsidR="00132EA9" w:rsidRPr="00DB58B5" w14:paraId="08ECE24C" w14:textId="77777777" w:rsidTr="00F01738">
        <w:trPr>
          <w:trHeight w:hRule="exact" w:val="2835"/>
        </w:trPr>
        <w:tc>
          <w:tcPr>
            <w:tcW w:w="1276" w:type="dxa"/>
            <w:tcBorders>
              <w:top w:val="single" w:sz="4" w:space="0" w:color="auto"/>
              <w:bottom w:val="single" w:sz="12" w:space="0" w:color="auto"/>
            </w:tcBorders>
          </w:tcPr>
          <w:p w14:paraId="6C92684D" w14:textId="77777777" w:rsidR="00132EA9" w:rsidRPr="00DB58B5" w:rsidRDefault="00132EA9" w:rsidP="00F01738">
            <w:pPr>
              <w:spacing w:before="120"/>
              <w:jc w:val="center"/>
            </w:pPr>
            <w:r>
              <w:rPr>
                <w:noProof/>
                <w:lang w:eastAsia="fr-CH"/>
              </w:rPr>
              <w:drawing>
                <wp:inline distT="0" distB="0" distL="0" distR="0" wp14:anchorId="0BF7A04C" wp14:editId="35CD29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B83B52"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16EEBB4E" w14:textId="77777777" w:rsidR="00132EA9" w:rsidRDefault="00745AA5" w:rsidP="00F01738">
            <w:pPr>
              <w:spacing w:before="240"/>
            </w:pPr>
            <w:proofErr w:type="spellStart"/>
            <w:r>
              <w:t>Distr</w:t>
            </w:r>
            <w:proofErr w:type="spellEnd"/>
            <w:r>
              <w:t>. générale</w:t>
            </w:r>
          </w:p>
          <w:p w14:paraId="17EBBBC2" w14:textId="77777777" w:rsidR="00745AA5" w:rsidRDefault="00745AA5" w:rsidP="00745AA5">
            <w:pPr>
              <w:spacing w:line="240" w:lineRule="exact"/>
            </w:pPr>
            <w:r>
              <w:t>15 avril 2024</w:t>
            </w:r>
          </w:p>
          <w:p w14:paraId="3497DF38" w14:textId="77777777" w:rsidR="00745AA5" w:rsidRDefault="00745AA5" w:rsidP="00745AA5">
            <w:pPr>
              <w:spacing w:line="240" w:lineRule="exact"/>
            </w:pPr>
            <w:r>
              <w:t>Français</w:t>
            </w:r>
          </w:p>
          <w:p w14:paraId="01C8A19E" w14:textId="62BE6952" w:rsidR="00745AA5" w:rsidRPr="00DB58B5" w:rsidRDefault="00745AA5" w:rsidP="00745AA5">
            <w:pPr>
              <w:spacing w:line="240" w:lineRule="exact"/>
            </w:pPr>
            <w:r>
              <w:t>Original : anglais</w:t>
            </w:r>
          </w:p>
        </w:tc>
      </w:tr>
    </w:tbl>
    <w:p w14:paraId="2B727F37" w14:textId="77777777" w:rsidR="00745AA5" w:rsidRPr="00CA0680" w:rsidRDefault="00745AA5" w:rsidP="000305D3">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d’étiquetage</w:t>
      </w:r>
      <w:r>
        <w:rPr>
          <w:b/>
          <w:sz w:val="24"/>
          <w:szCs w:val="24"/>
        </w:rPr>
        <w:t xml:space="preserve"> </w:t>
      </w:r>
      <w:r w:rsidRPr="00CA0680">
        <w:rPr>
          <w:b/>
          <w:sz w:val="24"/>
          <w:szCs w:val="24"/>
        </w:rPr>
        <w:t>des produits chimiques</w:t>
      </w:r>
    </w:p>
    <w:p w14:paraId="62873439" w14:textId="77777777" w:rsidR="00745AA5" w:rsidRPr="00CA0680" w:rsidRDefault="00745AA5" w:rsidP="000305D3">
      <w:pPr>
        <w:spacing w:before="120"/>
        <w:rPr>
          <w:b/>
        </w:rPr>
      </w:pPr>
      <w:r w:rsidRPr="00CA0680">
        <w:rPr>
          <w:b/>
        </w:rPr>
        <w:t>Sous</w:t>
      </w:r>
      <w:r>
        <w:rPr>
          <w:b/>
        </w:rPr>
        <w:t>-</w:t>
      </w:r>
      <w:r w:rsidRPr="00CA0680">
        <w:rPr>
          <w:b/>
        </w:rPr>
        <w:t>Comité d’experts du transport des marchandises dangereuses</w:t>
      </w:r>
    </w:p>
    <w:p w14:paraId="58F66C1E" w14:textId="77777777" w:rsidR="00745AA5" w:rsidRPr="00D51792" w:rsidRDefault="00745AA5" w:rsidP="00745AA5">
      <w:pPr>
        <w:spacing w:before="120"/>
        <w:rPr>
          <w:b/>
          <w:lang w:val="fr-FR"/>
        </w:rPr>
      </w:pPr>
      <w:r>
        <w:rPr>
          <w:b/>
          <w:bCs/>
          <w:lang w:val="fr-FR"/>
        </w:rPr>
        <w:t>Soixante-quatrième session</w:t>
      </w:r>
    </w:p>
    <w:p w14:paraId="009EA2D4" w14:textId="77777777" w:rsidR="00745AA5" w:rsidRPr="00D51792" w:rsidRDefault="00745AA5" w:rsidP="00745AA5">
      <w:pPr>
        <w:rPr>
          <w:lang w:val="fr-FR"/>
        </w:rPr>
      </w:pPr>
      <w:r>
        <w:rPr>
          <w:lang w:val="fr-FR"/>
        </w:rPr>
        <w:t>Genève, 24 juin-3 juillet 2024</w:t>
      </w:r>
    </w:p>
    <w:p w14:paraId="60D95004" w14:textId="77777777" w:rsidR="00745AA5" w:rsidRPr="00D51792" w:rsidRDefault="00745AA5" w:rsidP="00745AA5">
      <w:pPr>
        <w:rPr>
          <w:lang w:val="fr-FR"/>
        </w:rPr>
      </w:pPr>
      <w:r>
        <w:rPr>
          <w:lang w:val="fr-FR"/>
        </w:rPr>
        <w:t>Point 3 de l’ordre du jour provisoire</w:t>
      </w:r>
    </w:p>
    <w:p w14:paraId="0BDFA1B8" w14:textId="77777777" w:rsidR="00745AA5" w:rsidRPr="00D51792" w:rsidRDefault="00745AA5" w:rsidP="00745AA5">
      <w:pPr>
        <w:rPr>
          <w:b/>
          <w:bCs/>
          <w:lang w:val="fr-FR"/>
        </w:rPr>
      </w:pPr>
      <w:r>
        <w:rPr>
          <w:b/>
          <w:bCs/>
          <w:lang w:val="fr-FR"/>
        </w:rPr>
        <w:t>Inscription, classement et emballage</w:t>
      </w:r>
    </w:p>
    <w:p w14:paraId="1D4BBCE1" w14:textId="77777777" w:rsidR="00745AA5" w:rsidRPr="00D51792" w:rsidRDefault="00745AA5" w:rsidP="00E448CA">
      <w:pPr>
        <w:pStyle w:val="HChG"/>
        <w:rPr>
          <w:lang w:val="fr-FR"/>
        </w:rPr>
      </w:pPr>
      <w:r>
        <w:rPr>
          <w:lang w:val="fr-FR"/>
        </w:rPr>
        <w:tab/>
      </w:r>
      <w:r>
        <w:rPr>
          <w:lang w:val="fr-FR"/>
        </w:rPr>
        <w:tab/>
        <w:t>Coussins gonflables portables</w:t>
      </w:r>
    </w:p>
    <w:p w14:paraId="7D99BD94" w14:textId="77777777" w:rsidR="00745AA5" w:rsidRPr="00D51792" w:rsidRDefault="00745AA5" w:rsidP="00E448CA">
      <w:pPr>
        <w:pStyle w:val="H1G"/>
        <w:rPr>
          <w:lang w:val="fr-FR"/>
        </w:rPr>
      </w:pPr>
      <w:r>
        <w:rPr>
          <w:lang w:val="fr-FR"/>
        </w:rPr>
        <w:tab/>
      </w:r>
      <w:r>
        <w:rPr>
          <w:lang w:val="fr-FR"/>
        </w:rPr>
        <w:tab/>
        <w:t>Communication de l’expert de l’Italie</w:t>
      </w:r>
      <w:r w:rsidRPr="00E448CA">
        <w:rPr>
          <w:rStyle w:val="Appelnotedebasdep"/>
          <w:b w:val="0"/>
          <w:bCs/>
          <w:sz w:val="20"/>
          <w:vertAlign w:val="baseline"/>
          <w:lang w:val="fr-FR"/>
        </w:rPr>
        <w:footnoteReference w:customMarkFollows="1" w:id="2"/>
        <w:t>*</w:t>
      </w:r>
    </w:p>
    <w:p w14:paraId="0E0ADFAA" w14:textId="77777777" w:rsidR="00745AA5" w:rsidRPr="00D51792" w:rsidRDefault="00745AA5" w:rsidP="00E448CA">
      <w:pPr>
        <w:pStyle w:val="HChG"/>
        <w:rPr>
          <w:lang w:val="fr-FR"/>
        </w:rPr>
      </w:pPr>
      <w:r>
        <w:rPr>
          <w:lang w:val="fr-FR"/>
        </w:rPr>
        <w:tab/>
        <w:t>I.</w:t>
      </w:r>
      <w:r>
        <w:rPr>
          <w:lang w:val="fr-FR"/>
        </w:rPr>
        <w:tab/>
        <w:t>Introduction</w:t>
      </w:r>
    </w:p>
    <w:p w14:paraId="52332AD7" w14:textId="77777777" w:rsidR="00745AA5" w:rsidRPr="00D51792" w:rsidRDefault="00745AA5" w:rsidP="00E448CA">
      <w:pPr>
        <w:pStyle w:val="SingleTxtG"/>
        <w:rPr>
          <w:lang w:val="fr-FR"/>
        </w:rPr>
      </w:pPr>
      <w:r>
        <w:rPr>
          <w:lang w:val="fr-FR"/>
        </w:rPr>
        <w:t>1.</w:t>
      </w:r>
      <w:r>
        <w:rPr>
          <w:lang w:val="fr-FR"/>
        </w:rPr>
        <w:tab/>
        <w:t xml:space="preserve">À la session du Sous-Comité tenue en décembre 2023, il a été souligné, dans le document informel INF.34, qu’il fallait harmoniser les critères de classement des coussins gonflables portables (gilet airbag) et, partant, les dispositions relatives à leur transport. </w:t>
      </w:r>
    </w:p>
    <w:p w14:paraId="0FFF48C9" w14:textId="77777777" w:rsidR="00745AA5" w:rsidRPr="00D51792" w:rsidRDefault="00745AA5" w:rsidP="00745AA5">
      <w:pPr>
        <w:pStyle w:val="SingleTxtG"/>
        <w:rPr>
          <w:lang w:val="fr-FR"/>
        </w:rPr>
      </w:pPr>
      <w:r>
        <w:rPr>
          <w:lang w:val="fr-FR"/>
        </w:rPr>
        <w:t>2.</w:t>
      </w:r>
      <w:r>
        <w:rPr>
          <w:lang w:val="fr-FR"/>
        </w:rPr>
        <w:tab/>
        <w:t>Les coussins gonflables portables sont de plus en plus répandus, et il ressort de discussions avec d’autres experts qu’ils sont utilisés comme équipement de protection individuelle non seulement dans le motocyclisme, mais aussi dans de nombreux secteurs industriels dans lesquels une protection corporelle est requise.</w:t>
      </w:r>
    </w:p>
    <w:p w14:paraId="4F97EFDB" w14:textId="77777777" w:rsidR="00745AA5" w:rsidRPr="00D51792" w:rsidRDefault="00745AA5" w:rsidP="00745AA5">
      <w:pPr>
        <w:pStyle w:val="SingleTxtG"/>
        <w:rPr>
          <w:lang w:val="fr-FR"/>
        </w:rPr>
      </w:pPr>
      <w:r>
        <w:rPr>
          <w:lang w:val="fr-FR"/>
        </w:rPr>
        <w:t>3.</w:t>
      </w:r>
      <w:r>
        <w:rPr>
          <w:lang w:val="fr-FR"/>
        </w:rPr>
        <w:tab/>
        <w:t>Le Sous-Comité a convenu de la nécessité d’inclure ces systèmes d’importance vitale dans les dispositions existantes du Règlement type et a invité tous les experts à envoyer leurs commentaires à l’expert de l’Italie, qui a proposé de se charger d’élaborer un document officiel.</w:t>
      </w:r>
    </w:p>
    <w:p w14:paraId="12D97E2D" w14:textId="77777777" w:rsidR="00745AA5" w:rsidRPr="00D51792" w:rsidRDefault="00745AA5" w:rsidP="00745AA5">
      <w:pPr>
        <w:pStyle w:val="HChG"/>
        <w:rPr>
          <w:lang w:val="fr-FR"/>
        </w:rPr>
      </w:pPr>
      <w:r>
        <w:rPr>
          <w:bCs/>
          <w:lang w:val="fr-FR"/>
        </w:rPr>
        <w:tab/>
        <w:t>II.</w:t>
      </w:r>
      <w:r>
        <w:rPr>
          <w:lang w:val="fr-FR"/>
        </w:rPr>
        <w:tab/>
      </w:r>
      <w:r>
        <w:rPr>
          <w:bCs/>
          <w:lang w:val="fr-FR"/>
        </w:rPr>
        <w:t xml:space="preserve">Description et classement </w:t>
      </w:r>
    </w:p>
    <w:p w14:paraId="3CCA411D" w14:textId="77777777" w:rsidR="00745AA5" w:rsidRPr="00D51792" w:rsidRDefault="00745AA5" w:rsidP="00963CBA">
      <w:pPr>
        <w:pStyle w:val="SingleTxtG"/>
        <w:keepNext/>
        <w:rPr>
          <w:lang w:val="fr-FR"/>
        </w:rPr>
      </w:pPr>
      <w:r>
        <w:rPr>
          <w:lang w:val="fr-FR"/>
        </w:rPr>
        <w:t>4.</w:t>
      </w:r>
      <w:r>
        <w:rPr>
          <w:lang w:val="fr-FR"/>
        </w:rPr>
        <w:tab/>
        <w:t>Les coussins gonflables portables sont généralement composés de plusieurs éléments relevant de différentes classes de danger, à savoir :</w:t>
      </w:r>
    </w:p>
    <w:p w14:paraId="3630DB4A" w14:textId="179E7343" w:rsidR="00745AA5" w:rsidRPr="00D51792" w:rsidRDefault="00745AA5" w:rsidP="00963CBA">
      <w:pPr>
        <w:pStyle w:val="SingleTxtG"/>
        <w:ind w:firstLine="567"/>
        <w:rPr>
          <w:lang w:val="fr-FR"/>
        </w:rPr>
      </w:pPr>
      <w:r>
        <w:rPr>
          <w:lang w:val="fr-FR"/>
        </w:rPr>
        <w:t>a)</w:t>
      </w:r>
      <w:r>
        <w:rPr>
          <w:lang w:val="fr-FR"/>
        </w:rPr>
        <w:tab/>
        <w:t>Une petite pile au lithium (3,65 V</w:t>
      </w:r>
      <w:r w:rsidR="00963CBA">
        <w:rPr>
          <w:lang w:val="fr-FR"/>
        </w:rPr>
        <w:t>-</w:t>
      </w:r>
      <w:r>
        <w:rPr>
          <w:lang w:val="fr-FR"/>
        </w:rPr>
        <w:t>9,5 Wh), alimentant le module de commande du coussin gonflable, qui active un système pyrotechnique en cas de détection d’un accident ;</w:t>
      </w:r>
    </w:p>
    <w:p w14:paraId="0B5972FD" w14:textId="27198899" w:rsidR="00745AA5" w:rsidRPr="00D51792" w:rsidRDefault="00745AA5" w:rsidP="00963CBA">
      <w:pPr>
        <w:pStyle w:val="SingleTxtG"/>
        <w:ind w:firstLine="567"/>
        <w:rPr>
          <w:lang w:val="fr-FR"/>
        </w:rPr>
      </w:pPr>
      <w:r>
        <w:rPr>
          <w:lang w:val="fr-FR"/>
        </w:rPr>
        <w:t>b)</w:t>
      </w:r>
      <w:r>
        <w:rPr>
          <w:lang w:val="fr-FR"/>
        </w:rPr>
        <w:tab/>
        <w:t>Une ou deux cartouches contenant du gaz comprimé non dangereux et non inflammable (argon ou hélium) qui sert à gonfler les coussins</w:t>
      </w:r>
      <w:r w:rsidR="00963CBA">
        <w:rPr>
          <w:lang w:val="fr-FR"/>
        </w:rPr>
        <w:t> </w:t>
      </w:r>
      <w:r>
        <w:rPr>
          <w:lang w:val="fr-FR"/>
        </w:rPr>
        <w:t>;</w:t>
      </w:r>
    </w:p>
    <w:p w14:paraId="019D03DE" w14:textId="48627334" w:rsidR="00745AA5" w:rsidRPr="00D51792" w:rsidRDefault="00745AA5" w:rsidP="00963CBA">
      <w:pPr>
        <w:pStyle w:val="SingleTxtG"/>
        <w:ind w:firstLine="567"/>
        <w:rPr>
          <w:lang w:val="fr-FR"/>
        </w:rPr>
      </w:pPr>
      <w:r>
        <w:rPr>
          <w:lang w:val="fr-FR"/>
        </w:rPr>
        <w:t>c)</w:t>
      </w:r>
      <w:r>
        <w:rPr>
          <w:lang w:val="fr-FR"/>
        </w:rPr>
        <w:tab/>
        <w:t>Des matières pyrotechniques de la division 1.4 S (entre 300 et 600</w:t>
      </w:r>
      <w:r w:rsidR="00963CBA">
        <w:rPr>
          <w:lang w:val="fr-FR"/>
        </w:rPr>
        <w:t> </w:t>
      </w:r>
      <w:r>
        <w:rPr>
          <w:lang w:val="fr-FR"/>
        </w:rPr>
        <w:t>mg dans chacune des cartouches) servant à déclencher la diffusion du gaz.</w:t>
      </w:r>
    </w:p>
    <w:p w14:paraId="7FAA18B6" w14:textId="77777777" w:rsidR="00745AA5" w:rsidRPr="00D51792" w:rsidRDefault="00745AA5" w:rsidP="00745AA5">
      <w:pPr>
        <w:pStyle w:val="SingleTxtG"/>
        <w:rPr>
          <w:lang w:val="fr-FR"/>
        </w:rPr>
      </w:pPr>
      <w:r>
        <w:rPr>
          <w:lang w:val="fr-FR"/>
        </w:rPr>
        <w:lastRenderedPageBreak/>
        <w:t>5.</w:t>
      </w:r>
      <w:r>
        <w:rPr>
          <w:lang w:val="fr-FR"/>
        </w:rPr>
        <w:tab/>
        <w:t>On trouvera à l’annexe du présent document une description complète, accompagnée de quelques illustrations de coussins gonflables et des éléments qui les composent.</w:t>
      </w:r>
    </w:p>
    <w:p w14:paraId="3B82FFBF" w14:textId="1566EDE1" w:rsidR="00745AA5" w:rsidRPr="00D51792" w:rsidRDefault="00745AA5" w:rsidP="00745AA5">
      <w:pPr>
        <w:pStyle w:val="SingleTxtG"/>
        <w:rPr>
          <w:lang w:val="fr-FR"/>
        </w:rPr>
      </w:pPr>
      <w:r>
        <w:rPr>
          <w:lang w:val="fr-FR"/>
        </w:rPr>
        <w:t>6.</w:t>
      </w:r>
      <w:r>
        <w:rPr>
          <w:lang w:val="fr-FR"/>
        </w:rPr>
        <w:tab/>
        <w:t>Actuellement, en l’absence d’indications claires, il convient d’utiliser soit le No</w:t>
      </w:r>
      <w:r w:rsidR="00963CBA">
        <w:rPr>
          <w:lang w:val="fr-FR"/>
        </w:rPr>
        <w:t> </w:t>
      </w:r>
      <w:r>
        <w:rPr>
          <w:lang w:val="fr-FR"/>
        </w:rPr>
        <w:t>ONU 3268 (DISPOSITIFS DE SÉCURITÉ à amorçage électrique), soit le No</w:t>
      </w:r>
      <w:r w:rsidR="00963CBA">
        <w:rPr>
          <w:lang w:val="fr-FR"/>
        </w:rPr>
        <w:t> </w:t>
      </w:r>
      <w:r>
        <w:rPr>
          <w:lang w:val="fr-FR"/>
        </w:rPr>
        <w:t>ONU</w:t>
      </w:r>
      <w:r w:rsidR="00963CBA">
        <w:rPr>
          <w:lang w:val="fr-FR"/>
        </w:rPr>
        <w:t> </w:t>
      </w:r>
      <w:r>
        <w:rPr>
          <w:lang w:val="fr-FR"/>
        </w:rPr>
        <w:t>2990 (ENGINS DE SAUVETAGE AUTOGONFLABLES), dont le transport est soumis aux dispositions présentées dans le tableau ci-dessous.</w:t>
      </w:r>
    </w:p>
    <w:p w14:paraId="2B9A0A8B" w14:textId="77777777" w:rsidR="00745AA5" w:rsidRPr="00D51792" w:rsidRDefault="00745AA5" w:rsidP="00745AA5">
      <w:pPr>
        <w:spacing w:line="240" w:lineRule="auto"/>
        <w:rPr>
          <w:lang w:val="fr-FR"/>
        </w:rPr>
      </w:pPr>
    </w:p>
    <w:tbl>
      <w:tblPr>
        <w:tblStyle w:val="Grilledutableau"/>
        <w:tblW w:w="9497" w:type="dxa"/>
        <w:jc w:val="center"/>
        <w:tblLayout w:type="fixed"/>
        <w:tblLook w:val="04A0" w:firstRow="1" w:lastRow="0" w:firstColumn="1" w:lastColumn="0" w:noHBand="0" w:noVBand="1"/>
      </w:tblPr>
      <w:tblGrid>
        <w:gridCol w:w="561"/>
        <w:gridCol w:w="2302"/>
        <w:gridCol w:w="952"/>
        <w:gridCol w:w="874"/>
        <w:gridCol w:w="932"/>
        <w:gridCol w:w="937"/>
        <w:gridCol w:w="588"/>
        <w:gridCol w:w="474"/>
        <w:gridCol w:w="937"/>
        <w:gridCol w:w="940"/>
      </w:tblGrid>
      <w:tr w:rsidR="00963CBA" w:rsidRPr="00963CBA" w14:paraId="1CBDDF2E" w14:textId="77777777" w:rsidTr="00963CBA">
        <w:trPr>
          <w:trHeight w:val="238"/>
          <w:jc w:val="center"/>
        </w:trPr>
        <w:tc>
          <w:tcPr>
            <w:tcW w:w="562" w:type="dxa"/>
            <w:vMerge w:val="restart"/>
            <w:shd w:val="clear" w:color="auto" w:fill="D9D9D9" w:themeFill="background1" w:themeFillShade="D9"/>
            <w:vAlign w:val="center"/>
          </w:tcPr>
          <w:p w14:paraId="4F934D43" w14:textId="77777777" w:rsidR="00745AA5" w:rsidRPr="00963CBA" w:rsidRDefault="00745AA5" w:rsidP="00963CBA">
            <w:pPr>
              <w:spacing w:before="60" w:after="60" w:line="240" w:lineRule="auto"/>
              <w:jc w:val="center"/>
              <w:rPr>
                <w:sz w:val="18"/>
                <w:szCs w:val="18"/>
              </w:rPr>
            </w:pPr>
            <w:r w:rsidRPr="00963CBA">
              <w:rPr>
                <w:sz w:val="18"/>
                <w:szCs w:val="18"/>
                <w:lang w:val="fr-FR"/>
              </w:rPr>
              <w:t>No</w:t>
            </w:r>
          </w:p>
          <w:p w14:paraId="6107EA37" w14:textId="77777777" w:rsidR="00745AA5" w:rsidRPr="00963CBA" w:rsidRDefault="00745AA5" w:rsidP="00963CBA">
            <w:pPr>
              <w:spacing w:before="60" w:after="60" w:line="240" w:lineRule="auto"/>
              <w:jc w:val="center"/>
              <w:rPr>
                <w:sz w:val="18"/>
                <w:szCs w:val="18"/>
              </w:rPr>
            </w:pPr>
            <w:r w:rsidRPr="00963CBA">
              <w:rPr>
                <w:sz w:val="18"/>
                <w:szCs w:val="18"/>
                <w:lang w:val="fr-FR"/>
              </w:rPr>
              <w:t>ONU</w:t>
            </w:r>
          </w:p>
        </w:tc>
        <w:tc>
          <w:tcPr>
            <w:tcW w:w="2303" w:type="dxa"/>
            <w:vMerge w:val="restart"/>
            <w:shd w:val="clear" w:color="auto" w:fill="D9D9D9" w:themeFill="background1" w:themeFillShade="D9"/>
            <w:vAlign w:val="center"/>
          </w:tcPr>
          <w:p w14:paraId="07B128E2" w14:textId="77777777" w:rsidR="00745AA5" w:rsidRPr="00963CBA" w:rsidRDefault="00745AA5" w:rsidP="00963CBA">
            <w:pPr>
              <w:spacing w:before="60" w:after="60" w:line="240" w:lineRule="auto"/>
              <w:jc w:val="center"/>
              <w:rPr>
                <w:sz w:val="18"/>
                <w:szCs w:val="18"/>
              </w:rPr>
            </w:pPr>
            <w:r w:rsidRPr="00963CBA">
              <w:rPr>
                <w:sz w:val="18"/>
                <w:szCs w:val="18"/>
                <w:lang w:val="fr-FR"/>
              </w:rPr>
              <w:t>Nom et description</w:t>
            </w:r>
          </w:p>
        </w:tc>
        <w:tc>
          <w:tcPr>
            <w:tcW w:w="952" w:type="dxa"/>
            <w:vMerge w:val="restart"/>
            <w:shd w:val="clear" w:color="auto" w:fill="D9D9D9" w:themeFill="background1" w:themeFillShade="D9"/>
            <w:vAlign w:val="center"/>
          </w:tcPr>
          <w:p w14:paraId="327A24F8" w14:textId="2405F5C1" w:rsidR="00745AA5" w:rsidRPr="00963CBA" w:rsidRDefault="00745AA5" w:rsidP="00963CBA">
            <w:pPr>
              <w:spacing w:before="60" w:after="60" w:line="240" w:lineRule="auto"/>
              <w:jc w:val="center"/>
              <w:rPr>
                <w:sz w:val="18"/>
                <w:szCs w:val="18"/>
              </w:rPr>
            </w:pPr>
            <w:r w:rsidRPr="00963CBA">
              <w:rPr>
                <w:sz w:val="18"/>
                <w:szCs w:val="18"/>
                <w:lang w:val="fr-FR"/>
              </w:rPr>
              <w:t xml:space="preserve">Classe </w:t>
            </w:r>
            <w:r w:rsidR="00963CBA">
              <w:rPr>
                <w:sz w:val="18"/>
                <w:szCs w:val="18"/>
                <w:lang w:val="fr-FR"/>
              </w:rPr>
              <w:br/>
            </w:r>
            <w:r w:rsidRPr="00963CBA">
              <w:rPr>
                <w:sz w:val="18"/>
                <w:szCs w:val="18"/>
                <w:lang w:val="fr-FR"/>
              </w:rPr>
              <w:t>ou division</w:t>
            </w:r>
          </w:p>
        </w:tc>
        <w:tc>
          <w:tcPr>
            <w:tcW w:w="874" w:type="dxa"/>
            <w:vMerge w:val="restart"/>
            <w:shd w:val="clear" w:color="auto" w:fill="D9D9D9" w:themeFill="background1" w:themeFillShade="D9"/>
            <w:vAlign w:val="center"/>
          </w:tcPr>
          <w:p w14:paraId="12E900C8" w14:textId="77777777" w:rsidR="00745AA5" w:rsidRPr="00963CBA" w:rsidRDefault="00745AA5" w:rsidP="00963CBA">
            <w:pPr>
              <w:spacing w:before="60" w:after="60" w:line="240" w:lineRule="auto"/>
              <w:jc w:val="center"/>
              <w:rPr>
                <w:sz w:val="18"/>
                <w:szCs w:val="18"/>
              </w:rPr>
            </w:pPr>
            <w:r w:rsidRPr="00963CBA">
              <w:rPr>
                <w:sz w:val="18"/>
                <w:szCs w:val="18"/>
                <w:lang w:val="fr-FR"/>
              </w:rPr>
              <w:t>Danger subsidiaire</w:t>
            </w:r>
          </w:p>
        </w:tc>
        <w:tc>
          <w:tcPr>
            <w:tcW w:w="932" w:type="dxa"/>
            <w:vMerge w:val="restart"/>
            <w:shd w:val="clear" w:color="auto" w:fill="D9D9D9" w:themeFill="background1" w:themeFillShade="D9"/>
            <w:vAlign w:val="center"/>
          </w:tcPr>
          <w:p w14:paraId="0FCFC576" w14:textId="77777777" w:rsidR="00745AA5" w:rsidRPr="00963CBA" w:rsidRDefault="00745AA5" w:rsidP="00963CBA">
            <w:pPr>
              <w:spacing w:before="60" w:after="60" w:line="240" w:lineRule="auto"/>
              <w:jc w:val="center"/>
              <w:rPr>
                <w:sz w:val="18"/>
                <w:szCs w:val="18"/>
              </w:rPr>
            </w:pPr>
            <w:r w:rsidRPr="00963CBA">
              <w:rPr>
                <w:sz w:val="18"/>
                <w:szCs w:val="18"/>
                <w:lang w:val="fr-FR"/>
              </w:rPr>
              <w:t>Groupe d’emballage</w:t>
            </w:r>
          </w:p>
        </w:tc>
        <w:tc>
          <w:tcPr>
            <w:tcW w:w="937" w:type="dxa"/>
            <w:vMerge w:val="restart"/>
            <w:shd w:val="clear" w:color="auto" w:fill="D9D9D9" w:themeFill="background1" w:themeFillShade="D9"/>
            <w:vAlign w:val="center"/>
          </w:tcPr>
          <w:p w14:paraId="30D6FA50" w14:textId="77777777" w:rsidR="00745AA5" w:rsidRPr="00963CBA" w:rsidRDefault="00745AA5" w:rsidP="00963CBA">
            <w:pPr>
              <w:spacing w:before="60" w:after="60" w:line="240" w:lineRule="auto"/>
              <w:jc w:val="center"/>
              <w:rPr>
                <w:sz w:val="18"/>
                <w:szCs w:val="18"/>
              </w:rPr>
            </w:pPr>
            <w:r w:rsidRPr="00963CBA">
              <w:rPr>
                <w:sz w:val="18"/>
                <w:szCs w:val="18"/>
                <w:lang w:val="fr-FR"/>
              </w:rPr>
              <w:t>Dispositions spéciales</w:t>
            </w:r>
          </w:p>
        </w:tc>
        <w:tc>
          <w:tcPr>
            <w:tcW w:w="1062" w:type="dxa"/>
            <w:gridSpan w:val="2"/>
            <w:vMerge w:val="restart"/>
            <w:shd w:val="clear" w:color="auto" w:fill="D9D9D9" w:themeFill="background1" w:themeFillShade="D9"/>
            <w:vAlign w:val="center"/>
          </w:tcPr>
          <w:p w14:paraId="424D9C9D" w14:textId="7F4D1FEC" w:rsidR="00745AA5" w:rsidRPr="00963CBA" w:rsidRDefault="00745AA5" w:rsidP="00963CBA">
            <w:pPr>
              <w:spacing w:before="60" w:after="60" w:line="240" w:lineRule="auto"/>
              <w:jc w:val="center"/>
              <w:rPr>
                <w:sz w:val="18"/>
                <w:szCs w:val="18"/>
                <w:lang w:val="fr-FR"/>
              </w:rPr>
            </w:pPr>
            <w:r w:rsidRPr="00963CBA">
              <w:rPr>
                <w:sz w:val="18"/>
                <w:szCs w:val="18"/>
                <w:lang w:val="fr-FR"/>
              </w:rPr>
              <w:t xml:space="preserve">Quantités limitées </w:t>
            </w:r>
            <w:r w:rsidR="00963CBA">
              <w:rPr>
                <w:sz w:val="18"/>
                <w:szCs w:val="18"/>
                <w:lang w:val="fr-FR"/>
              </w:rPr>
              <w:br/>
            </w:r>
            <w:r w:rsidRPr="00963CBA">
              <w:rPr>
                <w:sz w:val="18"/>
                <w:szCs w:val="18"/>
                <w:lang w:val="fr-FR"/>
              </w:rPr>
              <w:t>et quantités exceptées</w:t>
            </w:r>
          </w:p>
        </w:tc>
        <w:tc>
          <w:tcPr>
            <w:tcW w:w="1875" w:type="dxa"/>
            <w:gridSpan w:val="2"/>
            <w:shd w:val="clear" w:color="auto" w:fill="D9D9D9" w:themeFill="background1" w:themeFillShade="D9"/>
            <w:vAlign w:val="center"/>
          </w:tcPr>
          <w:p w14:paraId="367E0CCD" w14:textId="77777777" w:rsidR="00745AA5" w:rsidRPr="00963CBA" w:rsidRDefault="00745AA5" w:rsidP="00963CBA">
            <w:pPr>
              <w:spacing w:before="60" w:after="60" w:line="240" w:lineRule="auto"/>
              <w:jc w:val="center"/>
              <w:rPr>
                <w:sz w:val="18"/>
                <w:szCs w:val="18"/>
              </w:rPr>
            </w:pPr>
            <w:r w:rsidRPr="00963CBA">
              <w:rPr>
                <w:sz w:val="18"/>
                <w:szCs w:val="18"/>
                <w:lang w:val="fr-FR"/>
              </w:rPr>
              <w:t>Emballages et GRV</w:t>
            </w:r>
          </w:p>
        </w:tc>
      </w:tr>
      <w:tr w:rsidR="00963CBA" w:rsidRPr="00963CBA" w14:paraId="26E53EB8" w14:textId="77777777" w:rsidTr="00963CBA">
        <w:trPr>
          <w:trHeight w:val="149"/>
          <w:jc w:val="center"/>
        </w:trPr>
        <w:tc>
          <w:tcPr>
            <w:tcW w:w="562" w:type="dxa"/>
            <w:vMerge/>
            <w:shd w:val="clear" w:color="auto" w:fill="D9D9D9" w:themeFill="background1" w:themeFillShade="D9"/>
            <w:vAlign w:val="center"/>
          </w:tcPr>
          <w:p w14:paraId="3B279EDC" w14:textId="77777777" w:rsidR="00745AA5" w:rsidRPr="00963CBA" w:rsidRDefault="00745AA5" w:rsidP="00963CBA">
            <w:pPr>
              <w:spacing w:before="60" w:after="60" w:line="240" w:lineRule="auto"/>
              <w:jc w:val="center"/>
              <w:rPr>
                <w:sz w:val="18"/>
                <w:szCs w:val="18"/>
              </w:rPr>
            </w:pPr>
          </w:p>
        </w:tc>
        <w:tc>
          <w:tcPr>
            <w:tcW w:w="2303" w:type="dxa"/>
            <w:vMerge/>
            <w:shd w:val="clear" w:color="auto" w:fill="D9D9D9" w:themeFill="background1" w:themeFillShade="D9"/>
            <w:vAlign w:val="center"/>
          </w:tcPr>
          <w:p w14:paraId="7A062BC5" w14:textId="77777777" w:rsidR="00745AA5" w:rsidRPr="00963CBA" w:rsidRDefault="00745AA5" w:rsidP="00963CBA">
            <w:pPr>
              <w:spacing w:before="60" w:after="60" w:line="240" w:lineRule="auto"/>
              <w:jc w:val="center"/>
              <w:rPr>
                <w:sz w:val="18"/>
                <w:szCs w:val="18"/>
              </w:rPr>
            </w:pPr>
          </w:p>
        </w:tc>
        <w:tc>
          <w:tcPr>
            <w:tcW w:w="952" w:type="dxa"/>
            <w:vMerge/>
            <w:shd w:val="clear" w:color="auto" w:fill="D9D9D9" w:themeFill="background1" w:themeFillShade="D9"/>
            <w:vAlign w:val="center"/>
          </w:tcPr>
          <w:p w14:paraId="59CA1A34" w14:textId="77777777" w:rsidR="00745AA5" w:rsidRPr="00963CBA" w:rsidRDefault="00745AA5" w:rsidP="00963CBA">
            <w:pPr>
              <w:spacing w:before="60" w:after="60" w:line="240" w:lineRule="auto"/>
              <w:jc w:val="center"/>
              <w:rPr>
                <w:sz w:val="18"/>
                <w:szCs w:val="18"/>
              </w:rPr>
            </w:pPr>
          </w:p>
        </w:tc>
        <w:tc>
          <w:tcPr>
            <w:tcW w:w="874" w:type="dxa"/>
            <w:vMerge/>
            <w:shd w:val="clear" w:color="auto" w:fill="D9D9D9" w:themeFill="background1" w:themeFillShade="D9"/>
            <w:vAlign w:val="center"/>
          </w:tcPr>
          <w:p w14:paraId="395C1DA0" w14:textId="77777777" w:rsidR="00745AA5" w:rsidRPr="00963CBA" w:rsidRDefault="00745AA5" w:rsidP="00963CBA">
            <w:pPr>
              <w:spacing w:before="60" w:after="60" w:line="240" w:lineRule="auto"/>
              <w:jc w:val="center"/>
              <w:rPr>
                <w:sz w:val="18"/>
                <w:szCs w:val="18"/>
              </w:rPr>
            </w:pPr>
          </w:p>
        </w:tc>
        <w:tc>
          <w:tcPr>
            <w:tcW w:w="932" w:type="dxa"/>
            <w:vMerge/>
            <w:shd w:val="clear" w:color="auto" w:fill="D9D9D9" w:themeFill="background1" w:themeFillShade="D9"/>
            <w:vAlign w:val="center"/>
          </w:tcPr>
          <w:p w14:paraId="1DE949B6" w14:textId="77777777" w:rsidR="00745AA5" w:rsidRPr="00963CBA" w:rsidRDefault="00745AA5" w:rsidP="00963CBA">
            <w:pPr>
              <w:spacing w:before="60" w:after="60" w:line="240" w:lineRule="auto"/>
              <w:jc w:val="center"/>
              <w:rPr>
                <w:sz w:val="18"/>
                <w:szCs w:val="18"/>
              </w:rPr>
            </w:pPr>
          </w:p>
        </w:tc>
        <w:tc>
          <w:tcPr>
            <w:tcW w:w="937" w:type="dxa"/>
            <w:vMerge/>
            <w:shd w:val="clear" w:color="auto" w:fill="D9D9D9" w:themeFill="background1" w:themeFillShade="D9"/>
            <w:vAlign w:val="center"/>
          </w:tcPr>
          <w:p w14:paraId="19BD82A4" w14:textId="77777777" w:rsidR="00745AA5" w:rsidRPr="00963CBA" w:rsidRDefault="00745AA5" w:rsidP="00963CBA">
            <w:pPr>
              <w:spacing w:before="60" w:after="60" w:line="240" w:lineRule="auto"/>
              <w:jc w:val="center"/>
              <w:rPr>
                <w:sz w:val="18"/>
                <w:szCs w:val="18"/>
              </w:rPr>
            </w:pPr>
          </w:p>
        </w:tc>
        <w:tc>
          <w:tcPr>
            <w:tcW w:w="1062" w:type="dxa"/>
            <w:gridSpan w:val="2"/>
            <w:vMerge/>
            <w:shd w:val="clear" w:color="auto" w:fill="D9D9D9" w:themeFill="background1" w:themeFillShade="D9"/>
            <w:vAlign w:val="center"/>
          </w:tcPr>
          <w:p w14:paraId="164997E9" w14:textId="77777777" w:rsidR="00745AA5" w:rsidRPr="00963CBA" w:rsidRDefault="00745AA5" w:rsidP="00963CBA">
            <w:pPr>
              <w:spacing w:before="60" w:after="60" w:line="240" w:lineRule="auto"/>
              <w:jc w:val="center"/>
              <w:rPr>
                <w:sz w:val="18"/>
                <w:szCs w:val="18"/>
              </w:rPr>
            </w:pPr>
          </w:p>
        </w:tc>
        <w:tc>
          <w:tcPr>
            <w:tcW w:w="936" w:type="dxa"/>
            <w:shd w:val="clear" w:color="auto" w:fill="D9D9D9" w:themeFill="background1" w:themeFillShade="D9"/>
            <w:vAlign w:val="center"/>
          </w:tcPr>
          <w:p w14:paraId="20558051" w14:textId="77777777" w:rsidR="00745AA5" w:rsidRPr="00963CBA" w:rsidRDefault="00745AA5" w:rsidP="00963CBA">
            <w:pPr>
              <w:spacing w:before="60" w:after="60" w:line="240" w:lineRule="auto"/>
              <w:jc w:val="center"/>
              <w:rPr>
                <w:sz w:val="18"/>
                <w:szCs w:val="18"/>
              </w:rPr>
            </w:pPr>
            <w:r w:rsidRPr="00963CBA">
              <w:rPr>
                <w:sz w:val="18"/>
                <w:szCs w:val="18"/>
                <w:lang w:val="fr-FR"/>
              </w:rPr>
              <w:t>Instructions d’emballage</w:t>
            </w:r>
          </w:p>
        </w:tc>
        <w:tc>
          <w:tcPr>
            <w:tcW w:w="939" w:type="dxa"/>
            <w:shd w:val="clear" w:color="auto" w:fill="D9D9D9" w:themeFill="background1" w:themeFillShade="D9"/>
            <w:vAlign w:val="center"/>
          </w:tcPr>
          <w:p w14:paraId="0B285F86" w14:textId="77777777" w:rsidR="00745AA5" w:rsidRPr="00963CBA" w:rsidRDefault="00745AA5" w:rsidP="00963CBA">
            <w:pPr>
              <w:spacing w:before="60" w:after="60" w:line="240" w:lineRule="auto"/>
              <w:jc w:val="center"/>
              <w:rPr>
                <w:sz w:val="18"/>
                <w:szCs w:val="18"/>
              </w:rPr>
            </w:pPr>
            <w:r w:rsidRPr="00963CBA">
              <w:rPr>
                <w:sz w:val="18"/>
                <w:szCs w:val="18"/>
                <w:lang w:val="fr-FR"/>
              </w:rPr>
              <w:t>Dispositions spéciales</w:t>
            </w:r>
          </w:p>
        </w:tc>
      </w:tr>
      <w:tr w:rsidR="00963CBA" w:rsidRPr="00963CBA" w14:paraId="580AD099" w14:textId="77777777" w:rsidTr="00963CBA">
        <w:trPr>
          <w:trHeight w:val="238"/>
          <w:jc w:val="center"/>
        </w:trPr>
        <w:tc>
          <w:tcPr>
            <w:tcW w:w="562" w:type="dxa"/>
            <w:shd w:val="clear" w:color="auto" w:fill="F2F2F2" w:themeFill="background1" w:themeFillShade="F2"/>
            <w:vAlign w:val="center"/>
          </w:tcPr>
          <w:p w14:paraId="43A3E4AC" w14:textId="77777777" w:rsidR="00745AA5" w:rsidRPr="00963CBA" w:rsidRDefault="00745AA5" w:rsidP="00963CBA">
            <w:pPr>
              <w:spacing w:before="60" w:after="60" w:line="240" w:lineRule="auto"/>
              <w:jc w:val="center"/>
              <w:rPr>
                <w:sz w:val="18"/>
                <w:szCs w:val="18"/>
              </w:rPr>
            </w:pPr>
            <w:r w:rsidRPr="00963CBA">
              <w:rPr>
                <w:sz w:val="18"/>
                <w:szCs w:val="18"/>
                <w:lang w:val="fr-FR"/>
              </w:rPr>
              <w:t>(1)</w:t>
            </w:r>
          </w:p>
        </w:tc>
        <w:tc>
          <w:tcPr>
            <w:tcW w:w="2303" w:type="dxa"/>
            <w:shd w:val="clear" w:color="auto" w:fill="F2F2F2" w:themeFill="background1" w:themeFillShade="F2"/>
            <w:vAlign w:val="center"/>
          </w:tcPr>
          <w:p w14:paraId="01886D6F" w14:textId="77777777" w:rsidR="00745AA5" w:rsidRPr="00963CBA" w:rsidRDefault="00745AA5" w:rsidP="00963CBA">
            <w:pPr>
              <w:spacing w:before="60" w:after="60" w:line="240" w:lineRule="auto"/>
              <w:ind w:left="25"/>
              <w:jc w:val="center"/>
              <w:rPr>
                <w:sz w:val="18"/>
                <w:szCs w:val="18"/>
              </w:rPr>
            </w:pPr>
            <w:r w:rsidRPr="00963CBA">
              <w:rPr>
                <w:sz w:val="18"/>
                <w:szCs w:val="18"/>
                <w:lang w:val="fr-FR"/>
              </w:rPr>
              <w:t>(2)</w:t>
            </w:r>
          </w:p>
        </w:tc>
        <w:tc>
          <w:tcPr>
            <w:tcW w:w="952" w:type="dxa"/>
            <w:shd w:val="clear" w:color="auto" w:fill="F2F2F2" w:themeFill="background1" w:themeFillShade="F2"/>
          </w:tcPr>
          <w:p w14:paraId="69DAF1B8" w14:textId="77777777" w:rsidR="00745AA5" w:rsidRPr="00963CBA" w:rsidRDefault="00745AA5" w:rsidP="00963CBA">
            <w:pPr>
              <w:spacing w:before="60" w:after="60" w:line="240" w:lineRule="auto"/>
              <w:jc w:val="center"/>
              <w:rPr>
                <w:sz w:val="18"/>
                <w:szCs w:val="18"/>
              </w:rPr>
            </w:pPr>
            <w:r w:rsidRPr="00963CBA">
              <w:rPr>
                <w:sz w:val="18"/>
                <w:szCs w:val="18"/>
                <w:lang w:val="fr-FR"/>
              </w:rPr>
              <w:t>(3)</w:t>
            </w:r>
          </w:p>
        </w:tc>
        <w:tc>
          <w:tcPr>
            <w:tcW w:w="874" w:type="dxa"/>
            <w:shd w:val="clear" w:color="auto" w:fill="F2F2F2" w:themeFill="background1" w:themeFillShade="F2"/>
          </w:tcPr>
          <w:p w14:paraId="0F781B1B" w14:textId="77777777" w:rsidR="00745AA5" w:rsidRPr="00963CBA" w:rsidRDefault="00745AA5" w:rsidP="00963CBA">
            <w:pPr>
              <w:spacing w:before="60" w:after="60" w:line="240" w:lineRule="auto"/>
              <w:jc w:val="center"/>
              <w:rPr>
                <w:sz w:val="18"/>
                <w:szCs w:val="18"/>
              </w:rPr>
            </w:pPr>
            <w:r w:rsidRPr="00963CBA">
              <w:rPr>
                <w:sz w:val="18"/>
                <w:szCs w:val="18"/>
                <w:lang w:val="fr-FR"/>
              </w:rPr>
              <w:t>(4)</w:t>
            </w:r>
          </w:p>
        </w:tc>
        <w:tc>
          <w:tcPr>
            <w:tcW w:w="932" w:type="dxa"/>
            <w:shd w:val="clear" w:color="auto" w:fill="F2F2F2" w:themeFill="background1" w:themeFillShade="F2"/>
          </w:tcPr>
          <w:p w14:paraId="0DB49209" w14:textId="77777777" w:rsidR="00745AA5" w:rsidRPr="00963CBA" w:rsidRDefault="00745AA5" w:rsidP="00963CBA">
            <w:pPr>
              <w:spacing w:before="60" w:after="60" w:line="240" w:lineRule="auto"/>
              <w:jc w:val="center"/>
              <w:rPr>
                <w:sz w:val="18"/>
                <w:szCs w:val="18"/>
              </w:rPr>
            </w:pPr>
            <w:r w:rsidRPr="00963CBA">
              <w:rPr>
                <w:sz w:val="18"/>
                <w:szCs w:val="18"/>
                <w:lang w:val="fr-FR"/>
              </w:rPr>
              <w:t>(5)</w:t>
            </w:r>
          </w:p>
        </w:tc>
        <w:tc>
          <w:tcPr>
            <w:tcW w:w="937" w:type="dxa"/>
            <w:shd w:val="clear" w:color="auto" w:fill="F2F2F2" w:themeFill="background1" w:themeFillShade="F2"/>
          </w:tcPr>
          <w:p w14:paraId="635311B9" w14:textId="77777777" w:rsidR="00745AA5" w:rsidRPr="00963CBA" w:rsidRDefault="00745AA5" w:rsidP="00963CBA">
            <w:pPr>
              <w:spacing w:before="60" w:after="60" w:line="240" w:lineRule="auto"/>
              <w:jc w:val="center"/>
              <w:rPr>
                <w:sz w:val="18"/>
                <w:szCs w:val="18"/>
              </w:rPr>
            </w:pPr>
            <w:r w:rsidRPr="00963CBA">
              <w:rPr>
                <w:sz w:val="18"/>
                <w:szCs w:val="18"/>
                <w:lang w:val="fr-FR"/>
              </w:rPr>
              <w:t>(6)</w:t>
            </w:r>
          </w:p>
        </w:tc>
        <w:tc>
          <w:tcPr>
            <w:tcW w:w="588" w:type="dxa"/>
            <w:shd w:val="clear" w:color="auto" w:fill="F2F2F2" w:themeFill="background1" w:themeFillShade="F2"/>
          </w:tcPr>
          <w:p w14:paraId="04DBD7BA" w14:textId="77777777" w:rsidR="00745AA5" w:rsidRPr="00963CBA" w:rsidRDefault="00745AA5" w:rsidP="00963CBA">
            <w:pPr>
              <w:spacing w:before="60" w:after="60" w:line="240" w:lineRule="auto"/>
              <w:jc w:val="center"/>
              <w:rPr>
                <w:sz w:val="18"/>
                <w:szCs w:val="18"/>
              </w:rPr>
            </w:pPr>
            <w:r w:rsidRPr="00963CBA">
              <w:rPr>
                <w:sz w:val="18"/>
                <w:szCs w:val="18"/>
                <w:lang w:val="fr-FR"/>
              </w:rPr>
              <w:t>(7a)</w:t>
            </w:r>
          </w:p>
        </w:tc>
        <w:tc>
          <w:tcPr>
            <w:tcW w:w="472" w:type="dxa"/>
            <w:shd w:val="clear" w:color="auto" w:fill="F2F2F2" w:themeFill="background1" w:themeFillShade="F2"/>
          </w:tcPr>
          <w:p w14:paraId="00EFB52B" w14:textId="77777777" w:rsidR="00745AA5" w:rsidRPr="00963CBA" w:rsidRDefault="00745AA5" w:rsidP="00963CBA">
            <w:pPr>
              <w:spacing w:before="60" w:after="60" w:line="240" w:lineRule="auto"/>
              <w:jc w:val="center"/>
              <w:rPr>
                <w:sz w:val="18"/>
                <w:szCs w:val="18"/>
              </w:rPr>
            </w:pPr>
            <w:r w:rsidRPr="00963CBA">
              <w:rPr>
                <w:sz w:val="18"/>
                <w:szCs w:val="18"/>
                <w:lang w:val="fr-FR"/>
              </w:rPr>
              <w:t>(7b)</w:t>
            </w:r>
          </w:p>
        </w:tc>
        <w:tc>
          <w:tcPr>
            <w:tcW w:w="937" w:type="dxa"/>
            <w:shd w:val="clear" w:color="auto" w:fill="F2F2F2" w:themeFill="background1" w:themeFillShade="F2"/>
          </w:tcPr>
          <w:p w14:paraId="0705E7C0" w14:textId="77777777" w:rsidR="00745AA5" w:rsidRPr="00963CBA" w:rsidRDefault="00745AA5" w:rsidP="00963CBA">
            <w:pPr>
              <w:spacing w:before="60" w:after="60" w:line="240" w:lineRule="auto"/>
              <w:jc w:val="center"/>
              <w:rPr>
                <w:sz w:val="18"/>
                <w:szCs w:val="18"/>
              </w:rPr>
            </w:pPr>
            <w:r w:rsidRPr="00963CBA">
              <w:rPr>
                <w:sz w:val="18"/>
                <w:szCs w:val="18"/>
                <w:lang w:val="fr-FR"/>
              </w:rPr>
              <w:t>(8)</w:t>
            </w:r>
          </w:p>
        </w:tc>
        <w:tc>
          <w:tcPr>
            <w:tcW w:w="940" w:type="dxa"/>
            <w:shd w:val="clear" w:color="auto" w:fill="F2F2F2" w:themeFill="background1" w:themeFillShade="F2"/>
          </w:tcPr>
          <w:p w14:paraId="08985BEA" w14:textId="77777777" w:rsidR="00745AA5" w:rsidRPr="00963CBA" w:rsidRDefault="00745AA5" w:rsidP="00963CBA">
            <w:pPr>
              <w:spacing w:before="60" w:after="60" w:line="240" w:lineRule="auto"/>
              <w:jc w:val="center"/>
              <w:rPr>
                <w:sz w:val="18"/>
                <w:szCs w:val="18"/>
              </w:rPr>
            </w:pPr>
            <w:r w:rsidRPr="00963CBA">
              <w:rPr>
                <w:sz w:val="18"/>
                <w:szCs w:val="18"/>
                <w:lang w:val="fr-FR"/>
              </w:rPr>
              <w:t>(9)</w:t>
            </w:r>
          </w:p>
        </w:tc>
      </w:tr>
      <w:tr w:rsidR="00963CBA" w:rsidRPr="00963CBA" w14:paraId="0CE3E89E" w14:textId="77777777" w:rsidTr="00963CBA">
        <w:trPr>
          <w:trHeight w:val="238"/>
          <w:jc w:val="center"/>
        </w:trPr>
        <w:tc>
          <w:tcPr>
            <w:tcW w:w="562" w:type="dxa"/>
            <w:shd w:val="clear" w:color="auto" w:fill="F2F2F2" w:themeFill="background1" w:themeFillShade="F2"/>
            <w:vAlign w:val="center"/>
          </w:tcPr>
          <w:p w14:paraId="31F162B3" w14:textId="77777777" w:rsidR="00745AA5" w:rsidRPr="00963CBA" w:rsidRDefault="00745AA5" w:rsidP="00963CBA">
            <w:pPr>
              <w:spacing w:before="60" w:after="60" w:line="240" w:lineRule="auto"/>
              <w:jc w:val="center"/>
              <w:rPr>
                <w:sz w:val="18"/>
                <w:szCs w:val="18"/>
              </w:rPr>
            </w:pPr>
            <w:r w:rsidRPr="00963CBA">
              <w:rPr>
                <w:sz w:val="18"/>
                <w:szCs w:val="18"/>
              </w:rPr>
              <w:t>-</w:t>
            </w:r>
          </w:p>
        </w:tc>
        <w:tc>
          <w:tcPr>
            <w:tcW w:w="2303" w:type="dxa"/>
            <w:shd w:val="clear" w:color="auto" w:fill="F2F2F2" w:themeFill="background1" w:themeFillShade="F2"/>
            <w:vAlign w:val="center"/>
          </w:tcPr>
          <w:p w14:paraId="14643868" w14:textId="77777777" w:rsidR="00745AA5" w:rsidRPr="00963CBA" w:rsidRDefault="00745AA5" w:rsidP="00963CBA">
            <w:pPr>
              <w:spacing w:before="60" w:after="60" w:line="240" w:lineRule="auto"/>
              <w:ind w:left="25"/>
              <w:jc w:val="center"/>
              <w:rPr>
                <w:sz w:val="18"/>
                <w:szCs w:val="18"/>
              </w:rPr>
            </w:pPr>
            <w:r w:rsidRPr="00963CBA">
              <w:rPr>
                <w:sz w:val="18"/>
                <w:szCs w:val="18"/>
                <w:lang w:val="fr-FR"/>
              </w:rPr>
              <w:t>3.1.2</w:t>
            </w:r>
          </w:p>
        </w:tc>
        <w:tc>
          <w:tcPr>
            <w:tcW w:w="952" w:type="dxa"/>
            <w:shd w:val="clear" w:color="auto" w:fill="F2F2F2" w:themeFill="background1" w:themeFillShade="F2"/>
            <w:vAlign w:val="center"/>
          </w:tcPr>
          <w:p w14:paraId="63D4BD47" w14:textId="77777777" w:rsidR="00745AA5" w:rsidRPr="00963CBA" w:rsidRDefault="00745AA5" w:rsidP="00963CBA">
            <w:pPr>
              <w:spacing w:before="60" w:after="60" w:line="240" w:lineRule="auto"/>
              <w:jc w:val="center"/>
              <w:rPr>
                <w:sz w:val="18"/>
                <w:szCs w:val="18"/>
              </w:rPr>
            </w:pPr>
            <w:r w:rsidRPr="00963CBA">
              <w:rPr>
                <w:sz w:val="18"/>
                <w:szCs w:val="18"/>
                <w:lang w:val="fr-FR"/>
              </w:rPr>
              <w:t>2.0</w:t>
            </w:r>
          </w:p>
        </w:tc>
        <w:tc>
          <w:tcPr>
            <w:tcW w:w="874" w:type="dxa"/>
            <w:shd w:val="clear" w:color="auto" w:fill="F2F2F2" w:themeFill="background1" w:themeFillShade="F2"/>
            <w:vAlign w:val="center"/>
          </w:tcPr>
          <w:p w14:paraId="736E4247" w14:textId="77777777" w:rsidR="00745AA5" w:rsidRPr="00963CBA" w:rsidRDefault="00745AA5" w:rsidP="00963CBA">
            <w:pPr>
              <w:spacing w:before="60" w:after="60" w:line="240" w:lineRule="auto"/>
              <w:jc w:val="center"/>
              <w:rPr>
                <w:sz w:val="18"/>
                <w:szCs w:val="18"/>
              </w:rPr>
            </w:pPr>
            <w:r w:rsidRPr="00963CBA">
              <w:rPr>
                <w:sz w:val="18"/>
                <w:szCs w:val="18"/>
                <w:lang w:val="fr-FR"/>
              </w:rPr>
              <w:t>2.0</w:t>
            </w:r>
          </w:p>
        </w:tc>
        <w:tc>
          <w:tcPr>
            <w:tcW w:w="932" w:type="dxa"/>
            <w:shd w:val="clear" w:color="auto" w:fill="F2F2F2" w:themeFill="background1" w:themeFillShade="F2"/>
            <w:vAlign w:val="center"/>
          </w:tcPr>
          <w:p w14:paraId="67F196CD" w14:textId="77777777" w:rsidR="00745AA5" w:rsidRPr="00963CBA" w:rsidRDefault="00745AA5" w:rsidP="00963CBA">
            <w:pPr>
              <w:spacing w:before="60" w:after="60" w:line="240" w:lineRule="auto"/>
              <w:jc w:val="center"/>
              <w:rPr>
                <w:sz w:val="18"/>
                <w:szCs w:val="18"/>
              </w:rPr>
            </w:pPr>
            <w:r w:rsidRPr="00963CBA">
              <w:rPr>
                <w:sz w:val="18"/>
                <w:szCs w:val="18"/>
                <w:lang w:val="fr-FR"/>
              </w:rPr>
              <w:t>2.0.1.3</w:t>
            </w:r>
          </w:p>
        </w:tc>
        <w:tc>
          <w:tcPr>
            <w:tcW w:w="937" w:type="dxa"/>
            <w:shd w:val="clear" w:color="auto" w:fill="F2F2F2" w:themeFill="background1" w:themeFillShade="F2"/>
            <w:vAlign w:val="center"/>
          </w:tcPr>
          <w:p w14:paraId="3A331DCD" w14:textId="77777777" w:rsidR="00745AA5" w:rsidRPr="00963CBA" w:rsidRDefault="00745AA5" w:rsidP="00963CBA">
            <w:pPr>
              <w:spacing w:before="60" w:after="60" w:line="240" w:lineRule="auto"/>
              <w:jc w:val="center"/>
              <w:rPr>
                <w:sz w:val="18"/>
                <w:szCs w:val="18"/>
              </w:rPr>
            </w:pPr>
            <w:r w:rsidRPr="00963CBA">
              <w:rPr>
                <w:sz w:val="18"/>
                <w:szCs w:val="18"/>
                <w:lang w:val="fr-FR"/>
              </w:rPr>
              <w:t>3.3</w:t>
            </w:r>
          </w:p>
        </w:tc>
        <w:tc>
          <w:tcPr>
            <w:tcW w:w="588" w:type="dxa"/>
            <w:shd w:val="clear" w:color="auto" w:fill="F2F2F2" w:themeFill="background1" w:themeFillShade="F2"/>
            <w:vAlign w:val="center"/>
          </w:tcPr>
          <w:p w14:paraId="560B0774" w14:textId="77777777" w:rsidR="00745AA5" w:rsidRPr="00963CBA" w:rsidRDefault="00745AA5" w:rsidP="00963CBA">
            <w:pPr>
              <w:spacing w:before="60" w:after="60" w:line="240" w:lineRule="auto"/>
              <w:jc w:val="center"/>
              <w:rPr>
                <w:sz w:val="18"/>
                <w:szCs w:val="18"/>
              </w:rPr>
            </w:pPr>
            <w:r w:rsidRPr="00963CBA">
              <w:rPr>
                <w:sz w:val="18"/>
                <w:szCs w:val="18"/>
                <w:lang w:val="fr-FR"/>
              </w:rPr>
              <w:t>3.4</w:t>
            </w:r>
          </w:p>
        </w:tc>
        <w:tc>
          <w:tcPr>
            <w:tcW w:w="472" w:type="dxa"/>
            <w:shd w:val="clear" w:color="auto" w:fill="F2F2F2" w:themeFill="background1" w:themeFillShade="F2"/>
            <w:vAlign w:val="center"/>
          </w:tcPr>
          <w:p w14:paraId="0029E003" w14:textId="77777777" w:rsidR="00745AA5" w:rsidRPr="00963CBA" w:rsidRDefault="00745AA5" w:rsidP="00963CBA">
            <w:pPr>
              <w:spacing w:before="60" w:after="60" w:line="240" w:lineRule="auto"/>
              <w:jc w:val="center"/>
              <w:rPr>
                <w:sz w:val="18"/>
                <w:szCs w:val="18"/>
              </w:rPr>
            </w:pPr>
            <w:r w:rsidRPr="00963CBA">
              <w:rPr>
                <w:sz w:val="18"/>
                <w:szCs w:val="18"/>
                <w:lang w:val="fr-FR"/>
              </w:rPr>
              <w:t>3.5</w:t>
            </w:r>
          </w:p>
        </w:tc>
        <w:tc>
          <w:tcPr>
            <w:tcW w:w="937" w:type="dxa"/>
            <w:shd w:val="clear" w:color="auto" w:fill="F2F2F2" w:themeFill="background1" w:themeFillShade="F2"/>
            <w:vAlign w:val="center"/>
          </w:tcPr>
          <w:p w14:paraId="618371A9" w14:textId="77777777" w:rsidR="00745AA5" w:rsidRPr="00963CBA" w:rsidRDefault="00745AA5" w:rsidP="00963CBA">
            <w:pPr>
              <w:spacing w:before="60" w:after="60" w:line="240" w:lineRule="auto"/>
              <w:jc w:val="center"/>
              <w:rPr>
                <w:sz w:val="18"/>
                <w:szCs w:val="18"/>
              </w:rPr>
            </w:pPr>
            <w:r w:rsidRPr="00963CBA">
              <w:rPr>
                <w:sz w:val="18"/>
                <w:szCs w:val="18"/>
                <w:lang w:val="fr-FR"/>
              </w:rPr>
              <w:t>4.1.4</w:t>
            </w:r>
          </w:p>
        </w:tc>
        <w:tc>
          <w:tcPr>
            <w:tcW w:w="940" w:type="dxa"/>
            <w:shd w:val="clear" w:color="auto" w:fill="F2F2F2" w:themeFill="background1" w:themeFillShade="F2"/>
            <w:vAlign w:val="center"/>
          </w:tcPr>
          <w:p w14:paraId="0AAC3E6F" w14:textId="77777777" w:rsidR="00745AA5" w:rsidRPr="00963CBA" w:rsidRDefault="00745AA5" w:rsidP="00963CBA">
            <w:pPr>
              <w:spacing w:before="60" w:after="60" w:line="240" w:lineRule="auto"/>
              <w:jc w:val="center"/>
              <w:rPr>
                <w:sz w:val="18"/>
                <w:szCs w:val="18"/>
              </w:rPr>
            </w:pPr>
            <w:r w:rsidRPr="00963CBA">
              <w:rPr>
                <w:sz w:val="18"/>
                <w:szCs w:val="18"/>
                <w:lang w:val="fr-FR"/>
              </w:rPr>
              <w:t>4.1.4</w:t>
            </w:r>
          </w:p>
        </w:tc>
      </w:tr>
      <w:tr w:rsidR="00963CBA" w:rsidRPr="00963CBA" w14:paraId="1287103C" w14:textId="77777777" w:rsidTr="00963CBA">
        <w:trPr>
          <w:trHeight w:val="238"/>
          <w:jc w:val="center"/>
        </w:trPr>
        <w:tc>
          <w:tcPr>
            <w:tcW w:w="562" w:type="dxa"/>
            <w:vAlign w:val="center"/>
          </w:tcPr>
          <w:p w14:paraId="1E5FA308" w14:textId="77777777" w:rsidR="00745AA5" w:rsidRPr="00963CBA" w:rsidRDefault="00745AA5" w:rsidP="00963CBA">
            <w:pPr>
              <w:spacing w:before="60" w:after="60" w:line="240" w:lineRule="auto"/>
              <w:jc w:val="center"/>
              <w:rPr>
                <w:sz w:val="18"/>
                <w:szCs w:val="18"/>
              </w:rPr>
            </w:pPr>
            <w:r w:rsidRPr="00963CBA">
              <w:rPr>
                <w:sz w:val="18"/>
                <w:szCs w:val="18"/>
                <w:lang w:val="fr-FR"/>
              </w:rPr>
              <w:t>2990</w:t>
            </w:r>
          </w:p>
        </w:tc>
        <w:tc>
          <w:tcPr>
            <w:tcW w:w="2303" w:type="dxa"/>
            <w:vAlign w:val="center"/>
          </w:tcPr>
          <w:p w14:paraId="55FE3522" w14:textId="77777777" w:rsidR="00745AA5" w:rsidRPr="00963CBA" w:rsidRDefault="00745AA5" w:rsidP="00963CBA">
            <w:pPr>
              <w:spacing w:before="60" w:after="60" w:line="240" w:lineRule="auto"/>
              <w:ind w:left="25"/>
              <w:rPr>
                <w:sz w:val="18"/>
                <w:szCs w:val="18"/>
              </w:rPr>
            </w:pPr>
            <w:r w:rsidRPr="00963CBA">
              <w:rPr>
                <w:sz w:val="18"/>
                <w:szCs w:val="18"/>
                <w:lang w:val="fr-FR"/>
              </w:rPr>
              <w:t>ENGINS DE SAUVETAGE AUTOGONFLABLES</w:t>
            </w:r>
          </w:p>
        </w:tc>
        <w:tc>
          <w:tcPr>
            <w:tcW w:w="952" w:type="dxa"/>
            <w:vAlign w:val="center"/>
          </w:tcPr>
          <w:p w14:paraId="14494148" w14:textId="77777777" w:rsidR="00745AA5" w:rsidRPr="00963CBA" w:rsidRDefault="00745AA5" w:rsidP="00963CBA">
            <w:pPr>
              <w:spacing w:before="60" w:after="60" w:line="240" w:lineRule="auto"/>
              <w:jc w:val="center"/>
              <w:rPr>
                <w:sz w:val="18"/>
                <w:szCs w:val="18"/>
              </w:rPr>
            </w:pPr>
            <w:r w:rsidRPr="00963CBA">
              <w:rPr>
                <w:sz w:val="18"/>
                <w:szCs w:val="18"/>
                <w:lang w:val="fr-FR"/>
              </w:rPr>
              <w:t>9</w:t>
            </w:r>
          </w:p>
        </w:tc>
        <w:tc>
          <w:tcPr>
            <w:tcW w:w="874" w:type="dxa"/>
            <w:vAlign w:val="center"/>
          </w:tcPr>
          <w:p w14:paraId="595A1828" w14:textId="77777777" w:rsidR="00745AA5" w:rsidRPr="00963CBA" w:rsidRDefault="00745AA5" w:rsidP="00963CBA">
            <w:pPr>
              <w:spacing w:before="60" w:after="60" w:line="240" w:lineRule="auto"/>
              <w:jc w:val="center"/>
              <w:rPr>
                <w:sz w:val="18"/>
                <w:szCs w:val="18"/>
              </w:rPr>
            </w:pPr>
          </w:p>
        </w:tc>
        <w:tc>
          <w:tcPr>
            <w:tcW w:w="932" w:type="dxa"/>
            <w:vAlign w:val="center"/>
          </w:tcPr>
          <w:p w14:paraId="705DAECA" w14:textId="77777777" w:rsidR="00745AA5" w:rsidRPr="00963CBA" w:rsidRDefault="00745AA5" w:rsidP="00963CBA">
            <w:pPr>
              <w:spacing w:before="60" w:after="60" w:line="240" w:lineRule="auto"/>
              <w:jc w:val="center"/>
              <w:rPr>
                <w:sz w:val="18"/>
                <w:szCs w:val="18"/>
              </w:rPr>
            </w:pPr>
          </w:p>
        </w:tc>
        <w:tc>
          <w:tcPr>
            <w:tcW w:w="937" w:type="dxa"/>
            <w:vAlign w:val="center"/>
          </w:tcPr>
          <w:p w14:paraId="550769AD" w14:textId="77777777" w:rsidR="00745AA5" w:rsidRPr="00963CBA" w:rsidRDefault="00745AA5" w:rsidP="00963CBA">
            <w:pPr>
              <w:spacing w:before="60" w:after="60" w:line="240" w:lineRule="auto"/>
              <w:jc w:val="center"/>
              <w:rPr>
                <w:sz w:val="18"/>
                <w:szCs w:val="18"/>
              </w:rPr>
            </w:pPr>
            <w:r w:rsidRPr="00963CBA">
              <w:rPr>
                <w:sz w:val="18"/>
                <w:szCs w:val="18"/>
                <w:lang w:val="fr-FR"/>
              </w:rPr>
              <w:t>296</w:t>
            </w:r>
          </w:p>
        </w:tc>
        <w:tc>
          <w:tcPr>
            <w:tcW w:w="588" w:type="dxa"/>
            <w:vAlign w:val="center"/>
          </w:tcPr>
          <w:p w14:paraId="186DFA13" w14:textId="77777777" w:rsidR="00745AA5" w:rsidRPr="00963CBA" w:rsidRDefault="00745AA5" w:rsidP="00963CBA">
            <w:pPr>
              <w:spacing w:before="60" w:after="60" w:line="240" w:lineRule="auto"/>
              <w:jc w:val="center"/>
              <w:rPr>
                <w:sz w:val="18"/>
                <w:szCs w:val="18"/>
              </w:rPr>
            </w:pPr>
            <w:r w:rsidRPr="00963CBA">
              <w:rPr>
                <w:sz w:val="18"/>
                <w:szCs w:val="18"/>
                <w:lang w:val="fr-FR"/>
              </w:rPr>
              <w:t>0</w:t>
            </w:r>
          </w:p>
        </w:tc>
        <w:tc>
          <w:tcPr>
            <w:tcW w:w="472" w:type="dxa"/>
            <w:vAlign w:val="center"/>
          </w:tcPr>
          <w:p w14:paraId="4E1F77C7" w14:textId="77777777" w:rsidR="00745AA5" w:rsidRPr="00963CBA" w:rsidRDefault="00745AA5" w:rsidP="00963CBA">
            <w:pPr>
              <w:spacing w:before="60" w:after="60" w:line="240" w:lineRule="auto"/>
              <w:jc w:val="center"/>
              <w:rPr>
                <w:sz w:val="18"/>
                <w:szCs w:val="18"/>
              </w:rPr>
            </w:pPr>
            <w:r w:rsidRPr="00963CBA">
              <w:rPr>
                <w:sz w:val="18"/>
                <w:szCs w:val="18"/>
                <w:lang w:val="fr-FR"/>
              </w:rPr>
              <w:t>E0</w:t>
            </w:r>
          </w:p>
        </w:tc>
        <w:tc>
          <w:tcPr>
            <w:tcW w:w="937" w:type="dxa"/>
            <w:vAlign w:val="center"/>
          </w:tcPr>
          <w:p w14:paraId="2842F512" w14:textId="77777777" w:rsidR="00745AA5" w:rsidRPr="00963CBA" w:rsidRDefault="00745AA5" w:rsidP="00963CBA">
            <w:pPr>
              <w:spacing w:before="60" w:after="60" w:line="240" w:lineRule="auto"/>
              <w:jc w:val="center"/>
              <w:rPr>
                <w:sz w:val="18"/>
                <w:szCs w:val="18"/>
              </w:rPr>
            </w:pPr>
            <w:r w:rsidRPr="00963CBA">
              <w:rPr>
                <w:sz w:val="18"/>
                <w:szCs w:val="18"/>
                <w:lang w:val="fr-FR"/>
              </w:rPr>
              <w:t>P905</w:t>
            </w:r>
          </w:p>
        </w:tc>
        <w:tc>
          <w:tcPr>
            <w:tcW w:w="940" w:type="dxa"/>
            <w:vAlign w:val="center"/>
          </w:tcPr>
          <w:p w14:paraId="2BC07CF8" w14:textId="77777777" w:rsidR="00745AA5" w:rsidRPr="00963CBA" w:rsidRDefault="00745AA5" w:rsidP="00963CBA">
            <w:pPr>
              <w:spacing w:before="60" w:after="60" w:line="240" w:lineRule="auto"/>
              <w:jc w:val="center"/>
              <w:rPr>
                <w:sz w:val="18"/>
                <w:szCs w:val="18"/>
              </w:rPr>
            </w:pPr>
          </w:p>
        </w:tc>
      </w:tr>
      <w:tr w:rsidR="00963CBA" w:rsidRPr="00963CBA" w14:paraId="056CFAE3" w14:textId="77777777" w:rsidTr="00963CBA">
        <w:trPr>
          <w:trHeight w:val="238"/>
          <w:jc w:val="center"/>
        </w:trPr>
        <w:tc>
          <w:tcPr>
            <w:tcW w:w="562" w:type="dxa"/>
            <w:vAlign w:val="center"/>
          </w:tcPr>
          <w:p w14:paraId="628694FA" w14:textId="77777777" w:rsidR="00745AA5" w:rsidRPr="00963CBA" w:rsidRDefault="00745AA5" w:rsidP="00963CBA">
            <w:pPr>
              <w:spacing w:before="60" w:after="60" w:line="240" w:lineRule="auto"/>
              <w:jc w:val="center"/>
              <w:rPr>
                <w:sz w:val="18"/>
                <w:szCs w:val="18"/>
              </w:rPr>
            </w:pPr>
            <w:r w:rsidRPr="00963CBA">
              <w:rPr>
                <w:sz w:val="18"/>
                <w:szCs w:val="18"/>
                <w:lang w:val="fr-FR"/>
              </w:rPr>
              <w:t>3268</w:t>
            </w:r>
          </w:p>
        </w:tc>
        <w:tc>
          <w:tcPr>
            <w:tcW w:w="2303" w:type="dxa"/>
            <w:vAlign w:val="center"/>
          </w:tcPr>
          <w:p w14:paraId="600E2A16" w14:textId="77777777" w:rsidR="00745AA5" w:rsidRPr="00963CBA" w:rsidRDefault="00745AA5" w:rsidP="00963CBA">
            <w:pPr>
              <w:spacing w:before="60" w:after="60" w:line="240" w:lineRule="auto"/>
              <w:ind w:left="25"/>
              <w:rPr>
                <w:sz w:val="18"/>
                <w:szCs w:val="18"/>
                <w:lang w:val="fr-FR"/>
              </w:rPr>
            </w:pPr>
            <w:r w:rsidRPr="00963CBA">
              <w:rPr>
                <w:sz w:val="18"/>
                <w:szCs w:val="18"/>
                <w:lang w:val="fr-FR"/>
              </w:rPr>
              <w:t>DISPOSITIFS DE SÉCURITÉ à amorçage électrique</w:t>
            </w:r>
          </w:p>
        </w:tc>
        <w:tc>
          <w:tcPr>
            <w:tcW w:w="952" w:type="dxa"/>
            <w:vAlign w:val="center"/>
          </w:tcPr>
          <w:p w14:paraId="1A718415" w14:textId="77777777" w:rsidR="00745AA5" w:rsidRPr="00963CBA" w:rsidRDefault="00745AA5" w:rsidP="00963CBA">
            <w:pPr>
              <w:spacing w:before="60" w:after="60" w:line="240" w:lineRule="auto"/>
              <w:jc w:val="center"/>
              <w:rPr>
                <w:sz w:val="18"/>
                <w:szCs w:val="18"/>
              </w:rPr>
            </w:pPr>
            <w:r w:rsidRPr="00963CBA">
              <w:rPr>
                <w:sz w:val="18"/>
                <w:szCs w:val="18"/>
                <w:lang w:val="fr-FR"/>
              </w:rPr>
              <w:t>9</w:t>
            </w:r>
          </w:p>
        </w:tc>
        <w:tc>
          <w:tcPr>
            <w:tcW w:w="874" w:type="dxa"/>
            <w:vAlign w:val="center"/>
          </w:tcPr>
          <w:p w14:paraId="0FE4D74C" w14:textId="77777777" w:rsidR="00745AA5" w:rsidRPr="00963CBA" w:rsidRDefault="00745AA5" w:rsidP="00963CBA">
            <w:pPr>
              <w:spacing w:before="60" w:after="60" w:line="240" w:lineRule="auto"/>
              <w:jc w:val="center"/>
              <w:rPr>
                <w:sz w:val="18"/>
                <w:szCs w:val="18"/>
              </w:rPr>
            </w:pPr>
          </w:p>
        </w:tc>
        <w:tc>
          <w:tcPr>
            <w:tcW w:w="932" w:type="dxa"/>
            <w:vAlign w:val="center"/>
          </w:tcPr>
          <w:p w14:paraId="592444E4" w14:textId="77777777" w:rsidR="00745AA5" w:rsidRPr="00963CBA" w:rsidRDefault="00745AA5" w:rsidP="00963CBA">
            <w:pPr>
              <w:spacing w:before="60" w:after="60" w:line="240" w:lineRule="auto"/>
              <w:jc w:val="center"/>
              <w:rPr>
                <w:sz w:val="18"/>
                <w:szCs w:val="18"/>
              </w:rPr>
            </w:pPr>
          </w:p>
        </w:tc>
        <w:tc>
          <w:tcPr>
            <w:tcW w:w="937" w:type="dxa"/>
            <w:vAlign w:val="center"/>
          </w:tcPr>
          <w:p w14:paraId="5F73C734" w14:textId="77777777" w:rsidR="00745AA5" w:rsidRPr="00963CBA" w:rsidRDefault="00745AA5" w:rsidP="00963CBA">
            <w:pPr>
              <w:spacing w:before="60" w:after="60" w:line="240" w:lineRule="auto"/>
              <w:jc w:val="center"/>
              <w:rPr>
                <w:sz w:val="18"/>
                <w:szCs w:val="18"/>
              </w:rPr>
            </w:pPr>
            <w:r w:rsidRPr="00963CBA">
              <w:rPr>
                <w:sz w:val="18"/>
                <w:szCs w:val="18"/>
                <w:lang w:val="fr-FR"/>
              </w:rPr>
              <w:t>280</w:t>
            </w:r>
          </w:p>
          <w:p w14:paraId="77ADF0B3" w14:textId="77777777" w:rsidR="00745AA5" w:rsidRPr="00963CBA" w:rsidRDefault="00745AA5" w:rsidP="00963CBA">
            <w:pPr>
              <w:spacing w:before="60" w:after="60" w:line="240" w:lineRule="auto"/>
              <w:jc w:val="center"/>
              <w:rPr>
                <w:sz w:val="18"/>
                <w:szCs w:val="18"/>
              </w:rPr>
            </w:pPr>
            <w:r w:rsidRPr="00963CBA">
              <w:rPr>
                <w:sz w:val="18"/>
                <w:szCs w:val="18"/>
                <w:lang w:val="fr-FR"/>
              </w:rPr>
              <w:t>289</w:t>
            </w:r>
          </w:p>
        </w:tc>
        <w:tc>
          <w:tcPr>
            <w:tcW w:w="588" w:type="dxa"/>
            <w:vAlign w:val="center"/>
          </w:tcPr>
          <w:p w14:paraId="66F808EC" w14:textId="77777777" w:rsidR="00745AA5" w:rsidRPr="00963CBA" w:rsidRDefault="00745AA5" w:rsidP="00963CBA">
            <w:pPr>
              <w:spacing w:before="60" w:after="60" w:line="240" w:lineRule="auto"/>
              <w:jc w:val="center"/>
              <w:rPr>
                <w:sz w:val="18"/>
                <w:szCs w:val="18"/>
              </w:rPr>
            </w:pPr>
            <w:r w:rsidRPr="00963CBA">
              <w:rPr>
                <w:sz w:val="18"/>
                <w:szCs w:val="18"/>
                <w:lang w:val="fr-FR"/>
              </w:rPr>
              <w:t>0</w:t>
            </w:r>
          </w:p>
        </w:tc>
        <w:tc>
          <w:tcPr>
            <w:tcW w:w="472" w:type="dxa"/>
            <w:vAlign w:val="center"/>
          </w:tcPr>
          <w:p w14:paraId="547B365A" w14:textId="77777777" w:rsidR="00745AA5" w:rsidRPr="00963CBA" w:rsidRDefault="00745AA5" w:rsidP="00963CBA">
            <w:pPr>
              <w:spacing w:before="60" w:after="60" w:line="240" w:lineRule="auto"/>
              <w:jc w:val="center"/>
              <w:rPr>
                <w:sz w:val="18"/>
                <w:szCs w:val="18"/>
              </w:rPr>
            </w:pPr>
            <w:r w:rsidRPr="00963CBA">
              <w:rPr>
                <w:sz w:val="18"/>
                <w:szCs w:val="18"/>
                <w:lang w:val="fr-FR"/>
              </w:rPr>
              <w:t>E0</w:t>
            </w:r>
          </w:p>
        </w:tc>
        <w:tc>
          <w:tcPr>
            <w:tcW w:w="937" w:type="dxa"/>
            <w:vAlign w:val="center"/>
          </w:tcPr>
          <w:p w14:paraId="15E0F4C3" w14:textId="77777777" w:rsidR="00745AA5" w:rsidRPr="00963CBA" w:rsidRDefault="00745AA5" w:rsidP="00963CBA">
            <w:pPr>
              <w:spacing w:before="60" w:after="60" w:line="240" w:lineRule="auto"/>
              <w:jc w:val="center"/>
              <w:rPr>
                <w:sz w:val="18"/>
                <w:szCs w:val="18"/>
              </w:rPr>
            </w:pPr>
            <w:r w:rsidRPr="00963CBA">
              <w:rPr>
                <w:sz w:val="18"/>
                <w:szCs w:val="18"/>
                <w:lang w:val="fr-FR"/>
              </w:rPr>
              <w:t>P902</w:t>
            </w:r>
          </w:p>
          <w:p w14:paraId="721A9D0D" w14:textId="77777777" w:rsidR="00745AA5" w:rsidRPr="00963CBA" w:rsidRDefault="00745AA5" w:rsidP="00963CBA">
            <w:pPr>
              <w:spacing w:before="60" w:after="60" w:line="240" w:lineRule="auto"/>
              <w:jc w:val="center"/>
              <w:rPr>
                <w:sz w:val="18"/>
                <w:szCs w:val="18"/>
              </w:rPr>
            </w:pPr>
            <w:r w:rsidRPr="00963CBA">
              <w:rPr>
                <w:sz w:val="18"/>
                <w:szCs w:val="18"/>
                <w:lang w:val="fr-FR"/>
              </w:rPr>
              <w:t>LP902</w:t>
            </w:r>
          </w:p>
        </w:tc>
        <w:tc>
          <w:tcPr>
            <w:tcW w:w="940" w:type="dxa"/>
            <w:vAlign w:val="center"/>
          </w:tcPr>
          <w:p w14:paraId="0207EF1E" w14:textId="77777777" w:rsidR="00745AA5" w:rsidRPr="00963CBA" w:rsidRDefault="00745AA5" w:rsidP="00963CBA">
            <w:pPr>
              <w:spacing w:before="60" w:after="60" w:line="240" w:lineRule="auto"/>
              <w:jc w:val="center"/>
              <w:rPr>
                <w:sz w:val="18"/>
                <w:szCs w:val="18"/>
              </w:rPr>
            </w:pPr>
          </w:p>
        </w:tc>
      </w:tr>
    </w:tbl>
    <w:p w14:paraId="40E197A8" w14:textId="77777777" w:rsidR="00745AA5" w:rsidRPr="00AF0FAE" w:rsidRDefault="00745AA5" w:rsidP="00745AA5">
      <w:pPr>
        <w:spacing w:line="240" w:lineRule="auto"/>
        <w:rPr>
          <w:lang w:val="it-IT"/>
        </w:rPr>
      </w:pPr>
    </w:p>
    <w:p w14:paraId="2983D38D" w14:textId="77777777" w:rsidR="00745AA5" w:rsidRPr="00D51792" w:rsidRDefault="00745AA5" w:rsidP="00745AA5">
      <w:pPr>
        <w:pStyle w:val="SingleTxtG"/>
        <w:rPr>
          <w:lang w:val="fr-FR"/>
        </w:rPr>
      </w:pPr>
      <w:r>
        <w:rPr>
          <w:lang w:val="fr-FR"/>
        </w:rPr>
        <w:t>7.</w:t>
      </w:r>
      <w:r>
        <w:rPr>
          <w:lang w:val="fr-FR"/>
        </w:rPr>
        <w:tab/>
        <w:t>Dans les deux cas, la présence de matières appartenant à la division 1.4 S, est autorisée, à condition qu’une épreuve 6 c), ait été effectuée. En outre, ces deux objets peuvent être transportés sans restrictions, mais dans des conditions différentes.</w:t>
      </w:r>
    </w:p>
    <w:p w14:paraId="41579660" w14:textId="77777777" w:rsidR="00745AA5" w:rsidRPr="00D51792" w:rsidRDefault="00745AA5" w:rsidP="00745AA5">
      <w:pPr>
        <w:pStyle w:val="SingleTxtG"/>
        <w:spacing w:before="120"/>
        <w:rPr>
          <w:lang w:val="fr-FR"/>
        </w:rPr>
      </w:pPr>
      <w:r>
        <w:rPr>
          <w:lang w:val="fr-FR"/>
        </w:rPr>
        <w:t xml:space="preserve">Conformément à la disposition spéciale 296, affectée au No ONU 2990, les engins de sauvetage </w:t>
      </w:r>
      <w:proofErr w:type="spellStart"/>
      <w:r>
        <w:rPr>
          <w:lang w:val="fr-FR"/>
        </w:rPr>
        <w:t>autogonflables</w:t>
      </w:r>
      <w:proofErr w:type="spellEnd"/>
      <w:r>
        <w:rPr>
          <w:lang w:val="fr-FR"/>
        </w:rPr>
        <w:t xml:space="preserve"> ne sont soumis à aucune autre disposition du Règlement type à condition qu’ils soient placés dans un emballage extérieur robuste d’une masse maximale de 40 kg. Ils peuvent également contenir des articles de différentes classes, notamment des piles au lithium (classe 9), des cartouches pour </w:t>
      </w:r>
      <w:proofErr w:type="spellStart"/>
      <w:r>
        <w:rPr>
          <w:lang w:val="fr-FR"/>
        </w:rPr>
        <w:t>pyromécanismes</w:t>
      </w:r>
      <w:proofErr w:type="spellEnd"/>
      <w:r>
        <w:rPr>
          <w:lang w:val="fr-FR"/>
        </w:rPr>
        <w:t xml:space="preserve"> de la division 1.4 S d’une masse ne dépassant pas 3,2 g et des gaz comprimés ou liquéfiés (division 2.2) d’une capacité ne dépassant pas 120 ml.</w:t>
      </w:r>
    </w:p>
    <w:p w14:paraId="5830A5A8" w14:textId="77777777" w:rsidR="00745AA5" w:rsidRPr="00D51792" w:rsidRDefault="00745AA5" w:rsidP="00745AA5">
      <w:pPr>
        <w:pStyle w:val="SingleTxtG"/>
        <w:spacing w:before="120"/>
        <w:rPr>
          <w:lang w:val="fr-FR"/>
        </w:rPr>
      </w:pPr>
      <w:r>
        <w:rPr>
          <w:lang w:val="fr-FR"/>
        </w:rPr>
        <w:t>Conformément à la disposition spéciale 289, affectée au No ONU 3268, les dispositifs de sécurité peuvent être transportés sans restrictions s’ils sont montés sur des véhicules ou sur des sous-ensembles tels que des portes, des sièges ou des colonnes de direction.</w:t>
      </w:r>
    </w:p>
    <w:p w14:paraId="5D50147E" w14:textId="77777777" w:rsidR="00745AA5" w:rsidRPr="00D51792" w:rsidRDefault="00745AA5" w:rsidP="00745AA5">
      <w:pPr>
        <w:pStyle w:val="HChG"/>
        <w:rPr>
          <w:lang w:val="fr-FR"/>
        </w:rPr>
      </w:pPr>
      <w:bookmarkStart w:id="0" w:name="_Hlk162434866"/>
      <w:r>
        <w:rPr>
          <w:bCs/>
          <w:lang w:val="fr-FR"/>
        </w:rPr>
        <w:tab/>
        <w:t>III.</w:t>
      </w:r>
      <w:r>
        <w:rPr>
          <w:lang w:val="fr-FR"/>
        </w:rPr>
        <w:tab/>
      </w:r>
      <w:r>
        <w:rPr>
          <w:bCs/>
          <w:lang w:val="fr-FR"/>
        </w:rPr>
        <w:t>Proposition</w:t>
      </w:r>
    </w:p>
    <w:p w14:paraId="642F0647" w14:textId="77777777" w:rsidR="00745AA5" w:rsidRPr="00D51792" w:rsidRDefault="00745AA5" w:rsidP="00745AA5">
      <w:pPr>
        <w:pStyle w:val="SingleTxtG"/>
        <w:rPr>
          <w:lang w:val="fr-FR"/>
        </w:rPr>
      </w:pPr>
      <w:r>
        <w:rPr>
          <w:lang w:val="fr-FR"/>
        </w:rPr>
        <w:t>8.</w:t>
      </w:r>
      <w:r>
        <w:rPr>
          <w:lang w:val="fr-FR"/>
        </w:rPr>
        <w:tab/>
        <w:t>Étant donné que les dispositions spéciales 296 et 289 prévoient déjà une exemption qui vise expressément les Nos ONU 2990 et 3268, une modification partielle de ces dispositions permettrait de couvrir les coussins gonflables portables.</w:t>
      </w:r>
    </w:p>
    <w:bookmarkEnd w:id="0"/>
    <w:p w14:paraId="7B10D032" w14:textId="77777777" w:rsidR="00745AA5" w:rsidRPr="00D51792" w:rsidRDefault="00745AA5" w:rsidP="00745AA5">
      <w:pPr>
        <w:pStyle w:val="SingleTxtG"/>
        <w:rPr>
          <w:lang w:val="fr-FR"/>
        </w:rPr>
      </w:pPr>
      <w:r>
        <w:rPr>
          <w:lang w:val="fr-FR"/>
        </w:rPr>
        <w:t>9.</w:t>
      </w:r>
      <w:r>
        <w:rPr>
          <w:lang w:val="fr-FR"/>
        </w:rPr>
        <w:tab/>
        <w:t>Les deux options ci-après sont proposées.</w:t>
      </w:r>
    </w:p>
    <w:p w14:paraId="4F0FF869" w14:textId="77777777" w:rsidR="00745AA5" w:rsidRPr="00D51792" w:rsidRDefault="00745AA5" w:rsidP="00745AA5">
      <w:pPr>
        <w:pStyle w:val="H23G"/>
        <w:rPr>
          <w:lang w:val="fr-FR"/>
        </w:rPr>
      </w:pPr>
      <w:r>
        <w:rPr>
          <w:lang w:val="fr-FR"/>
        </w:rPr>
        <w:tab/>
      </w:r>
      <w:r>
        <w:rPr>
          <w:lang w:val="fr-FR"/>
        </w:rPr>
        <w:tab/>
      </w:r>
      <w:r>
        <w:rPr>
          <w:bCs/>
          <w:lang w:val="fr-FR"/>
        </w:rPr>
        <w:t>Option 1</w:t>
      </w:r>
    </w:p>
    <w:p w14:paraId="32B9C3DD" w14:textId="77777777" w:rsidR="00745AA5" w:rsidRPr="00D51792" w:rsidRDefault="00745AA5" w:rsidP="00745AA5">
      <w:pPr>
        <w:pStyle w:val="SingleTxtG"/>
        <w:spacing w:before="120"/>
        <w:ind w:left="1701" w:hanging="567"/>
        <w:rPr>
          <w:lang w:val="fr-FR"/>
        </w:rPr>
      </w:pPr>
      <w:r>
        <w:rPr>
          <w:lang w:val="fr-FR"/>
        </w:rPr>
        <w:t>10.</w:t>
      </w:r>
      <w:r>
        <w:rPr>
          <w:lang w:val="fr-FR"/>
        </w:rPr>
        <w:tab/>
        <w:t xml:space="preserve">Ajouter un nouveau paragraphe à la fin de la disposition spéciale 296 comme suit (les ajouts sont </w:t>
      </w:r>
      <w:r>
        <w:rPr>
          <w:u w:val="single"/>
          <w:lang w:val="fr-FR"/>
        </w:rPr>
        <w:t>soulignés</w:t>
      </w:r>
      <w:r>
        <w:rPr>
          <w:lang w:val="fr-FR"/>
        </w:rPr>
        <w:t>) :</w:t>
      </w:r>
    </w:p>
    <w:p w14:paraId="1B9BC875" w14:textId="77777777" w:rsidR="00745AA5" w:rsidRPr="00D51792" w:rsidRDefault="00745AA5" w:rsidP="00745AA5">
      <w:pPr>
        <w:pStyle w:val="SingleTxtG"/>
        <w:ind w:left="1701"/>
        <w:rPr>
          <w:lang w:val="fr-FR"/>
        </w:rPr>
      </w:pPr>
      <w:r>
        <w:rPr>
          <w:lang w:val="fr-FR"/>
        </w:rPr>
        <w:t>«  [...] Les engins de sauvetage emballés dans un emballage extérieur rigide robuste d’une masse brute totale maximale de 40 kg, ne contenant pas de marchandises dangereuses autres que des gaz comprimés ou liquéfiés de la division 2.2 sans danger subsidiaire, dans des récipients d’une capacité ne dépassant pas 120 ml et montés uniquement aux fins du déclenchement de l’engin, ne sont pas soumis aux dispositions du présent Règlement.</w:t>
      </w:r>
    </w:p>
    <w:p w14:paraId="4265FBCF" w14:textId="77777777" w:rsidR="00745AA5" w:rsidRPr="00D51792" w:rsidRDefault="00745AA5" w:rsidP="00745AA5">
      <w:pPr>
        <w:pStyle w:val="SingleTxtG"/>
        <w:ind w:left="1701"/>
        <w:rPr>
          <w:u w:val="single"/>
          <w:lang w:val="fr-FR"/>
        </w:rPr>
      </w:pPr>
      <w:r>
        <w:rPr>
          <w:u w:val="single"/>
          <w:lang w:val="fr-FR"/>
        </w:rPr>
        <w:t>Les coussins gonflables portables placés dans un emballage extérieur robuste d’une masse brute totale maximale de 25 kg, ne contenant pas de marchandises dangereuses autres que :</w:t>
      </w:r>
    </w:p>
    <w:p w14:paraId="3E56CB4F" w14:textId="77777777" w:rsidR="00790D7C" w:rsidRPr="00790D7C" w:rsidRDefault="00745AA5" w:rsidP="00790D7C">
      <w:pPr>
        <w:pStyle w:val="Bullet2G"/>
        <w:rPr>
          <w:rFonts w:eastAsia="MS Mincho"/>
          <w:lang w:val="fr-FR"/>
        </w:rPr>
      </w:pPr>
      <w:r>
        <w:rPr>
          <w:lang w:val="fr-FR"/>
        </w:rPr>
        <w:lastRenderedPageBreak/>
        <w:t>Des gaz comprimés ou liquéfiés de la division 2.2 sans danger subsidiaire, dans des récipients d’une capacité ne dépassant pas 120 ml et montés uniquement aux fins du déclenchement de l’engin et</w:t>
      </w:r>
    </w:p>
    <w:p w14:paraId="2BE1652E" w14:textId="7D579DBB" w:rsidR="00745AA5" w:rsidRPr="00790D7C" w:rsidRDefault="00745AA5" w:rsidP="00790D7C">
      <w:pPr>
        <w:pStyle w:val="Bullet2G"/>
        <w:rPr>
          <w:rFonts w:eastAsia="MS Mincho"/>
          <w:lang w:val="fr-FR"/>
        </w:rPr>
      </w:pPr>
      <w:r w:rsidRPr="00790D7C">
        <w:rPr>
          <w:u w:val="single"/>
          <w:lang w:val="fr-FR"/>
        </w:rPr>
        <w:t>Des matières pyrotechniques classées dans la division 1.4 S, d’une masse ne dépassant pas 600 mg par cartouche, avec un maximum de deux cartouches par article,</w:t>
      </w:r>
      <w:r w:rsidR="00790D7C">
        <w:rPr>
          <w:u w:val="single"/>
          <w:lang w:val="fr-FR"/>
        </w:rPr>
        <w:t xml:space="preserve"> </w:t>
      </w:r>
      <w:r w:rsidRPr="00790D7C">
        <w:rPr>
          <w:u w:val="single"/>
          <w:lang w:val="fr-FR"/>
        </w:rPr>
        <w:t>ne sont pas soumis aux dispositions du présent Règlement.</w:t>
      </w:r>
      <w:r w:rsidRPr="00790D7C">
        <w:rPr>
          <w:lang w:val="fr-FR"/>
        </w:rPr>
        <w:t> ».</w:t>
      </w:r>
    </w:p>
    <w:p w14:paraId="00F367FD" w14:textId="77777777" w:rsidR="00745AA5" w:rsidRPr="00D51792" w:rsidRDefault="00745AA5" w:rsidP="00745AA5">
      <w:pPr>
        <w:pStyle w:val="H23G"/>
        <w:rPr>
          <w:lang w:val="fr-FR"/>
        </w:rPr>
      </w:pPr>
      <w:r>
        <w:rPr>
          <w:lang w:val="fr-FR"/>
        </w:rPr>
        <w:tab/>
      </w:r>
      <w:r>
        <w:rPr>
          <w:lang w:val="fr-FR"/>
        </w:rPr>
        <w:tab/>
      </w:r>
      <w:r>
        <w:rPr>
          <w:bCs/>
          <w:lang w:val="fr-FR"/>
        </w:rPr>
        <w:t>Option 2</w:t>
      </w:r>
    </w:p>
    <w:p w14:paraId="14E8F2F6" w14:textId="77777777" w:rsidR="00745AA5" w:rsidRPr="00D51792" w:rsidRDefault="00745AA5" w:rsidP="00790D7C">
      <w:pPr>
        <w:pStyle w:val="SingleTxtG"/>
        <w:keepNext/>
        <w:spacing w:before="120"/>
        <w:rPr>
          <w:lang w:val="fr-FR"/>
        </w:rPr>
      </w:pPr>
      <w:r>
        <w:rPr>
          <w:lang w:val="fr-FR"/>
        </w:rPr>
        <w:t>11.</w:t>
      </w:r>
      <w:r>
        <w:rPr>
          <w:lang w:val="fr-FR"/>
        </w:rPr>
        <w:tab/>
        <w:t xml:space="preserve">Ajouter un nouveau paragraphe à la fin de la disposition spéciale 289 comme suit (les ajouts sont </w:t>
      </w:r>
      <w:r>
        <w:rPr>
          <w:u w:val="single"/>
          <w:lang w:val="fr-FR"/>
        </w:rPr>
        <w:t>soulignés</w:t>
      </w:r>
      <w:r>
        <w:rPr>
          <w:lang w:val="fr-FR"/>
        </w:rPr>
        <w:t>) :</w:t>
      </w:r>
    </w:p>
    <w:p w14:paraId="47BD74A0" w14:textId="77777777" w:rsidR="00745AA5" w:rsidRPr="00D51792" w:rsidRDefault="00745AA5" w:rsidP="00745AA5">
      <w:pPr>
        <w:pStyle w:val="SingleTxtG"/>
        <w:ind w:left="1701"/>
        <w:rPr>
          <w:lang w:val="fr-FR"/>
        </w:rPr>
      </w:pPr>
      <w:r>
        <w:rPr>
          <w:lang w:val="fr-FR"/>
        </w:rPr>
        <w:t>« Les dispositifs de sécurité à amorçage électrique et les dispositifs pyrotechniques de sécurité montés sur des véhicules, des bateaux ou des aéronefs ou sur des sous-ensembles tels que colonnes de direction, panneaux de porte, sièges, etc., ne sont pas soumis au présent Règlement.</w:t>
      </w:r>
    </w:p>
    <w:p w14:paraId="4A2FF860" w14:textId="77777777" w:rsidR="00745AA5" w:rsidRPr="00D51792" w:rsidRDefault="00745AA5" w:rsidP="00745AA5">
      <w:pPr>
        <w:pStyle w:val="SingleTxtG"/>
        <w:ind w:left="1701"/>
        <w:rPr>
          <w:u w:val="single"/>
          <w:lang w:val="fr-FR"/>
        </w:rPr>
      </w:pPr>
      <w:r>
        <w:rPr>
          <w:u w:val="single"/>
          <w:lang w:val="fr-FR"/>
        </w:rPr>
        <w:t>Les coussins gonflables portables placés dans un emballage extérieur robuste d’une masse brute totale maximale de 25 kg, ne contenant pas de marchandises dangereuses autres que :</w:t>
      </w:r>
    </w:p>
    <w:p w14:paraId="2D585FBB" w14:textId="59F45543" w:rsidR="00745AA5" w:rsidRPr="00790D7C" w:rsidRDefault="00745AA5" w:rsidP="00790D7C">
      <w:pPr>
        <w:pStyle w:val="Bullet2G"/>
        <w:rPr>
          <w:u w:val="single"/>
          <w:lang w:val="fr-FR"/>
        </w:rPr>
      </w:pPr>
      <w:r w:rsidRPr="00790D7C">
        <w:rPr>
          <w:u w:val="single"/>
          <w:lang w:val="fr-FR"/>
        </w:rPr>
        <w:t>Des gaz comprimés ou liquéfiés de la division 2.2 sans danger subsidiaire, dans des récipients d’une capacité ne dépassant pas 120 ml et montés uniquement aux fins du déclenchement de l’engin</w:t>
      </w:r>
      <w:r w:rsidR="00927A55">
        <w:rPr>
          <w:u w:val="single"/>
          <w:lang w:val="fr-FR"/>
        </w:rPr>
        <w:t> ;</w:t>
      </w:r>
      <w:r w:rsidRPr="00790D7C">
        <w:rPr>
          <w:u w:val="single"/>
          <w:lang w:val="fr-FR"/>
        </w:rPr>
        <w:t xml:space="preserve"> et</w:t>
      </w:r>
    </w:p>
    <w:p w14:paraId="325D4F24" w14:textId="55F4D665" w:rsidR="00745AA5" w:rsidRPr="00D51792" w:rsidRDefault="00745AA5" w:rsidP="00790D7C">
      <w:pPr>
        <w:pStyle w:val="Bullet2G"/>
        <w:rPr>
          <w:lang w:val="fr-FR"/>
        </w:rPr>
      </w:pPr>
      <w:r w:rsidRPr="00790D7C">
        <w:rPr>
          <w:u w:val="single"/>
          <w:lang w:val="fr-FR"/>
        </w:rPr>
        <w:t>Des matières pyrotechniques classées dans la division1.4 S, ne dépassant pas 600</w:t>
      </w:r>
      <w:r w:rsidR="00790D7C" w:rsidRPr="00790D7C">
        <w:rPr>
          <w:u w:val="single"/>
          <w:lang w:val="fr-FR"/>
        </w:rPr>
        <w:t> </w:t>
      </w:r>
      <w:r w:rsidRPr="00790D7C">
        <w:rPr>
          <w:u w:val="single"/>
          <w:lang w:val="fr-FR"/>
        </w:rPr>
        <w:t>mg par cartouche, avec un maximum de 2 cartouches par article</w:t>
      </w:r>
      <w:r w:rsidR="00790D7C">
        <w:rPr>
          <w:u w:val="single"/>
          <w:lang w:val="fr-FR"/>
        </w:rPr>
        <w:t> </w:t>
      </w:r>
      <w:r w:rsidR="00790D7C">
        <w:rPr>
          <w:lang w:val="fr-FR"/>
        </w:rPr>
        <w:t>;</w:t>
      </w:r>
    </w:p>
    <w:p w14:paraId="40B1F97C" w14:textId="77777777" w:rsidR="00745AA5" w:rsidRPr="00D51792" w:rsidRDefault="00745AA5" w:rsidP="00745AA5">
      <w:pPr>
        <w:pStyle w:val="SingleTxtG"/>
        <w:ind w:left="1701"/>
        <w:rPr>
          <w:lang w:val="fr-FR"/>
        </w:rPr>
      </w:pPr>
      <w:r w:rsidRPr="00090C60">
        <w:rPr>
          <w:u w:val="single"/>
          <w:lang w:val="fr-FR"/>
        </w:rPr>
        <w:t>ne sont pas soumis aux dispositions du présent Règlement.</w:t>
      </w:r>
      <w:r>
        <w:rPr>
          <w:lang w:val="fr-FR"/>
        </w:rPr>
        <w:t> ».</w:t>
      </w:r>
    </w:p>
    <w:p w14:paraId="06BCE8FC" w14:textId="77777777" w:rsidR="00745AA5" w:rsidRPr="00D51792" w:rsidRDefault="00745AA5" w:rsidP="00927A55">
      <w:pPr>
        <w:pStyle w:val="HChG"/>
        <w:spacing w:before="320"/>
        <w:rPr>
          <w:lang w:val="fr-FR"/>
        </w:rPr>
      </w:pPr>
      <w:bookmarkStart w:id="1" w:name="_Hlk162434907"/>
      <w:r>
        <w:rPr>
          <w:lang w:val="fr-FR"/>
        </w:rPr>
        <w:tab/>
        <w:t>IV.</w:t>
      </w:r>
      <w:r>
        <w:rPr>
          <w:lang w:val="fr-FR"/>
        </w:rPr>
        <w:tab/>
        <w:t>Justification</w:t>
      </w:r>
    </w:p>
    <w:p w14:paraId="1842C458" w14:textId="77777777" w:rsidR="00745AA5" w:rsidRPr="00D51792" w:rsidRDefault="00745AA5" w:rsidP="00745AA5">
      <w:pPr>
        <w:pStyle w:val="SingleTxtG"/>
        <w:rPr>
          <w:lang w:val="fr-FR"/>
        </w:rPr>
      </w:pPr>
      <w:r>
        <w:rPr>
          <w:lang w:val="fr-FR"/>
        </w:rPr>
        <w:t>12.</w:t>
      </w:r>
      <w:r>
        <w:rPr>
          <w:lang w:val="fr-FR"/>
        </w:rPr>
        <w:tab/>
        <w:t>Afin d’éviter qu’un défaut d’harmonisation dans l’application des prescriptions en matière de transport puisse avoir une incidence sur la sécurité, la présente proposition vise à établir un classement international commun et homogène pour les coussins gonflables portables.</w:t>
      </w:r>
    </w:p>
    <w:p w14:paraId="547331AB" w14:textId="77777777" w:rsidR="00745AA5" w:rsidRPr="00D51792" w:rsidRDefault="00745AA5" w:rsidP="00745AA5">
      <w:pPr>
        <w:pStyle w:val="SingleTxtG"/>
        <w:rPr>
          <w:lang w:val="fr-FR"/>
        </w:rPr>
      </w:pPr>
      <w:r>
        <w:rPr>
          <w:lang w:val="fr-FR"/>
        </w:rPr>
        <w:t>13.</w:t>
      </w:r>
      <w:r>
        <w:rPr>
          <w:lang w:val="fr-FR"/>
        </w:rPr>
        <w:tab/>
        <w:t>Au cours des prochaines années, il est probable que l’utilisation des coussins gonflables portables s’étende à des activités telles que le patinage de vitesse, le hockey, la gymnastique acrobatique, l’escalade et la luge ainsi qu’à des solutions de mobilité différentes (planche à roulettes ou trottinette) et de mobilité urbaine (passagers des trains, métros ou bus qui ne sont absolument pas protégés en cas d’accident, par exemple). À la lumière de ce qui précède, il est très probable que les coussins gonflables portables deviendront un produit de consommation courante, car ils permettront de minimiser la gravité des blessures et de diminuer le nombre de décès en cas d’accident.</w:t>
      </w:r>
    </w:p>
    <w:bookmarkEnd w:id="1"/>
    <w:p w14:paraId="624554D2" w14:textId="4B2CB555" w:rsidR="00745AA5" w:rsidRPr="00D51792" w:rsidRDefault="00927A55" w:rsidP="00927A55">
      <w:pPr>
        <w:pStyle w:val="HChG"/>
        <w:spacing w:before="320"/>
        <w:rPr>
          <w:lang w:val="fr-FR"/>
        </w:rPr>
      </w:pPr>
      <w:r>
        <w:rPr>
          <w:lang w:val="fr-FR"/>
        </w:rPr>
        <w:tab/>
      </w:r>
      <w:r w:rsidR="00745AA5">
        <w:rPr>
          <w:lang w:val="fr-FR"/>
        </w:rPr>
        <w:t>V.</w:t>
      </w:r>
      <w:r w:rsidR="00745AA5">
        <w:rPr>
          <w:lang w:val="fr-FR"/>
        </w:rPr>
        <w:tab/>
        <w:t>Objectifs de développement durable (ODD)</w:t>
      </w:r>
    </w:p>
    <w:p w14:paraId="18D3E51E" w14:textId="54D743F8" w:rsidR="00745AA5" w:rsidRPr="00D51792" w:rsidRDefault="00745AA5" w:rsidP="00745AA5">
      <w:pPr>
        <w:pStyle w:val="SingleTxtG"/>
        <w:rPr>
          <w:lang w:val="fr-FR"/>
        </w:rPr>
      </w:pPr>
      <w:r>
        <w:rPr>
          <w:lang w:val="fr-FR"/>
        </w:rPr>
        <w:t>14.</w:t>
      </w:r>
      <w:r>
        <w:rPr>
          <w:lang w:val="fr-FR"/>
        </w:rPr>
        <w:tab/>
        <w:t>La présente proposition s’inscrit à la fois dans le contexte de l’amélioration de la sécurité routière (objectif 3) et de la promotion d’une mobilité durable plus sûre (objectif</w:t>
      </w:r>
      <w:r w:rsidR="00927A55">
        <w:rPr>
          <w:lang w:val="fr-FR"/>
        </w:rPr>
        <w:t> </w:t>
      </w:r>
      <w:r>
        <w:rPr>
          <w:lang w:val="fr-FR"/>
        </w:rPr>
        <w:t>11).</w:t>
      </w:r>
    </w:p>
    <w:p w14:paraId="140967CC" w14:textId="77777777" w:rsidR="00745AA5" w:rsidRPr="00D51792" w:rsidRDefault="00745AA5" w:rsidP="00745AA5">
      <w:pPr>
        <w:pStyle w:val="SingleTxtG"/>
        <w:rPr>
          <w:lang w:val="fr-FR"/>
        </w:rPr>
      </w:pPr>
      <w:r>
        <w:rPr>
          <w:lang w:val="fr-FR"/>
        </w:rPr>
        <w:t>15.</w:t>
      </w:r>
      <w:r>
        <w:rPr>
          <w:lang w:val="fr-FR"/>
        </w:rPr>
        <w:tab/>
        <w:t>Dans le contexte des priorités de l’ONU en matière d’ODD</w:t>
      </w:r>
      <w:r w:rsidRPr="00AA4BB8">
        <w:rPr>
          <w:rStyle w:val="Appelnotedebasdep"/>
        </w:rPr>
        <w:footnoteReference w:id="3"/>
      </w:r>
      <w:r>
        <w:rPr>
          <w:lang w:val="fr-FR"/>
        </w:rPr>
        <w:t>, la proposition apporte des éléments positifs dans les domaines suivants :</w:t>
      </w:r>
    </w:p>
    <w:p w14:paraId="47DFC3EB" w14:textId="75FF2582" w:rsidR="00745AA5" w:rsidRPr="00D51792" w:rsidRDefault="00927A55" w:rsidP="00927A55">
      <w:pPr>
        <w:pStyle w:val="H23G"/>
        <w:rPr>
          <w:lang w:val="fr-FR"/>
        </w:rPr>
      </w:pPr>
      <w:r>
        <w:rPr>
          <w:lang w:val="fr-FR"/>
        </w:rPr>
        <w:tab/>
      </w:r>
      <w:r>
        <w:rPr>
          <w:lang w:val="fr-FR"/>
        </w:rPr>
        <w:tab/>
      </w:r>
      <w:r w:rsidR="00745AA5">
        <w:rPr>
          <w:lang w:val="fr-FR"/>
        </w:rPr>
        <w:t xml:space="preserve">Objectif 3 : Permettre à tous de vivre en bonne santé et promouvoir le bien-être </w:t>
      </w:r>
      <w:r>
        <w:rPr>
          <w:lang w:val="fr-FR"/>
        </w:rPr>
        <w:br/>
      </w:r>
      <w:r w:rsidR="00745AA5">
        <w:rPr>
          <w:lang w:val="fr-FR"/>
        </w:rPr>
        <w:t>de tous à tout âge</w:t>
      </w:r>
    </w:p>
    <w:p w14:paraId="6E6BDACC" w14:textId="77777777" w:rsidR="00745AA5" w:rsidRPr="00D51792" w:rsidRDefault="00745AA5" w:rsidP="00745AA5">
      <w:pPr>
        <w:pStyle w:val="SingleTxtG"/>
        <w:ind w:firstLine="567"/>
        <w:rPr>
          <w:lang w:val="fr-FR"/>
        </w:rPr>
      </w:pPr>
      <w:r>
        <w:rPr>
          <w:lang w:val="fr-FR"/>
        </w:rPr>
        <w:t>Améliorer la sécurité routière</w:t>
      </w:r>
    </w:p>
    <w:p w14:paraId="3AB5A870" w14:textId="77777777" w:rsidR="00745AA5" w:rsidRPr="00D51792" w:rsidRDefault="00745AA5" w:rsidP="00745AA5">
      <w:pPr>
        <w:pStyle w:val="SingleTxtG"/>
        <w:ind w:firstLine="567"/>
        <w:rPr>
          <w:lang w:val="fr-FR"/>
        </w:rPr>
      </w:pPr>
      <w:r>
        <w:rPr>
          <w:lang w:val="fr-FR"/>
        </w:rPr>
        <w:t>Favoriser une mobilité saine et durable</w:t>
      </w:r>
    </w:p>
    <w:p w14:paraId="660BB2EB" w14:textId="040E3CB2" w:rsidR="00745AA5" w:rsidRPr="00D51792" w:rsidRDefault="00927A55" w:rsidP="00927A55">
      <w:pPr>
        <w:pStyle w:val="H23G"/>
        <w:rPr>
          <w:lang w:val="fr-FR"/>
        </w:rPr>
      </w:pPr>
      <w:r>
        <w:rPr>
          <w:lang w:val="fr-FR"/>
        </w:rPr>
        <w:lastRenderedPageBreak/>
        <w:tab/>
      </w:r>
      <w:r>
        <w:rPr>
          <w:lang w:val="fr-FR"/>
        </w:rPr>
        <w:tab/>
      </w:r>
      <w:r w:rsidR="00745AA5">
        <w:rPr>
          <w:lang w:val="fr-FR"/>
        </w:rPr>
        <w:t xml:space="preserve">Objectif 11 : Faire en sorte que les villes et les établissements humains soient ouverts </w:t>
      </w:r>
      <w:r>
        <w:rPr>
          <w:lang w:val="fr-FR"/>
        </w:rPr>
        <w:br/>
      </w:r>
      <w:r w:rsidR="00745AA5">
        <w:rPr>
          <w:lang w:val="fr-FR"/>
        </w:rPr>
        <w:t>à tous, sûrs, résilients et durables</w:t>
      </w:r>
    </w:p>
    <w:p w14:paraId="69DBC03A" w14:textId="77777777" w:rsidR="00745AA5" w:rsidRPr="00D51792" w:rsidRDefault="00745AA5" w:rsidP="00745AA5">
      <w:pPr>
        <w:pStyle w:val="SingleTxtG"/>
        <w:ind w:firstLine="567"/>
        <w:rPr>
          <w:lang w:val="fr-FR"/>
        </w:rPr>
      </w:pPr>
      <w:r>
        <w:rPr>
          <w:lang w:val="fr-FR"/>
        </w:rPr>
        <w:t>Mettre les nouvelles technologies au service de villes intelligentes</w:t>
      </w:r>
    </w:p>
    <w:p w14:paraId="2E6A6FA0" w14:textId="77777777" w:rsidR="00745AA5" w:rsidRPr="00D51792" w:rsidRDefault="00745AA5" w:rsidP="00745AA5">
      <w:pPr>
        <w:pStyle w:val="SingleTxtG"/>
        <w:ind w:firstLine="567"/>
        <w:rPr>
          <w:lang w:val="fr-FR"/>
        </w:rPr>
      </w:pPr>
      <w:r>
        <w:rPr>
          <w:lang w:val="fr-FR"/>
        </w:rPr>
        <w:t>Favoriser la mobilité urbaine durable.</w:t>
      </w:r>
    </w:p>
    <w:p w14:paraId="44491EF2" w14:textId="77777777" w:rsidR="00745AA5" w:rsidRDefault="00745AA5" w:rsidP="005C6814">
      <w:pPr>
        <w:pStyle w:val="HChG"/>
      </w:pPr>
      <w:r w:rsidRPr="00D51792">
        <w:rPr>
          <w:lang w:val="fr-FR"/>
        </w:rPr>
        <w:br w:type="page"/>
      </w:r>
      <w:r>
        <w:rPr>
          <w:lang w:val="fr-FR"/>
        </w:rPr>
        <w:lastRenderedPageBreak/>
        <w:t>Annexe</w:t>
      </w:r>
    </w:p>
    <w:p w14:paraId="4435113E" w14:textId="77777777" w:rsidR="00745AA5" w:rsidRDefault="00745AA5" w:rsidP="005C6814">
      <w:pPr>
        <w:pStyle w:val="HChG"/>
      </w:pPr>
      <w:r>
        <w:rPr>
          <w:lang w:val="fr-FR"/>
        </w:rPr>
        <w:tab/>
      </w:r>
      <w:r>
        <w:rPr>
          <w:lang w:val="fr-FR"/>
        </w:rPr>
        <w:tab/>
        <w:t>Coussins gonflables portables</w:t>
      </w:r>
      <w:r w:rsidRPr="005C6814">
        <w:rPr>
          <w:rStyle w:val="Appelnotedebasdep"/>
          <w:b w:val="0"/>
          <w:bCs/>
        </w:rPr>
        <w:footnoteReference w:id="4"/>
      </w:r>
    </w:p>
    <w:tbl>
      <w:tblPr>
        <w:tblStyle w:val="Grilledutableau"/>
        <w:tblW w:w="0" w:type="auto"/>
        <w:jc w:val="center"/>
        <w:tblLayout w:type="fixed"/>
        <w:tblLook w:val="04A0" w:firstRow="1" w:lastRow="0" w:firstColumn="1" w:lastColumn="0" w:noHBand="0" w:noVBand="1"/>
      </w:tblPr>
      <w:tblGrid>
        <w:gridCol w:w="4876"/>
        <w:gridCol w:w="4243"/>
      </w:tblGrid>
      <w:tr w:rsidR="00745AA5" w14:paraId="0BE07ADF" w14:textId="77777777" w:rsidTr="00927A55">
        <w:trPr>
          <w:trHeight w:val="5629"/>
          <w:jc w:val="center"/>
        </w:trPr>
        <w:tc>
          <w:tcPr>
            <w:tcW w:w="4876" w:type="dxa"/>
            <w:vAlign w:val="center"/>
          </w:tcPr>
          <w:p w14:paraId="42E33D82" w14:textId="77777777" w:rsidR="00745AA5" w:rsidRDefault="00745AA5" w:rsidP="00F40D28">
            <w:pPr>
              <w:jc w:val="center"/>
              <w:rPr>
                <w:lang w:val="it-IT"/>
              </w:rPr>
            </w:pPr>
            <w:r w:rsidRPr="00E42243">
              <w:rPr>
                <w:noProof/>
                <w:lang w:val="it-IT" w:eastAsia="it-IT"/>
              </w:rPr>
              <w:drawing>
                <wp:inline distT="0" distB="0" distL="0" distR="0" wp14:anchorId="05BCAC90" wp14:editId="3234CB48">
                  <wp:extent cx="2641622" cy="3879247"/>
                  <wp:effectExtent l="0" t="0" r="6350" b="6985"/>
                  <wp:docPr id="6" name="Picture 6" descr="Une image contenant dessin humoristique, Personnage de fiction, vêtement de prot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dessin humoristique, Personnage de fiction, vêtement de protection&#10;&#10;Description générée automatiquement"/>
                          <pic:cNvPicPr/>
                        </pic:nvPicPr>
                        <pic:blipFill rotWithShape="1">
                          <a:blip r:embed="rId8"/>
                          <a:srcRect l="2248" t="939" r="4245" b="3443"/>
                          <a:stretch/>
                        </pic:blipFill>
                        <pic:spPr bwMode="auto">
                          <a:xfrm>
                            <a:off x="0" y="0"/>
                            <a:ext cx="2663601" cy="3911524"/>
                          </a:xfrm>
                          <a:prstGeom prst="rect">
                            <a:avLst/>
                          </a:prstGeom>
                          <a:ln>
                            <a:noFill/>
                          </a:ln>
                          <a:extLst>
                            <a:ext uri="{53640926-AAD7-44D8-BBD7-CCE9431645EC}">
                              <a14:shadowObscured xmlns:a14="http://schemas.microsoft.com/office/drawing/2010/main"/>
                            </a:ext>
                          </a:extLst>
                        </pic:spPr>
                      </pic:pic>
                    </a:graphicData>
                  </a:graphic>
                </wp:inline>
              </w:drawing>
            </w:r>
          </w:p>
        </w:tc>
        <w:tc>
          <w:tcPr>
            <w:tcW w:w="4243" w:type="dxa"/>
            <w:vAlign w:val="center"/>
          </w:tcPr>
          <w:p w14:paraId="22BB70BB" w14:textId="77777777" w:rsidR="00745AA5" w:rsidRDefault="00745AA5" w:rsidP="00F40D28">
            <w:pPr>
              <w:jc w:val="center"/>
              <w:rPr>
                <w:lang w:val="it-IT"/>
              </w:rPr>
            </w:pPr>
            <w:r w:rsidRPr="00E3348B">
              <w:rPr>
                <w:b/>
                <w:bCs/>
                <w:noProof/>
                <w:sz w:val="30"/>
                <w:szCs w:val="30"/>
                <w:lang w:val="it-IT" w:eastAsia="it-IT"/>
              </w:rPr>
              <w:drawing>
                <wp:inline distT="0" distB="0" distL="0" distR="0" wp14:anchorId="2E676120" wp14:editId="4F05C58B">
                  <wp:extent cx="2305423" cy="3871853"/>
                  <wp:effectExtent l="0" t="0" r="0" b="0"/>
                  <wp:docPr id="8" name="Picture 8" descr="Une image contenant plastique, art&#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plastique, art&#10;&#10;Description générée automatiquement avec une confiance moyenne"/>
                          <pic:cNvPicPr/>
                        </pic:nvPicPr>
                        <pic:blipFill rotWithShape="1">
                          <a:blip r:embed="rId9"/>
                          <a:srcRect l="6197" t="2068" r="5691" b="2068"/>
                          <a:stretch/>
                        </pic:blipFill>
                        <pic:spPr bwMode="auto">
                          <a:xfrm>
                            <a:off x="0" y="0"/>
                            <a:ext cx="2319049" cy="3894738"/>
                          </a:xfrm>
                          <a:prstGeom prst="rect">
                            <a:avLst/>
                          </a:prstGeom>
                          <a:ln>
                            <a:noFill/>
                          </a:ln>
                          <a:extLst>
                            <a:ext uri="{53640926-AAD7-44D8-BBD7-CCE9431645EC}">
                              <a14:shadowObscured xmlns:a14="http://schemas.microsoft.com/office/drawing/2010/main"/>
                            </a:ext>
                          </a:extLst>
                        </pic:spPr>
                      </pic:pic>
                    </a:graphicData>
                  </a:graphic>
                </wp:inline>
              </w:drawing>
            </w:r>
          </w:p>
        </w:tc>
      </w:tr>
      <w:tr w:rsidR="00745AA5" w14:paraId="31E951E6" w14:textId="77777777" w:rsidTr="00927A55">
        <w:trPr>
          <w:trHeight w:val="4706"/>
          <w:jc w:val="center"/>
        </w:trPr>
        <w:tc>
          <w:tcPr>
            <w:tcW w:w="4876" w:type="dxa"/>
            <w:vAlign w:val="center"/>
          </w:tcPr>
          <w:p w14:paraId="3DD674AF" w14:textId="77777777" w:rsidR="00745AA5" w:rsidRPr="00E84FF3" w:rsidRDefault="00745AA5" w:rsidP="00F40D28">
            <w:pPr>
              <w:jc w:val="center"/>
              <w:rPr>
                <w:b/>
                <w:bCs/>
                <w:noProof/>
                <w:sz w:val="30"/>
                <w:szCs w:val="30"/>
              </w:rPr>
            </w:pPr>
            <w:r w:rsidRPr="00A7191A">
              <w:rPr>
                <w:b/>
                <w:bCs/>
                <w:noProof/>
                <w:sz w:val="30"/>
                <w:szCs w:val="30"/>
                <w:lang w:val="it-IT" w:eastAsia="it-IT"/>
              </w:rPr>
              <w:drawing>
                <wp:inline distT="0" distB="0" distL="0" distR="0" wp14:anchorId="2B7832D3" wp14:editId="3D428D83">
                  <wp:extent cx="2800589" cy="2699926"/>
                  <wp:effectExtent l="0" t="0" r="0" b="5715"/>
                  <wp:docPr id="9" name="Picture 9" descr="Une image contenant habits, vêtement de protection, m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e image contenant habits, vêtement de protection, manche&#10;&#10;Description générée automatiquement"/>
                          <pic:cNvPicPr/>
                        </pic:nvPicPr>
                        <pic:blipFill rotWithShape="1">
                          <a:blip r:embed="rId10"/>
                          <a:srcRect l="5707" t="6749" r="3479" b="4836"/>
                          <a:stretch/>
                        </pic:blipFill>
                        <pic:spPr bwMode="auto">
                          <a:xfrm>
                            <a:off x="0" y="0"/>
                            <a:ext cx="2826368" cy="2724778"/>
                          </a:xfrm>
                          <a:prstGeom prst="rect">
                            <a:avLst/>
                          </a:prstGeom>
                          <a:ln>
                            <a:noFill/>
                          </a:ln>
                          <a:extLst>
                            <a:ext uri="{53640926-AAD7-44D8-BBD7-CCE9431645EC}">
                              <a14:shadowObscured xmlns:a14="http://schemas.microsoft.com/office/drawing/2010/main"/>
                            </a:ext>
                          </a:extLst>
                        </pic:spPr>
                      </pic:pic>
                    </a:graphicData>
                  </a:graphic>
                </wp:inline>
              </w:drawing>
            </w:r>
          </w:p>
        </w:tc>
        <w:tc>
          <w:tcPr>
            <w:tcW w:w="4243" w:type="dxa"/>
            <w:vAlign w:val="center"/>
          </w:tcPr>
          <w:p w14:paraId="674735D6" w14:textId="77777777" w:rsidR="00745AA5" w:rsidRPr="00E3348B" w:rsidRDefault="00745AA5" w:rsidP="00F40D28">
            <w:pPr>
              <w:jc w:val="center"/>
              <w:rPr>
                <w:b/>
                <w:bCs/>
                <w:noProof/>
                <w:sz w:val="30"/>
                <w:szCs w:val="30"/>
              </w:rPr>
            </w:pPr>
            <w:r w:rsidRPr="00A4731E">
              <w:rPr>
                <w:b/>
                <w:bCs/>
                <w:noProof/>
                <w:sz w:val="30"/>
                <w:szCs w:val="30"/>
                <w:lang w:val="it-IT" w:eastAsia="it-IT"/>
              </w:rPr>
              <w:drawing>
                <wp:inline distT="0" distB="0" distL="0" distR="0" wp14:anchorId="3D3BB1A8" wp14:editId="361B566B">
                  <wp:extent cx="2184613" cy="2717445"/>
                  <wp:effectExtent l="0" t="0" r="6350" b="6985"/>
                  <wp:docPr id="10" name="Picture 10" descr="Une image contenant habits, vêtement de protection, Équipement de protection individu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habits, vêtement de protection, Équipement de protection individuelle&#10;&#10;Description générée automatiquement"/>
                          <pic:cNvPicPr/>
                        </pic:nvPicPr>
                        <pic:blipFill rotWithShape="1">
                          <a:blip r:embed="rId11"/>
                          <a:srcRect l="6385" t="2981" r="2302" b="2048"/>
                          <a:stretch/>
                        </pic:blipFill>
                        <pic:spPr bwMode="auto">
                          <a:xfrm>
                            <a:off x="0" y="0"/>
                            <a:ext cx="2219884" cy="27613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F7A165" w14:textId="77777777" w:rsidR="00745AA5" w:rsidRPr="00842B3C" w:rsidRDefault="00745AA5" w:rsidP="00745AA5"/>
    <w:p w14:paraId="5CF78C69" w14:textId="77777777" w:rsidR="00745AA5" w:rsidRDefault="00745AA5" w:rsidP="005C6814">
      <w:pPr>
        <w:pStyle w:val="HChG"/>
        <w:rPr>
          <w:lang w:val="fr-FR"/>
        </w:rPr>
      </w:pPr>
      <w:r>
        <w:br w:type="page"/>
      </w:r>
      <w:r>
        <w:rPr>
          <w:lang w:val="fr-FR"/>
        </w:rPr>
        <w:lastRenderedPageBreak/>
        <w:tab/>
      </w:r>
      <w:r>
        <w:rPr>
          <w:lang w:val="fr-FR"/>
        </w:rPr>
        <w:tab/>
        <w:t>Assemblage des coussins gonflables portables</w:t>
      </w:r>
    </w:p>
    <w:p w14:paraId="458F55B2" w14:textId="3654598A" w:rsidR="006C58CF" w:rsidRPr="006C58CF" w:rsidRDefault="006C58CF" w:rsidP="006C58CF">
      <w:pPr>
        <w:ind w:left="1134"/>
        <w:rPr>
          <w:lang w:val="fr-FR"/>
        </w:rPr>
      </w:pPr>
      <w:r>
        <w:rPr>
          <w:noProof/>
        </w:rPr>
        <w:drawing>
          <wp:inline distT="0" distB="0" distL="0" distR="0" wp14:anchorId="3C415DCF" wp14:editId="3AD0055B">
            <wp:extent cx="5400000" cy="2548800"/>
            <wp:effectExtent l="0" t="0" r="0" b="4445"/>
            <wp:docPr id="419012839" name="Image 1" descr="Une image contenant capture d’écran,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12839" name="Image 1" descr="Une image contenant capture d’écran, texte, conception&#10;&#10;Description générée automatiquement"/>
                    <pic:cNvPicPr/>
                  </pic:nvPicPr>
                  <pic:blipFill>
                    <a:blip r:embed="rId12"/>
                    <a:stretch>
                      <a:fillRect/>
                    </a:stretch>
                  </pic:blipFill>
                  <pic:spPr>
                    <a:xfrm>
                      <a:off x="0" y="0"/>
                      <a:ext cx="5400000" cy="2548800"/>
                    </a:xfrm>
                    <a:prstGeom prst="rect">
                      <a:avLst/>
                    </a:prstGeom>
                  </pic:spPr>
                </pic:pic>
              </a:graphicData>
            </a:graphic>
          </wp:inline>
        </w:drawing>
      </w:r>
    </w:p>
    <w:p w14:paraId="482BCE5A" w14:textId="04CA8EAF" w:rsidR="00745AA5" w:rsidRDefault="00745AA5" w:rsidP="006C58CF">
      <w:pPr>
        <w:pStyle w:val="HChG"/>
        <w:rPr>
          <w:lang w:val="fr-FR"/>
        </w:rPr>
      </w:pPr>
      <w:r>
        <w:rPr>
          <w:lang w:val="fr-FR"/>
        </w:rPr>
        <w:lastRenderedPageBreak/>
        <w:tab/>
      </w:r>
      <w:r>
        <w:rPr>
          <w:lang w:val="fr-FR"/>
        </w:rPr>
        <w:tab/>
        <w:t>Illustrations du gonfleur</w:t>
      </w:r>
    </w:p>
    <w:p w14:paraId="6FBF0D62" w14:textId="56E149A7" w:rsidR="007A754D" w:rsidRPr="007A754D" w:rsidRDefault="007A754D" w:rsidP="007A754D">
      <w:pPr>
        <w:ind w:left="1134"/>
        <w:rPr>
          <w:lang w:val="fr-FR"/>
        </w:rPr>
      </w:pPr>
      <w:r>
        <w:rPr>
          <w:noProof/>
        </w:rPr>
        <w:drawing>
          <wp:inline distT="0" distB="0" distL="0" distR="0" wp14:anchorId="5FB44874" wp14:editId="1C0E116E">
            <wp:extent cx="4680000" cy="4971600"/>
            <wp:effectExtent l="0" t="0" r="6350" b="635"/>
            <wp:docPr id="113194000"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4000" name="Image 1" descr="Une image contenant texte, capture d’écran, diagramme, Parallèle&#10;&#10;Description générée automatiquement"/>
                    <pic:cNvPicPr/>
                  </pic:nvPicPr>
                  <pic:blipFill>
                    <a:blip r:embed="rId13"/>
                    <a:stretch>
                      <a:fillRect/>
                    </a:stretch>
                  </pic:blipFill>
                  <pic:spPr>
                    <a:xfrm>
                      <a:off x="0" y="0"/>
                      <a:ext cx="4680000" cy="4971600"/>
                    </a:xfrm>
                    <a:prstGeom prst="rect">
                      <a:avLst/>
                    </a:prstGeom>
                  </pic:spPr>
                </pic:pic>
              </a:graphicData>
            </a:graphic>
          </wp:inline>
        </w:drawing>
      </w:r>
    </w:p>
    <w:p w14:paraId="65D3ABC9" w14:textId="2A763F31" w:rsidR="00446FE5" w:rsidRPr="005C6814" w:rsidRDefault="005C6814" w:rsidP="005C6814">
      <w:pPr>
        <w:pStyle w:val="SingleTxtG"/>
        <w:spacing w:before="240" w:after="0"/>
        <w:jc w:val="center"/>
        <w:rPr>
          <w:u w:val="single"/>
        </w:rPr>
      </w:pPr>
      <w:r>
        <w:rPr>
          <w:u w:val="single"/>
        </w:rPr>
        <w:tab/>
      </w:r>
      <w:r>
        <w:rPr>
          <w:u w:val="single"/>
        </w:rPr>
        <w:tab/>
      </w:r>
      <w:r>
        <w:rPr>
          <w:u w:val="single"/>
        </w:rPr>
        <w:tab/>
      </w:r>
    </w:p>
    <w:sectPr w:rsidR="00446FE5" w:rsidRPr="005C6814" w:rsidSect="00745AA5">
      <w:headerReference w:type="even" r:id="rId14"/>
      <w:headerReference w:type="default" r:id="rId15"/>
      <w:footerReference w:type="even" r:id="rId16"/>
      <w:footerReference w:type="default" r:id="rId17"/>
      <w:footerReference w:type="first" r:id="rId18"/>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B58A7" w14:textId="77777777" w:rsidR="006B4ACC" w:rsidRDefault="006B4ACC" w:rsidP="00F95C08">
      <w:pPr>
        <w:spacing w:line="240" w:lineRule="auto"/>
      </w:pPr>
    </w:p>
  </w:endnote>
  <w:endnote w:type="continuationSeparator" w:id="0">
    <w:p w14:paraId="14F589D1" w14:textId="77777777" w:rsidR="006B4ACC" w:rsidRPr="00AC3823" w:rsidRDefault="006B4ACC" w:rsidP="00AC3823">
      <w:pPr>
        <w:pStyle w:val="Pieddepage"/>
      </w:pPr>
    </w:p>
  </w:endnote>
  <w:endnote w:type="continuationNotice" w:id="1">
    <w:p w14:paraId="752D1E6E" w14:textId="77777777" w:rsidR="006B4ACC" w:rsidRDefault="006B4A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A261" w14:textId="5520C87C" w:rsidR="00745AA5" w:rsidRPr="00745AA5" w:rsidRDefault="00745AA5" w:rsidP="00745AA5">
    <w:pPr>
      <w:pStyle w:val="Pieddepage"/>
      <w:tabs>
        <w:tab w:val="right" w:pos="9638"/>
      </w:tabs>
    </w:pPr>
    <w:r w:rsidRPr="00745AA5">
      <w:rPr>
        <w:b/>
        <w:sz w:val="18"/>
      </w:rPr>
      <w:fldChar w:fldCharType="begin"/>
    </w:r>
    <w:r w:rsidRPr="00745AA5">
      <w:rPr>
        <w:b/>
        <w:sz w:val="18"/>
      </w:rPr>
      <w:instrText xml:space="preserve"> PAGE  \* MERGEFORMAT </w:instrText>
    </w:r>
    <w:r w:rsidRPr="00745AA5">
      <w:rPr>
        <w:b/>
        <w:sz w:val="18"/>
      </w:rPr>
      <w:fldChar w:fldCharType="separate"/>
    </w:r>
    <w:r w:rsidRPr="00745AA5">
      <w:rPr>
        <w:b/>
        <w:noProof/>
        <w:sz w:val="18"/>
      </w:rPr>
      <w:t>2</w:t>
    </w:r>
    <w:r w:rsidRPr="00745AA5">
      <w:rPr>
        <w:b/>
        <w:sz w:val="18"/>
      </w:rPr>
      <w:fldChar w:fldCharType="end"/>
    </w:r>
    <w:r>
      <w:rPr>
        <w:b/>
        <w:sz w:val="18"/>
      </w:rPr>
      <w:tab/>
    </w:r>
    <w:r>
      <w:t>GE.24-06775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62E4" w14:textId="0DB61708" w:rsidR="00745AA5" w:rsidRPr="00745AA5" w:rsidRDefault="00745AA5" w:rsidP="00745AA5">
    <w:pPr>
      <w:pStyle w:val="Pieddepage"/>
      <w:tabs>
        <w:tab w:val="right" w:pos="9638"/>
      </w:tabs>
      <w:rPr>
        <w:b/>
        <w:sz w:val="18"/>
      </w:rPr>
    </w:pPr>
    <w:r>
      <w:t>GE.24-06775</w:t>
    </w:r>
    <w:r>
      <w:tab/>
    </w:r>
    <w:r w:rsidRPr="00745AA5">
      <w:rPr>
        <w:b/>
        <w:sz w:val="18"/>
      </w:rPr>
      <w:fldChar w:fldCharType="begin"/>
    </w:r>
    <w:r w:rsidRPr="00745AA5">
      <w:rPr>
        <w:b/>
        <w:sz w:val="18"/>
      </w:rPr>
      <w:instrText xml:space="preserve"> PAGE  \* MERGEFORMAT </w:instrText>
    </w:r>
    <w:r w:rsidRPr="00745AA5">
      <w:rPr>
        <w:b/>
        <w:sz w:val="18"/>
      </w:rPr>
      <w:fldChar w:fldCharType="separate"/>
    </w:r>
    <w:r w:rsidRPr="00745AA5">
      <w:rPr>
        <w:b/>
        <w:noProof/>
        <w:sz w:val="18"/>
      </w:rPr>
      <w:t>3</w:t>
    </w:r>
    <w:r w:rsidRPr="00745AA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EEFD" w14:textId="7AD3D663" w:rsidR="0068456F" w:rsidRPr="00745AA5" w:rsidRDefault="00745AA5" w:rsidP="00745AA5">
    <w:pPr>
      <w:pStyle w:val="Pieddepage"/>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49A8D211" wp14:editId="1EF719F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24-06775  (F)</w:t>
    </w:r>
    <w:r>
      <w:rPr>
        <w:noProof/>
        <w:sz w:val="20"/>
      </w:rPr>
      <w:drawing>
        <wp:anchor distT="0" distB="0" distL="114300" distR="114300" simplePos="0" relativeHeight="251660288" behindDoc="0" locked="0" layoutInCell="1" allowOverlap="1" wp14:anchorId="3C871E94" wp14:editId="1B214789">
          <wp:simplePos x="0" y="0"/>
          <wp:positionH relativeFrom="margin">
            <wp:posOffset>5489575</wp:posOffset>
          </wp:positionH>
          <wp:positionV relativeFrom="margin">
            <wp:posOffset>8891905</wp:posOffset>
          </wp:positionV>
          <wp:extent cx="628650" cy="628650"/>
          <wp:effectExtent l="0" t="0" r="0" b="0"/>
          <wp:wrapNone/>
          <wp:docPr id="10880377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260424    290424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4096B" w14:textId="77777777" w:rsidR="006B4ACC" w:rsidRPr="00AC3823" w:rsidRDefault="006B4ACC" w:rsidP="00AC3823">
      <w:pPr>
        <w:pStyle w:val="Pieddepage"/>
        <w:tabs>
          <w:tab w:val="right" w:pos="2155"/>
        </w:tabs>
        <w:spacing w:after="80" w:line="240" w:lineRule="atLeast"/>
        <w:ind w:left="680"/>
        <w:rPr>
          <w:u w:val="single"/>
        </w:rPr>
      </w:pPr>
      <w:r>
        <w:rPr>
          <w:u w:val="single"/>
        </w:rPr>
        <w:tab/>
      </w:r>
    </w:p>
  </w:footnote>
  <w:footnote w:type="continuationSeparator" w:id="0">
    <w:p w14:paraId="33B50DDB" w14:textId="77777777" w:rsidR="006B4ACC" w:rsidRPr="00AC3823" w:rsidRDefault="006B4ACC" w:rsidP="00AC3823">
      <w:pPr>
        <w:pStyle w:val="Pieddepage"/>
        <w:tabs>
          <w:tab w:val="right" w:pos="2155"/>
        </w:tabs>
        <w:spacing w:after="80" w:line="240" w:lineRule="atLeast"/>
        <w:ind w:left="680"/>
        <w:rPr>
          <w:u w:val="single"/>
        </w:rPr>
      </w:pPr>
      <w:r>
        <w:rPr>
          <w:u w:val="single"/>
        </w:rPr>
        <w:tab/>
      </w:r>
    </w:p>
  </w:footnote>
  <w:footnote w:type="continuationNotice" w:id="1">
    <w:p w14:paraId="3773DEA2" w14:textId="77777777" w:rsidR="006B4ACC" w:rsidRPr="00AC3823" w:rsidRDefault="006B4ACC">
      <w:pPr>
        <w:spacing w:line="240" w:lineRule="auto"/>
        <w:rPr>
          <w:sz w:val="2"/>
          <w:szCs w:val="2"/>
        </w:rPr>
      </w:pPr>
    </w:p>
  </w:footnote>
  <w:footnote w:id="2">
    <w:p w14:paraId="5214444E" w14:textId="77777777" w:rsidR="00745AA5" w:rsidRPr="00D51792" w:rsidRDefault="00745AA5" w:rsidP="00745AA5">
      <w:pPr>
        <w:pStyle w:val="Notedebasdepage"/>
        <w:rPr>
          <w:lang w:val="fr-FR"/>
        </w:rPr>
      </w:pPr>
      <w:r>
        <w:rPr>
          <w:lang w:val="fr-FR"/>
        </w:rPr>
        <w:tab/>
        <w:t>*</w:t>
      </w:r>
      <w:r>
        <w:rPr>
          <w:lang w:val="fr-FR"/>
        </w:rPr>
        <w:tab/>
        <w:t>A/78/6 (Sect. 20), tableau 20.5.</w:t>
      </w:r>
    </w:p>
  </w:footnote>
  <w:footnote w:id="3">
    <w:p w14:paraId="6E8D345B" w14:textId="535B7E6E" w:rsidR="00745AA5" w:rsidRPr="00D51792" w:rsidRDefault="00745AA5" w:rsidP="00745AA5">
      <w:pPr>
        <w:pStyle w:val="Notedebasdepage"/>
        <w:rPr>
          <w:lang w:val="fr-FR"/>
        </w:rPr>
      </w:pPr>
      <w:r>
        <w:rPr>
          <w:lang w:val="fr-FR"/>
        </w:rPr>
        <w:tab/>
      </w:r>
      <w:r w:rsidRPr="00AA4BB8">
        <w:rPr>
          <w:rStyle w:val="Appelnotedebasdep"/>
        </w:rPr>
        <w:footnoteRef/>
      </w:r>
      <w:r>
        <w:rPr>
          <w:lang w:val="fr-FR"/>
        </w:rPr>
        <w:tab/>
      </w:r>
      <w:hyperlink r:id="rId1" w:history="1">
        <w:r w:rsidRPr="005C6814">
          <w:rPr>
            <w:rStyle w:val="Lienhypertexte"/>
            <w:lang w:val="fr-FR"/>
          </w:rPr>
          <w:t>https://unece.org/sdg-priorities ; https://sdgs.un.org/fr/goals</w:t>
        </w:r>
      </w:hyperlink>
      <w:r>
        <w:rPr>
          <w:lang w:val="fr-FR"/>
        </w:rPr>
        <w:t>.</w:t>
      </w:r>
    </w:p>
  </w:footnote>
  <w:footnote w:id="4">
    <w:p w14:paraId="3A1E86F6" w14:textId="77777777" w:rsidR="00745AA5" w:rsidRPr="00D51792" w:rsidRDefault="00745AA5" w:rsidP="00745AA5">
      <w:pPr>
        <w:pStyle w:val="Notedebasdepage"/>
        <w:rPr>
          <w:sz w:val="16"/>
          <w:szCs w:val="16"/>
          <w:lang w:val="fr-FR"/>
        </w:rPr>
      </w:pPr>
      <w:r>
        <w:rPr>
          <w:lang w:val="fr-FR"/>
        </w:rPr>
        <w:tab/>
      </w:r>
      <w:r w:rsidRPr="00AA4BB8">
        <w:rPr>
          <w:rStyle w:val="Appelnotedebasdep"/>
        </w:rPr>
        <w:footnoteRef/>
      </w:r>
      <w:r>
        <w:rPr>
          <w:lang w:val="fr-FR"/>
        </w:rPr>
        <w:tab/>
        <w:t>L’auteur du présent document a donné l’autorisation d’utiliser le matériel contenu dans cette annexe afin de faciliter les débats de la soixante-quatrième session du Sous-Comité d’experts du transport des marchandises dangereuses. Pour les autorisations de reproduction et toute autre question, prière d’écrire à l’adresse suivante : talk-to-us@alpinestars.com.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5BB8" w14:textId="55F891A5" w:rsidR="00745AA5" w:rsidRPr="00745AA5" w:rsidRDefault="00745AA5">
    <w:pPr>
      <w:pStyle w:val="En-tte"/>
    </w:pPr>
    <w:fldSimple w:instr=" TITLE  \* MERGEFORMAT ">
      <w:r>
        <w:t>ST/SG/AC.10/C.3/2024/23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C54C" w14:textId="7DB3BD20" w:rsidR="00745AA5" w:rsidRPr="00745AA5" w:rsidRDefault="00745AA5" w:rsidP="00745AA5">
    <w:pPr>
      <w:pStyle w:val="En-tte"/>
      <w:jc w:val="right"/>
    </w:pPr>
    <w:fldSimple w:instr=" TITLE  \* MERGEFORMAT ">
      <w:r>
        <w:t>ST/SG/AC.10/C.3/2024/23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583022775">
    <w:abstractNumId w:val="12"/>
  </w:num>
  <w:num w:numId="2" w16cid:durableId="1025979048">
    <w:abstractNumId w:val="11"/>
  </w:num>
  <w:num w:numId="3" w16cid:durableId="607007547">
    <w:abstractNumId w:val="10"/>
  </w:num>
  <w:num w:numId="4" w16cid:durableId="517620781">
    <w:abstractNumId w:val="8"/>
  </w:num>
  <w:num w:numId="5" w16cid:durableId="1794325868">
    <w:abstractNumId w:val="3"/>
  </w:num>
  <w:num w:numId="6" w16cid:durableId="1232810956">
    <w:abstractNumId w:val="2"/>
  </w:num>
  <w:num w:numId="7" w16cid:durableId="1834177884">
    <w:abstractNumId w:val="1"/>
  </w:num>
  <w:num w:numId="8" w16cid:durableId="1849252068">
    <w:abstractNumId w:val="0"/>
  </w:num>
  <w:num w:numId="9" w16cid:durableId="1146320645">
    <w:abstractNumId w:val="9"/>
  </w:num>
  <w:num w:numId="10" w16cid:durableId="1791053309">
    <w:abstractNumId w:val="7"/>
  </w:num>
  <w:num w:numId="11" w16cid:durableId="1751467294">
    <w:abstractNumId w:val="6"/>
  </w:num>
  <w:num w:numId="12" w16cid:durableId="1113867140">
    <w:abstractNumId w:val="5"/>
  </w:num>
  <w:num w:numId="13" w16cid:durableId="1943872994">
    <w:abstractNumId w:val="4"/>
  </w:num>
  <w:num w:numId="14" w16cid:durableId="1652322948">
    <w:abstractNumId w:val="12"/>
  </w:num>
  <w:num w:numId="15" w16cid:durableId="120613779">
    <w:abstractNumId w:val="11"/>
  </w:num>
  <w:num w:numId="16" w16cid:durableId="14107360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ACC"/>
    <w:rsid w:val="00017F94"/>
    <w:rsid w:val="00023842"/>
    <w:rsid w:val="000305D3"/>
    <w:rsid w:val="000334F9"/>
    <w:rsid w:val="00034E5E"/>
    <w:rsid w:val="0007796D"/>
    <w:rsid w:val="000B7790"/>
    <w:rsid w:val="00111F2F"/>
    <w:rsid w:val="00132EA9"/>
    <w:rsid w:val="0014365E"/>
    <w:rsid w:val="00172E49"/>
    <w:rsid w:val="00176178"/>
    <w:rsid w:val="001F525A"/>
    <w:rsid w:val="00223272"/>
    <w:rsid w:val="0024779E"/>
    <w:rsid w:val="00283190"/>
    <w:rsid w:val="002832AC"/>
    <w:rsid w:val="002D7C93"/>
    <w:rsid w:val="00400AD4"/>
    <w:rsid w:val="00441C3B"/>
    <w:rsid w:val="00446FE5"/>
    <w:rsid w:val="00452396"/>
    <w:rsid w:val="004E468C"/>
    <w:rsid w:val="005505B7"/>
    <w:rsid w:val="00573BE5"/>
    <w:rsid w:val="00584DC4"/>
    <w:rsid w:val="00586ED3"/>
    <w:rsid w:val="00596AA9"/>
    <w:rsid w:val="005C6814"/>
    <w:rsid w:val="0068456F"/>
    <w:rsid w:val="006B4ACC"/>
    <w:rsid w:val="006C58CF"/>
    <w:rsid w:val="0071601D"/>
    <w:rsid w:val="00745AA5"/>
    <w:rsid w:val="00790D7C"/>
    <w:rsid w:val="007A62E6"/>
    <w:rsid w:val="007A754D"/>
    <w:rsid w:val="0080684C"/>
    <w:rsid w:val="008123E0"/>
    <w:rsid w:val="00871C75"/>
    <w:rsid w:val="008776DC"/>
    <w:rsid w:val="008B40CD"/>
    <w:rsid w:val="00927A55"/>
    <w:rsid w:val="0093409A"/>
    <w:rsid w:val="00963CBA"/>
    <w:rsid w:val="009705C8"/>
    <w:rsid w:val="009C1CF4"/>
    <w:rsid w:val="00A30353"/>
    <w:rsid w:val="00A81281"/>
    <w:rsid w:val="00AC3823"/>
    <w:rsid w:val="00AE323C"/>
    <w:rsid w:val="00B00181"/>
    <w:rsid w:val="00B00B0D"/>
    <w:rsid w:val="00B765F7"/>
    <w:rsid w:val="00BA0CA9"/>
    <w:rsid w:val="00C02897"/>
    <w:rsid w:val="00D3439C"/>
    <w:rsid w:val="00DB1831"/>
    <w:rsid w:val="00DD3BFD"/>
    <w:rsid w:val="00DF6678"/>
    <w:rsid w:val="00E448CA"/>
    <w:rsid w:val="00EF2E22"/>
    <w:rsid w:val="00F01738"/>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49E86"/>
  <w15:docId w15:val="{CC58E103-BAEF-4E79-9042-867C72280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584DC4"/>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584DC4"/>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584DC4"/>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584DC4"/>
    <w:pPr>
      <w:spacing w:line="240" w:lineRule="auto"/>
    </w:pPr>
    <w:rPr>
      <w:sz w:val="16"/>
    </w:rPr>
  </w:style>
  <w:style w:type="character" w:customStyle="1" w:styleId="PieddepageCar">
    <w:name w:val="Pied de page Car"/>
    <w:aliases w:val="3_G Car"/>
    <w:basedOn w:val="Policepardfaut"/>
    <w:link w:val="Pieddepage"/>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Appelnotedebasdep">
    <w:name w:val="footnote reference"/>
    <w:aliases w:val="4_G"/>
    <w:basedOn w:val="Policepardfaut"/>
    <w:qFormat/>
    <w:rsid w:val="00584DC4"/>
    <w:rPr>
      <w:rFonts w:ascii="Times New Roman" w:hAnsi="Times New Roman"/>
      <w:sz w:val="18"/>
      <w:vertAlign w:val="superscript"/>
      <w:lang w:val="fr-CH"/>
    </w:rPr>
  </w:style>
  <w:style w:type="character" w:styleId="Appeldenotedefin">
    <w:name w:val="endnote reference"/>
    <w:aliases w:val="1_G"/>
    <w:basedOn w:val="Appelnotedebasdep"/>
    <w:qFormat/>
    <w:rsid w:val="00584DC4"/>
    <w:rPr>
      <w:rFonts w:ascii="Times New Roman" w:hAnsi="Times New Roman"/>
      <w:sz w:val="18"/>
      <w:vertAlign w:val="superscript"/>
      <w:lang w:val="fr-CH"/>
    </w:rPr>
  </w:style>
  <w:style w:type="table" w:styleId="Grilledutableau">
    <w:name w:val="Table Grid"/>
    <w:basedOn w:val="Tableau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584DC4"/>
    <w:rPr>
      <w:color w:val="0000FF"/>
      <w:u w:val="none"/>
    </w:rPr>
  </w:style>
  <w:style w:type="character" w:styleId="Lienhypertextesuivivisit">
    <w:name w:val="FollowedHyperlink"/>
    <w:basedOn w:val="Policepardfaut"/>
    <w:unhideWhenUsed/>
    <w:rsid w:val="00584DC4"/>
    <w:rPr>
      <w:color w:val="0000FF"/>
      <w:u w:val="none"/>
    </w:rPr>
  </w:style>
  <w:style w:type="paragraph" w:styleId="Notedebasdepage">
    <w:name w:val="footnote text"/>
    <w:aliases w:val="5_G"/>
    <w:basedOn w:val="Normal"/>
    <w:link w:val="NotedebasdepageCar"/>
    <w:qFormat/>
    <w:rsid w:val="00584DC4"/>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584DC4"/>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584DC4"/>
  </w:style>
  <w:style w:type="character" w:customStyle="1" w:styleId="NotedefinCar">
    <w:name w:val="Note de fin Car"/>
    <w:aliases w:val="2_G Car"/>
    <w:basedOn w:val="Policepardfaut"/>
    <w:link w:val="Notedefin"/>
    <w:rsid w:val="00584DC4"/>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584DC4"/>
    <w:rPr>
      <w:rFonts w:ascii="Times New Roman" w:hAnsi="Times New Roman"/>
      <w:b/>
      <w:sz w:val="18"/>
      <w:lang w:val="fr-CH"/>
    </w:rPr>
  </w:style>
  <w:style w:type="character" w:customStyle="1" w:styleId="Titre1Car">
    <w:name w:val="Titre 1 Car"/>
    <w:aliases w:val="Table_G Car"/>
    <w:basedOn w:val="Policepardfaut"/>
    <w:link w:val="Titre1"/>
    <w:rsid w:val="00584DC4"/>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132EA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2EA9"/>
    <w:rPr>
      <w:rFonts w:ascii="Tahoma" w:hAnsi="Tahoma" w:cs="Tahoma"/>
      <w:sz w:val="16"/>
      <w:szCs w:val="16"/>
      <w:lang w:eastAsia="en-US"/>
    </w:rPr>
  </w:style>
  <w:style w:type="character" w:customStyle="1" w:styleId="HChGChar">
    <w:name w:val="_ H _Ch_G Char"/>
    <w:link w:val="HChG"/>
    <w:qFormat/>
    <w:rsid w:val="00745AA5"/>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sid w:val="00745AA5"/>
    <w:rPr>
      <w:rFonts w:ascii="Times New Roman" w:eastAsiaTheme="minorHAnsi" w:hAnsi="Times New Roman" w:cs="Times New Roman"/>
      <w:sz w:val="20"/>
      <w:szCs w:val="20"/>
      <w:lang w:eastAsia="en-US"/>
    </w:rPr>
  </w:style>
  <w:style w:type="character" w:customStyle="1" w:styleId="H1GChar">
    <w:name w:val="_ H_1_G Char"/>
    <w:link w:val="H1G"/>
    <w:qFormat/>
    <w:locked/>
    <w:rsid w:val="00745AA5"/>
    <w:rPr>
      <w:rFonts w:ascii="Times New Roman" w:eastAsiaTheme="minorHAnsi" w:hAnsi="Times New Roman" w:cs="Times New Roman"/>
      <w:b/>
      <w:sz w:val="24"/>
      <w:szCs w:val="20"/>
      <w:lang w:eastAsia="en-US"/>
    </w:rPr>
  </w:style>
  <w:style w:type="character" w:styleId="Mentionnonrsolue">
    <w:name w:val="Unresolved Mention"/>
    <w:basedOn w:val="Policepardfaut"/>
    <w:uiPriority w:val="99"/>
    <w:semiHidden/>
    <w:unhideWhenUsed/>
    <w:rsid w:val="005C6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unece.org/sdg-priorities%20;%20https:/sdgs.un.org/fr/goa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S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BEE0A7-4429-4EFC-BC6A-8AE2E8DF1B53}"/>
</file>

<file path=customXml/itemProps2.xml><?xml version="1.0" encoding="utf-8"?>
<ds:datastoreItem xmlns:ds="http://schemas.openxmlformats.org/officeDocument/2006/customXml" ds:itemID="{1C56190A-70A3-4846-9CCB-893D2CFBCF6B}"/>
</file>

<file path=docProps/app.xml><?xml version="1.0" encoding="utf-8"?>
<Properties xmlns="http://schemas.openxmlformats.org/officeDocument/2006/extended-properties" xmlns:vt="http://schemas.openxmlformats.org/officeDocument/2006/docPropsVTypes">
  <Template>ST.dotm</Template>
  <TotalTime>1</TotalTime>
  <Pages>6</Pages>
  <Words>969</Words>
  <Characters>7425</Characters>
  <Application>Microsoft Office Word</Application>
  <DocSecurity>0</DocSecurity>
  <Lines>2475</Lines>
  <Paragraphs>699</Paragraphs>
  <ScaleCrop>false</ScaleCrop>
  <HeadingPairs>
    <vt:vector size="2" baseType="variant">
      <vt:variant>
        <vt:lpstr>Titre</vt:lpstr>
      </vt:variant>
      <vt:variant>
        <vt:i4>1</vt:i4>
      </vt:variant>
    </vt:vector>
  </HeadingPairs>
  <TitlesOfParts>
    <vt:vector size="1" baseType="lpstr">
      <vt:lpstr>ST/SG/AC.10/C.3/2024/23</vt:lpstr>
    </vt:vector>
  </TitlesOfParts>
  <Company>DCM</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ST/SG/AC.10/C.3/2024/23</dc:title>
  <dc:subject/>
  <dc:creator>Nathalie VITTOZ</dc:creator>
  <cp:keywords/>
  <cp:lastModifiedBy>Nathalie VITTOZ</cp:lastModifiedBy>
  <cp:revision>2</cp:revision>
  <cp:lastPrinted>2014-05-14T10:59:00Z</cp:lastPrinted>
  <dcterms:created xsi:type="dcterms:W3CDTF">2024-04-29T09:32:00Z</dcterms:created>
  <dcterms:modified xsi:type="dcterms:W3CDTF">2024-04-29T09:32:00Z</dcterms:modified>
</cp:coreProperties>
</file>