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66AD89" w14:textId="77777777" w:rsidTr="006476E1">
        <w:trPr>
          <w:trHeight w:val="851"/>
        </w:trPr>
        <w:tc>
          <w:tcPr>
            <w:tcW w:w="1259" w:type="dxa"/>
            <w:tcBorders>
              <w:top w:val="nil"/>
              <w:left w:val="nil"/>
              <w:bottom w:val="single" w:sz="4" w:space="0" w:color="auto"/>
              <w:right w:val="nil"/>
            </w:tcBorders>
          </w:tcPr>
          <w:p w14:paraId="79D436D3" w14:textId="77777777" w:rsidR="00E52109" w:rsidRPr="002A32CB" w:rsidRDefault="00E52109" w:rsidP="004858F5"/>
        </w:tc>
        <w:tc>
          <w:tcPr>
            <w:tcW w:w="2236" w:type="dxa"/>
            <w:tcBorders>
              <w:top w:val="nil"/>
              <w:left w:val="nil"/>
              <w:bottom w:val="single" w:sz="4" w:space="0" w:color="auto"/>
              <w:right w:val="nil"/>
            </w:tcBorders>
            <w:vAlign w:val="bottom"/>
          </w:tcPr>
          <w:p w14:paraId="5D48243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3A1B9EE" w14:textId="7DDA0BE8" w:rsidR="00E52109" w:rsidRDefault="0038777A" w:rsidP="0038777A">
            <w:pPr>
              <w:jc w:val="right"/>
            </w:pPr>
            <w:r w:rsidRPr="0038777A">
              <w:rPr>
                <w:sz w:val="40"/>
              </w:rPr>
              <w:t>ST</w:t>
            </w:r>
            <w:r>
              <w:t>/SG/AC.10/C.3/2024/28</w:t>
            </w:r>
          </w:p>
        </w:tc>
      </w:tr>
      <w:tr w:rsidR="00E52109" w14:paraId="7E3B7CB3" w14:textId="77777777" w:rsidTr="006476E1">
        <w:trPr>
          <w:trHeight w:val="2835"/>
        </w:trPr>
        <w:tc>
          <w:tcPr>
            <w:tcW w:w="1259" w:type="dxa"/>
            <w:tcBorders>
              <w:top w:val="single" w:sz="4" w:space="0" w:color="auto"/>
              <w:left w:val="nil"/>
              <w:bottom w:val="single" w:sz="12" w:space="0" w:color="auto"/>
              <w:right w:val="nil"/>
            </w:tcBorders>
          </w:tcPr>
          <w:p w14:paraId="241C44F3" w14:textId="77777777" w:rsidR="00E52109" w:rsidRDefault="00E52109" w:rsidP="006476E1">
            <w:pPr>
              <w:spacing w:before="120"/>
              <w:jc w:val="center"/>
            </w:pPr>
            <w:r>
              <w:rPr>
                <w:noProof/>
                <w:lang w:val="fr-CH" w:eastAsia="fr-CH"/>
              </w:rPr>
              <w:drawing>
                <wp:inline distT="0" distB="0" distL="0" distR="0" wp14:anchorId="6DF7428E" wp14:editId="41C126B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B8DF27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39BF8FA" w14:textId="77777777" w:rsidR="00D94B05" w:rsidRDefault="0038777A" w:rsidP="0038777A">
            <w:pPr>
              <w:spacing w:before="240" w:line="240" w:lineRule="exact"/>
            </w:pPr>
            <w:r>
              <w:t>Distr.: General</w:t>
            </w:r>
          </w:p>
          <w:p w14:paraId="31DA3C49" w14:textId="7530B455" w:rsidR="0038777A" w:rsidRDefault="003B2D27" w:rsidP="0038777A">
            <w:pPr>
              <w:spacing w:line="240" w:lineRule="exact"/>
            </w:pPr>
            <w:r>
              <w:t>11</w:t>
            </w:r>
            <w:r w:rsidR="0038777A">
              <w:t xml:space="preserve"> April 2024</w:t>
            </w:r>
          </w:p>
          <w:p w14:paraId="01463A43" w14:textId="77777777" w:rsidR="0038777A" w:rsidRDefault="0038777A" w:rsidP="0038777A">
            <w:pPr>
              <w:spacing w:line="240" w:lineRule="exact"/>
            </w:pPr>
          </w:p>
          <w:p w14:paraId="3F9CD245" w14:textId="7E35CE17" w:rsidR="0038777A" w:rsidRDefault="0038777A" w:rsidP="0038777A">
            <w:pPr>
              <w:spacing w:line="240" w:lineRule="exact"/>
            </w:pPr>
            <w:r>
              <w:t>Original: English</w:t>
            </w:r>
          </w:p>
        </w:tc>
      </w:tr>
    </w:tbl>
    <w:p w14:paraId="4A657673" w14:textId="77777777" w:rsidR="0038777A" w:rsidRPr="006500BA" w:rsidRDefault="0038777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17DFDA8" w14:textId="77777777" w:rsidR="0038777A" w:rsidRPr="006500BA" w:rsidRDefault="0038777A" w:rsidP="004858F5">
      <w:pPr>
        <w:spacing w:before="120"/>
        <w:rPr>
          <w:rFonts w:ascii="Helv" w:hAnsi="Helv" w:cs="Helv"/>
          <w:b/>
          <w:color w:val="000000"/>
        </w:rPr>
      </w:pPr>
      <w:r w:rsidRPr="006500BA">
        <w:rPr>
          <w:b/>
        </w:rPr>
        <w:t xml:space="preserve">Sub-Committee of Experts on the </w:t>
      </w:r>
      <w:r>
        <w:rPr>
          <w:b/>
        </w:rPr>
        <w:t>Transport of Dangerous Goods</w:t>
      </w:r>
    </w:p>
    <w:p w14:paraId="4978F4BE" w14:textId="07978384" w:rsidR="0038777A" w:rsidRPr="0038777A" w:rsidRDefault="0038777A" w:rsidP="004858F5">
      <w:pPr>
        <w:spacing w:before="120"/>
        <w:rPr>
          <w:b/>
          <w:highlight w:val="yellow"/>
        </w:rPr>
      </w:pPr>
      <w:r>
        <w:rPr>
          <w:b/>
        </w:rPr>
        <w:t>Sixty-fourth</w:t>
      </w:r>
      <w:r w:rsidRPr="00853D55">
        <w:rPr>
          <w:b/>
        </w:rPr>
        <w:t xml:space="preserve"> session</w:t>
      </w:r>
    </w:p>
    <w:p w14:paraId="4051E747" w14:textId="45C8EC1A" w:rsidR="0038777A" w:rsidRPr="000F40E3" w:rsidRDefault="0038777A" w:rsidP="004858F5">
      <w:r w:rsidRPr="000F40E3">
        <w:t>Geneva, 24 June -3 July 2024</w:t>
      </w:r>
    </w:p>
    <w:p w14:paraId="212268DC" w14:textId="177E556D" w:rsidR="0038777A" w:rsidRPr="000F40E3" w:rsidRDefault="0038777A" w:rsidP="004858F5">
      <w:r w:rsidRPr="000F40E3">
        <w:t>Item 6 (a) of the provisional agenda</w:t>
      </w:r>
    </w:p>
    <w:p w14:paraId="69956206" w14:textId="77777777" w:rsidR="0038777A" w:rsidRPr="000F40E3" w:rsidRDefault="0038777A" w:rsidP="0038777A">
      <w:pPr>
        <w:ind w:right="199"/>
        <w:rPr>
          <w:b/>
        </w:rPr>
      </w:pPr>
      <w:r w:rsidRPr="000F40E3">
        <w:rPr>
          <w:b/>
        </w:rPr>
        <w:t>Miscellaneous proposals for amendments to the Model Regulations</w:t>
      </w:r>
    </w:p>
    <w:p w14:paraId="22DE72D2" w14:textId="77777777" w:rsidR="0038777A" w:rsidRPr="000F40E3" w:rsidRDefault="0038777A" w:rsidP="0038777A">
      <w:pPr>
        <w:ind w:right="199"/>
        <w:rPr>
          <w:b/>
        </w:rPr>
      </w:pPr>
      <w:r w:rsidRPr="000F40E3">
        <w:rPr>
          <w:b/>
        </w:rPr>
        <w:t>on the Transport of Dangerous Goods:</w:t>
      </w:r>
    </w:p>
    <w:p w14:paraId="64A002B9" w14:textId="2A913FDF" w:rsidR="0038777A" w:rsidRDefault="0038777A" w:rsidP="0038777A">
      <w:pPr>
        <w:rPr>
          <w:b/>
        </w:rPr>
      </w:pPr>
      <w:r w:rsidRPr="000F40E3">
        <w:rPr>
          <w:b/>
        </w:rPr>
        <w:t>Marking and labelling</w:t>
      </w:r>
    </w:p>
    <w:p w14:paraId="44452AE5" w14:textId="0F8367A1" w:rsidR="0038777A" w:rsidRPr="00696ACB" w:rsidRDefault="0089158D" w:rsidP="0089158D">
      <w:pPr>
        <w:pStyle w:val="HChG"/>
        <w:rPr>
          <w:lang w:val="en-US"/>
        </w:rPr>
      </w:pPr>
      <w:r>
        <w:rPr>
          <w:lang w:val="en-US"/>
        </w:rPr>
        <w:tab/>
      </w:r>
      <w:r>
        <w:rPr>
          <w:lang w:val="en-US"/>
        </w:rPr>
        <w:tab/>
      </w:r>
      <w:r w:rsidR="0038777A" w:rsidRPr="15A34AF0">
        <w:rPr>
          <w:lang w:val="en-US"/>
        </w:rPr>
        <w:t xml:space="preserve">Clarification of the battery mark requirements under </w:t>
      </w:r>
      <w:r>
        <w:rPr>
          <w:lang w:val="en-US"/>
        </w:rPr>
        <w:t xml:space="preserve">special provision </w:t>
      </w:r>
      <w:r w:rsidR="0038777A" w:rsidRPr="15A34AF0">
        <w:rPr>
          <w:lang w:val="en-US"/>
        </w:rPr>
        <w:t>188</w:t>
      </w:r>
    </w:p>
    <w:p w14:paraId="2C8B7679" w14:textId="5AD7ED67" w:rsidR="0038777A" w:rsidRPr="00696ACB" w:rsidRDefault="0089158D" w:rsidP="0089158D">
      <w:pPr>
        <w:pStyle w:val="H1G"/>
        <w:rPr>
          <w:highlight w:val="yellow"/>
        </w:rPr>
      </w:pPr>
      <w:r>
        <w:tab/>
      </w:r>
      <w:r>
        <w:tab/>
      </w:r>
      <w:r w:rsidR="0038777A" w:rsidRPr="6157A622">
        <w:t xml:space="preserve">Transmitted by the experts from </w:t>
      </w:r>
      <w:r w:rsidR="007145CB" w:rsidRPr="6157A622">
        <w:t xml:space="preserve">Canada </w:t>
      </w:r>
      <w:r w:rsidR="0038777A" w:rsidRPr="6157A622">
        <w:t xml:space="preserve">and </w:t>
      </w:r>
      <w:r w:rsidR="007145CB" w:rsidRPr="6157A622">
        <w:t>China</w:t>
      </w:r>
      <w:r w:rsidRPr="0089158D">
        <w:rPr>
          <w:rStyle w:val="FootnoteReference"/>
          <w:sz w:val="20"/>
          <w:vertAlign w:val="baseline"/>
        </w:rPr>
        <w:footnoteReference w:customMarkFollows="1" w:id="2"/>
        <w:t>*</w:t>
      </w:r>
    </w:p>
    <w:p w14:paraId="7D4CCD48" w14:textId="63C8C3D3" w:rsidR="0038777A" w:rsidRPr="00696ACB" w:rsidRDefault="0038777A" w:rsidP="00037E15">
      <w:pPr>
        <w:pStyle w:val="HChG"/>
      </w:pPr>
      <w:r w:rsidRPr="00696ACB">
        <w:rPr>
          <w:szCs w:val="24"/>
        </w:rPr>
        <w:tab/>
      </w:r>
      <w:r w:rsidR="00037E15">
        <w:rPr>
          <w:szCs w:val="24"/>
        </w:rPr>
        <w:t>I.</w:t>
      </w:r>
      <w:r w:rsidRPr="00696ACB">
        <w:rPr>
          <w:szCs w:val="24"/>
        </w:rPr>
        <w:tab/>
      </w:r>
      <w:r w:rsidRPr="15A34AF0">
        <w:t>Introduction</w:t>
      </w:r>
    </w:p>
    <w:p w14:paraId="066C2E62" w14:textId="34A9CEDA" w:rsidR="0038777A" w:rsidRPr="00A6064D" w:rsidRDefault="00037E15" w:rsidP="00037E15">
      <w:pPr>
        <w:pStyle w:val="SingleTxtG"/>
      </w:pPr>
      <w:r>
        <w:t>1.</w:t>
      </w:r>
      <w:r>
        <w:tab/>
      </w:r>
      <w:r w:rsidR="0038777A" w:rsidRPr="2608D903">
        <w:t xml:space="preserve">The quantity of lithium batteries being transported around the world is increasing. Their potential hazards in transport are well known and the need to label these batteries is well supported. However, the current text in </w:t>
      </w:r>
      <w:bookmarkStart w:id="0" w:name="_Int_JrDteYh8"/>
      <w:r>
        <w:t>special provision (</w:t>
      </w:r>
      <w:r w:rsidR="0038777A" w:rsidRPr="2608D903">
        <w:t>SP</w:t>
      </w:r>
      <w:bookmarkEnd w:id="0"/>
      <w:r>
        <w:t>)</w:t>
      </w:r>
      <w:r w:rsidR="00346E0D">
        <w:t xml:space="preserve"> </w:t>
      </w:r>
      <w:r w:rsidR="0038777A" w:rsidRPr="2608D903">
        <w:t xml:space="preserve">188 </w:t>
      </w:r>
      <w:r w:rsidR="00346E0D">
        <w:t>on</w:t>
      </w:r>
      <w:r w:rsidR="0038777A" w:rsidRPr="2608D903">
        <w:t xml:space="preserve"> the marking requirements for lithium batteries presents a regulatory gap that seems to be a simple oversight that occurred when it was incorporated into the </w:t>
      </w:r>
      <w:r w:rsidR="0038777A" w:rsidRPr="00C90090">
        <w:rPr>
          <w:i/>
          <w:iCs/>
        </w:rPr>
        <w:t>Model Regulations</w:t>
      </w:r>
      <w:r w:rsidR="0038777A" w:rsidRPr="2608D903">
        <w:t>.</w:t>
      </w:r>
    </w:p>
    <w:p w14:paraId="3F336A98" w14:textId="6B564C24" w:rsidR="0038777A" w:rsidRPr="008563C2" w:rsidRDefault="00037E15" w:rsidP="00037E15">
      <w:pPr>
        <w:pStyle w:val="SingleTxtG"/>
        <w:rPr>
          <w:i/>
          <w:iCs/>
        </w:rPr>
      </w:pPr>
      <w:r>
        <w:t>2.</w:t>
      </w:r>
      <w:r>
        <w:tab/>
      </w:r>
      <w:r w:rsidR="0038777A" w:rsidRPr="2608D903">
        <w:t xml:space="preserve">This proposal builds on comments provided by Canada during plenary on </w:t>
      </w:r>
      <w:r w:rsidR="004B6646">
        <w:t xml:space="preserve">document </w:t>
      </w:r>
      <w:r w:rsidR="0038777A" w:rsidRPr="2608D903">
        <w:t xml:space="preserve">ST/SG/AC.10/C.3/2023/52 submitted by China at the </w:t>
      </w:r>
      <w:r w:rsidR="004B6646">
        <w:t>sixty-third</w:t>
      </w:r>
      <w:r w:rsidR="004B6646" w:rsidRPr="2608D903">
        <w:t xml:space="preserve"> </w:t>
      </w:r>
      <w:r w:rsidR="0038777A" w:rsidRPr="2608D903">
        <w:t>session.</w:t>
      </w:r>
    </w:p>
    <w:p w14:paraId="328D1DAA" w14:textId="4488F3B0" w:rsidR="0038777A" w:rsidRDefault="00037E15" w:rsidP="00037E15">
      <w:pPr>
        <w:pStyle w:val="HChG"/>
      </w:pPr>
      <w:r>
        <w:tab/>
        <w:t>II.</w:t>
      </w:r>
      <w:r>
        <w:tab/>
      </w:r>
      <w:r w:rsidR="0038777A">
        <w:t>Explanation</w:t>
      </w:r>
    </w:p>
    <w:p w14:paraId="6AB7D16E" w14:textId="11888C64" w:rsidR="0038777A" w:rsidRDefault="00037E15" w:rsidP="00037E15">
      <w:pPr>
        <w:pStyle w:val="SingleTxtG"/>
      </w:pPr>
      <w:r>
        <w:t>3.</w:t>
      </w:r>
      <w:r>
        <w:tab/>
      </w:r>
      <w:r w:rsidR="0038777A" w:rsidRPr="2608D903">
        <w:t>Currently, the text in SP 188 (f) only refers to the battery mark illustration found in 5.2.1.9 as opposed to the text in SP 400 (c) which refers to all the requirements related to the battery mark found in 5.2.1.9</w:t>
      </w:r>
      <w:r w:rsidR="00BB6D21">
        <w:t>:</w:t>
      </w:r>
    </w:p>
    <w:p w14:paraId="4239144B" w14:textId="625AD864" w:rsidR="0038777A" w:rsidRPr="00A0209F" w:rsidRDefault="0038777A" w:rsidP="009B2865">
      <w:pPr>
        <w:pStyle w:val="SingleTxtG"/>
        <w:tabs>
          <w:tab w:val="clear" w:pos="1701"/>
        </w:tabs>
        <w:ind w:left="2835" w:hanging="1134"/>
        <w:jc w:val="left"/>
      </w:pPr>
      <w:r w:rsidRPr="15A34AF0">
        <w:t xml:space="preserve">SP 188 (f): </w:t>
      </w:r>
      <w:r w:rsidR="009B2865">
        <w:tab/>
      </w:r>
      <w:r w:rsidRPr="15A34AF0">
        <w:t xml:space="preserve">“Each package shall be marked </w:t>
      </w:r>
      <w:r w:rsidRPr="000944A1">
        <w:rPr>
          <w:b/>
          <w:bCs/>
        </w:rPr>
        <w:t>with the appropriate battery mark, as illustrated at</w:t>
      </w:r>
      <w:r w:rsidRPr="15A34AF0">
        <w:t xml:space="preserve"> 5.2.1.9;”</w:t>
      </w:r>
    </w:p>
    <w:p w14:paraId="16339CA1" w14:textId="664624F8" w:rsidR="0038777A" w:rsidRDefault="0038777A" w:rsidP="009B2865">
      <w:pPr>
        <w:pStyle w:val="SingleTxtG"/>
        <w:tabs>
          <w:tab w:val="clear" w:pos="1701"/>
        </w:tabs>
        <w:ind w:left="2835" w:hanging="1134"/>
        <w:jc w:val="left"/>
      </w:pPr>
      <w:r w:rsidRPr="7E17F573">
        <w:t xml:space="preserve">SP 400 (c): </w:t>
      </w:r>
      <w:r w:rsidR="009B2865">
        <w:tab/>
      </w:r>
      <w:r w:rsidRPr="7E17F573">
        <w:t xml:space="preserve">“Each package shall be marked </w:t>
      </w:r>
      <w:r w:rsidRPr="000944A1">
        <w:rPr>
          <w:b/>
          <w:bCs/>
        </w:rPr>
        <w:t>according to</w:t>
      </w:r>
      <w:r w:rsidRPr="7E17F573">
        <w:t xml:space="preserve"> 5.2.1.9;”</w:t>
      </w:r>
    </w:p>
    <w:p w14:paraId="5F6D0C2C" w14:textId="6439193E" w:rsidR="0038777A" w:rsidRDefault="000944A1" w:rsidP="00F132AE">
      <w:pPr>
        <w:pStyle w:val="SingleTxtG"/>
      </w:pPr>
      <w:r>
        <w:t>4</w:t>
      </w:r>
      <w:r w:rsidR="00037E15">
        <w:t>.</w:t>
      </w:r>
      <w:r w:rsidR="00037E15">
        <w:tab/>
      </w:r>
      <w:r w:rsidR="0038777A" w:rsidRPr="2608D903">
        <w:t xml:space="preserve">The marking requirements found in 5.2.1.9 contain not only the illustration of the battery mark, but also size requirements for the battery mark and the need for </w:t>
      </w:r>
      <w:bookmarkStart w:id="1" w:name="_Int_khd79aSM"/>
      <w:r w:rsidR="0038777A" w:rsidRPr="2608D903">
        <w:t>UN</w:t>
      </w:r>
      <w:bookmarkEnd w:id="1"/>
      <w:r w:rsidR="0038777A" w:rsidRPr="2608D903">
        <w:t xml:space="preserve"> numbers. Thus, without a reference to all the requirements under 5.2.1.9, there is a regulatory gap for the marking of lithium batteries.</w:t>
      </w:r>
    </w:p>
    <w:p w14:paraId="37ECD8C5" w14:textId="20DC81FA" w:rsidR="0038777A" w:rsidRDefault="000944A1" w:rsidP="00F132AE">
      <w:pPr>
        <w:pStyle w:val="SingleTxtG"/>
      </w:pPr>
      <w:r>
        <w:lastRenderedPageBreak/>
        <w:t>5</w:t>
      </w:r>
      <w:r w:rsidR="00037E15">
        <w:t>.</w:t>
      </w:r>
      <w:r w:rsidR="00037E15">
        <w:tab/>
      </w:r>
      <w:r w:rsidR="0038777A" w:rsidRPr="2608D903">
        <w:t>Following a review of the archives, it is our understanding that the original intent, as presented</w:t>
      </w:r>
      <w:r w:rsidR="004567FE">
        <w:t xml:space="preserve"> at the forty-</w:t>
      </w:r>
      <w:r w:rsidR="00E01F0C">
        <w:t>sixth session</w:t>
      </w:r>
      <w:r w:rsidR="0038777A" w:rsidRPr="2608D903">
        <w:t xml:space="preserve"> </w:t>
      </w:r>
      <w:r w:rsidR="009960D1">
        <w:t xml:space="preserve">of the Sub-Committee </w:t>
      </w:r>
      <w:r w:rsidR="0038777A" w:rsidRPr="2608D903">
        <w:t xml:space="preserve">in </w:t>
      </w:r>
      <w:r>
        <w:t>informal document</w:t>
      </w:r>
      <w:r w:rsidR="004567FE">
        <w:t>s INF.41</w:t>
      </w:r>
      <w:r w:rsidR="00E01F0C">
        <w:rPr>
          <w:rStyle w:val="FootnoteReference"/>
        </w:rPr>
        <w:footnoteReference w:id="3"/>
      </w:r>
      <w:r w:rsidR="0038777A" w:rsidRPr="2608D903">
        <w:t xml:space="preserve"> and</w:t>
      </w:r>
      <w:r w:rsidR="004567FE">
        <w:t xml:space="preserve"> INF.73</w:t>
      </w:r>
      <w:r w:rsidR="00E01F0C">
        <w:rPr>
          <w:rStyle w:val="FootnoteReference"/>
        </w:rPr>
        <w:footnoteReference w:id="4"/>
      </w:r>
      <w:r w:rsidR="0038777A" w:rsidRPr="2608D903">
        <w:t xml:space="preserve"> by </w:t>
      </w:r>
      <w:r w:rsidR="00E01F0C">
        <w:t>the</w:t>
      </w:r>
      <w:r w:rsidR="005A231F" w:rsidRPr="005A231F">
        <w:t xml:space="preserve"> International Air Transport Association </w:t>
      </w:r>
      <w:r w:rsidR="005A231F">
        <w:t>(</w:t>
      </w:r>
      <w:r w:rsidR="0038777A" w:rsidRPr="2608D903">
        <w:t>IATA</w:t>
      </w:r>
      <w:r w:rsidR="005A231F">
        <w:t>)</w:t>
      </w:r>
      <w:r w:rsidR="0038777A" w:rsidRPr="2608D903">
        <w:t>, was that all the requirements under 5.2.1.9 should apply, and that the reference to the illustration alone was simply an oversight.</w:t>
      </w:r>
    </w:p>
    <w:p w14:paraId="316CF26B" w14:textId="384451B5" w:rsidR="0038777A" w:rsidRDefault="000944A1" w:rsidP="00F132AE">
      <w:pPr>
        <w:pStyle w:val="SingleTxtG"/>
      </w:pPr>
      <w:r>
        <w:t>6</w:t>
      </w:r>
      <w:r w:rsidR="00037E15">
        <w:t>.</w:t>
      </w:r>
      <w:r w:rsidR="00037E15">
        <w:tab/>
      </w:r>
      <w:r w:rsidR="0038777A" w:rsidRPr="2608D903">
        <w:t>Therefore, we believe that SP</w:t>
      </w:r>
      <w:r w:rsidR="005A231F">
        <w:t> </w:t>
      </w:r>
      <w:r w:rsidR="0038777A" w:rsidRPr="2608D903">
        <w:t>188 (f) should be amended to align with the text in SP</w:t>
      </w:r>
      <w:r w:rsidR="005A231F">
        <w:t> </w:t>
      </w:r>
      <w:r w:rsidR="0038777A" w:rsidRPr="2608D903">
        <w:t>400 (c) to ensure a consistent approach to the marking of lithium and sodium ion batteries.</w:t>
      </w:r>
    </w:p>
    <w:p w14:paraId="077D89C7" w14:textId="1C600C5F" w:rsidR="0038777A" w:rsidRDefault="000944A1" w:rsidP="00F132AE">
      <w:pPr>
        <w:pStyle w:val="SingleTxtG"/>
      </w:pPr>
      <w:r>
        <w:t>7</w:t>
      </w:r>
      <w:r w:rsidR="00037E15">
        <w:t>.</w:t>
      </w:r>
      <w:r w:rsidR="00037E15">
        <w:tab/>
      </w:r>
      <w:r w:rsidR="0038777A" w:rsidRPr="2608D903">
        <w:t>This proposal supports sustainable development goal 6, “peace, justice, and strong institutions”</w:t>
      </w:r>
      <w:r w:rsidR="00A43596">
        <w:t>.</w:t>
      </w:r>
      <w:r w:rsidR="0038777A" w:rsidRPr="2608D903">
        <w:t xml:space="preserve"> Specifically, having uniformity in marking requirements enables the creation of more consistent regulations, thus contributing to the implementation of target 16.6 to “develop effective, accountable and transparent institutions at all levels</w:t>
      </w:r>
      <w:bookmarkStart w:id="2" w:name="_Int_C6aiLwFa"/>
      <w:r w:rsidR="0038777A" w:rsidRPr="2608D903">
        <w:t>”.</w:t>
      </w:r>
      <w:bookmarkEnd w:id="2"/>
    </w:p>
    <w:p w14:paraId="118028B0" w14:textId="5DB3262C" w:rsidR="0038777A" w:rsidRPr="00784995" w:rsidRDefault="00F132AE" w:rsidP="00F132AE">
      <w:pPr>
        <w:pStyle w:val="HChG"/>
      </w:pPr>
      <w:r>
        <w:tab/>
      </w:r>
      <w:r w:rsidR="00037E15" w:rsidRPr="00F132AE">
        <w:t>III.</w:t>
      </w:r>
      <w:r w:rsidR="00037E15" w:rsidRPr="00F132AE">
        <w:tab/>
      </w:r>
      <w:r>
        <w:tab/>
      </w:r>
      <w:r w:rsidR="0038777A" w:rsidRPr="00F132AE">
        <w:t>Proposal</w:t>
      </w:r>
    </w:p>
    <w:p w14:paraId="79AC7324" w14:textId="7AB0432B" w:rsidR="0038777A" w:rsidRDefault="000944A1" w:rsidP="00F132AE">
      <w:pPr>
        <w:pStyle w:val="SingleTxtG"/>
      </w:pPr>
      <w:r>
        <w:t>8</w:t>
      </w:r>
      <w:r w:rsidR="00037E15">
        <w:t>.</w:t>
      </w:r>
      <w:r w:rsidR="00037E15">
        <w:tab/>
      </w:r>
      <w:r w:rsidR="0038777A" w:rsidRPr="2608D903">
        <w:t xml:space="preserve">To ensure </w:t>
      </w:r>
      <w:r w:rsidR="00BE0A81">
        <w:t xml:space="preserve">in 3.3 </w:t>
      </w:r>
      <w:r w:rsidR="0038777A" w:rsidRPr="2608D903">
        <w:t>the marking requirements under SP</w:t>
      </w:r>
      <w:r w:rsidR="009A4526">
        <w:t> </w:t>
      </w:r>
      <w:r w:rsidR="0038777A" w:rsidRPr="2608D903">
        <w:t xml:space="preserve">188 </w:t>
      </w:r>
      <w:r w:rsidR="009A4526">
        <w:t xml:space="preserve">(f) </w:t>
      </w:r>
      <w:r w:rsidR="0038777A" w:rsidRPr="2608D903">
        <w:t>are clear and interpretated the same way, the following changes are proposed</w:t>
      </w:r>
      <w:r w:rsidR="009A4526">
        <w:t xml:space="preserve"> (</w:t>
      </w:r>
      <w:r w:rsidR="0038777A" w:rsidRPr="2608D903">
        <w:t xml:space="preserve">with deleted text in </w:t>
      </w:r>
      <w:r w:rsidR="0038777A" w:rsidRPr="2608D903">
        <w:rPr>
          <w:strike/>
        </w:rPr>
        <w:t>strikethrough</w:t>
      </w:r>
      <w:r w:rsidR="0038777A" w:rsidRPr="2608D903">
        <w:t xml:space="preserve"> and new text in </w:t>
      </w:r>
      <w:r w:rsidR="0038777A" w:rsidRPr="2608D903">
        <w:rPr>
          <w:b/>
          <w:bCs/>
          <w:u w:val="single"/>
        </w:rPr>
        <w:t>bold underline</w:t>
      </w:r>
      <w:r w:rsidR="009A4526">
        <w:rPr>
          <w:b/>
          <w:bCs/>
          <w:u w:val="single"/>
        </w:rPr>
        <w:t>)</w:t>
      </w:r>
      <w:r w:rsidR="0038777A" w:rsidRPr="2608D903">
        <w:t>:</w:t>
      </w:r>
    </w:p>
    <w:p w14:paraId="502EADA1" w14:textId="2A015D7A" w:rsidR="0038777A" w:rsidRDefault="004E4877" w:rsidP="0038777A">
      <w:pPr>
        <w:spacing w:after="200"/>
        <w:ind w:left="2552" w:right="630" w:hanging="567"/>
      </w:pPr>
      <w:r>
        <w:t>“</w:t>
      </w:r>
      <w:r w:rsidR="0038777A">
        <w:t>(f)</w:t>
      </w:r>
      <w:r w:rsidR="0038777A">
        <w:tab/>
      </w:r>
      <w:r w:rsidR="0038777A" w:rsidRPr="7E17F573">
        <w:rPr>
          <w:lang w:eastAsia="en-GB"/>
        </w:rPr>
        <w:t xml:space="preserve">Each package shall be marked </w:t>
      </w:r>
      <w:r w:rsidR="0038777A" w:rsidRPr="7E17F573">
        <w:rPr>
          <w:strike/>
          <w:lang w:eastAsia="en-GB"/>
        </w:rPr>
        <w:t xml:space="preserve">with the </w:t>
      </w:r>
      <w:r w:rsidR="0038777A" w:rsidRPr="7E17F573">
        <w:rPr>
          <w:strike/>
        </w:rPr>
        <w:t>appropriate battery mark,</w:t>
      </w:r>
      <w:r w:rsidR="0038777A">
        <w:t xml:space="preserve"> </w:t>
      </w:r>
      <w:r w:rsidR="0038777A" w:rsidRPr="7E17F573">
        <w:rPr>
          <w:strike/>
        </w:rPr>
        <w:t>as illustrated at</w:t>
      </w:r>
      <w:r w:rsidR="0038777A">
        <w:t xml:space="preserve"> </w:t>
      </w:r>
      <w:r w:rsidR="0038777A" w:rsidRPr="7E17F573">
        <w:rPr>
          <w:b/>
          <w:bCs/>
          <w:u w:val="single"/>
        </w:rPr>
        <w:t>according to</w:t>
      </w:r>
      <w:r w:rsidR="0038777A">
        <w:t xml:space="preserve"> 5.2.1.9;</w:t>
      </w:r>
      <w:r>
        <w:t>”</w:t>
      </w:r>
    </w:p>
    <w:p w14:paraId="605F6EEC" w14:textId="68EC0563" w:rsidR="009B2865" w:rsidRPr="009B2865" w:rsidRDefault="009B2865" w:rsidP="009B2865">
      <w:pPr>
        <w:spacing w:before="240"/>
        <w:jc w:val="center"/>
        <w:rPr>
          <w:u w:val="single"/>
        </w:rPr>
      </w:pPr>
      <w:r>
        <w:rPr>
          <w:u w:val="single"/>
        </w:rPr>
        <w:tab/>
      </w:r>
      <w:r>
        <w:rPr>
          <w:u w:val="single"/>
        </w:rPr>
        <w:tab/>
      </w:r>
      <w:r>
        <w:rPr>
          <w:u w:val="single"/>
        </w:rPr>
        <w:tab/>
      </w:r>
    </w:p>
    <w:sectPr w:rsidR="009B2865" w:rsidRPr="009B2865" w:rsidSect="0038777A">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0D9F" w14:textId="77777777" w:rsidR="00733031" w:rsidRPr="00C47B2E" w:rsidRDefault="00733031" w:rsidP="00C47B2E">
      <w:pPr>
        <w:pStyle w:val="Footer"/>
      </w:pPr>
    </w:p>
  </w:endnote>
  <w:endnote w:type="continuationSeparator" w:id="0">
    <w:p w14:paraId="6F6EBFB8" w14:textId="77777777" w:rsidR="00733031" w:rsidRPr="00C47B2E" w:rsidRDefault="00733031" w:rsidP="00C47B2E">
      <w:pPr>
        <w:pStyle w:val="Footer"/>
      </w:pPr>
    </w:p>
  </w:endnote>
  <w:endnote w:type="continuationNotice" w:id="1">
    <w:p w14:paraId="3C172FD6" w14:textId="77777777" w:rsidR="00733031" w:rsidRPr="00C47B2E" w:rsidRDefault="0073303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DCFF" w14:textId="457A38D0" w:rsidR="00D94B05" w:rsidRPr="0038777A" w:rsidRDefault="0038777A" w:rsidP="0038777A">
    <w:pPr>
      <w:pStyle w:val="Footer"/>
      <w:tabs>
        <w:tab w:val="right" w:pos="9598"/>
        <w:tab w:val="right" w:pos="9638"/>
      </w:tabs>
      <w:rPr>
        <w:sz w:val="18"/>
      </w:rPr>
    </w:pPr>
    <w:r w:rsidRPr="0038777A">
      <w:rPr>
        <w:b/>
        <w:sz w:val="18"/>
      </w:rPr>
      <w:fldChar w:fldCharType="begin"/>
    </w:r>
    <w:r w:rsidRPr="0038777A">
      <w:rPr>
        <w:b/>
        <w:sz w:val="18"/>
      </w:rPr>
      <w:instrText xml:space="preserve"> PAGE  \* MERGEFORMAT </w:instrText>
    </w:r>
    <w:r w:rsidRPr="0038777A">
      <w:rPr>
        <w:b/>
        <w:sz w:val="18"/>
      </w:rPr>
      <w:fldChar w:fldCharType="separate"/>
    </w:r>
    <w:r w:rsidRPr="0038777A">
      <w:rPr>
        <w:b/>
        <w:noProof/>
        <w:sz w:val="18"/>
      </w:rPr>
      <w:t>2</w:t>
    </w:r>
    <w:r w:rsidRPr="003877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3F58" w14:textId="457586C9" w:rsidR="00D94B05" w:rsidRPr="0038777A" w:rsidRDefault="0038777A" w:rsidP="0038777A">
    <w:pPr>
      <w:pStyle w:val="Footer"/>
      <w:tabs>
        <w:tab w:val="left" w:pos="5775"/>
        <w:tab w:val="right" w:pos="9598"/>
        <w:tab w:val="right" w:pos="9638"/>
      </w:tabs>
      <w:rPr>
        <w:sz w:val="18"/>
      </w:rPr>
    </w:pPr>
    <w:r>
      <w:rPr>
        <w:b/>
        <w:sz w:val="18"/>
      </w:rPr>
      <w:tab/>
    </w:r>
    <w:r w:rsidRPr="0038777A">
      <w:rPr>
        <w:sz w:val="18"/>
      </w:rPr>
      <w:fldChar w:fldCharType="begin"/>
    </w:r>
    <w:r w:rsidRPr="0038777A">
      <w:rPr>
        <w:sz w:val="18"/>
      </w:rPr>
      <w:instrText xml:space="preserve"> PAGE  \* MERGEFORMAT </w:instrText>
    </w:r>
    <w:r w:rsidRPr="0038777A">
      <w:rPr>
        <w:sz w:val="18"/>
      </w:rPr>
      <w:fldChar w:fldCharType="separate"/>
    </w:r>
    <w:r w:rsidRPr="0038777A">
      <w:rPr>
        <w:noProof/>
        <w:sz w:val="18"/>
      </w:rPr>
      <w:t>3</w:t>
    </w:r>
    <w:r w:rsidRPr="0038777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123E" w14:textId="50432A1C" w:rsidR="00D94B05" w:rsidRDefault="0050030A" w:rsidP="0050030A">
    <w:pPr>
      <w:pStyle w:val="Footer"/>
      <w:rPr>
        <w:rFonts w:asciiTheme="majorBidi" w:hAnsiTheme="majorBidi" w:cstheme="majorBidi"/>
        <w:sz w:val="20"/>
      </w:rPr>
    </w:pPr>
    <w:bookmarkStart w:id="3" w:name="_GoBack"/>
    <w:bookmarkEnd w:id="3"/>
    <w:r w:rsidRPr="0050030A">
      <w:rPr>
        <w:rFonts w:asciiTheme="majorBidi" w:hAnsiTheme="majorBidi" w:cstheme="majorBidi"/>
        <w:noProof/>
        <w:sz w:val="20"/>
        <w:lang w:val="en-US"/>
      </w:rPr>
      <w:drawing>
        <wp:anchor distT="0" distB="0" distL="114300" distR="114300" simplePos="0" relativeHeight="251661312" behindDoc="1" locked="1" layoutInCell="1" allowOverlap="1" wp14:anchorId="041C644E" wp14:editId="5040BAE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D064B3" w14:textId="6A7C17A1" w:rsidR="0050030A" w:rsidRPr="0050030A" w:rsidRDefault="0050030A" w:rsidP="0050030A">
    <w:pPr>
      <w:pStyle w:val="Footer"/>
      <w:ind w:right="1134"/>
      <w:rPr>
        <w:rFonts w:asciiTheme="majorBidi" w:hAnsiTheme="majorBidi" w:cstheme="majorBidi"/>
        <w:sz w:val="20"/>
      </w:rPr>
    </w:pPr>
    <w:r>
      <w:rPr>
        <w:rFonts w:asciiTheme="majorBidi" w:hAnsiTheme="majorBidi" w:cstheme="majorBidi"/>
        <w:sz w:val="20"/>
      </w:rPr>
      <w:t>GE.24-06563  (E)</w:t>
    </w:r>
    <w:r>
      <w:rPr>
        <w:rFonts w:asciiTheme="majorBidi" w:hAnsiTheme="majorBidi" w:cstheme="majorBidi"/>
        <w:noProof/>
        <w:sz w:val="20"/>
      </w:rPr>
      <w:drawing>
        <wp:anchor distT="0" distB="0" distL="114300" distR="114300" simplePos="0" relativeHeight="251662336" behindDoc="0" locked="0" layoutInCell="1" allowOverlap="1" wp14:anchorId="06A78378" wp14:editId="7DB6610A">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5677" w14:textId="77777777" w:rsidR="00733031" w:rsidRPr="00C47B2E" w:rsidRDefault="00733031" w:rsidP="00C47B2E">
      <w:pPr>
        <w:tabs>
          <w:tab w:val="right" w:pos="2155"/>
        </w:tabs>
        <w:spacing w:after="80" w:line="240" w:lineRule="auto"/>
        <w:ind w:left="680"/>
      </w:pPr>
      <w:r>
        <w:rPr>
          <w:u w:val="single"/>
        </w:rPr>
        <w:tab/>
      </w:r>
    </w:p>
  </w:footnote>
  <w:footnote w:type="continuationSeparator" w:id="0">
    <w:p w14:paraId="5E70346E" w14:textId="77777777" w:rsidR="00733031" w:rsidRPr="00C47B2E" w:rsidRDefault="00733031" w:rsidP="005E716E">
      <w:pPr>
        <w:tabs>
          <w:tab w:val="right" w:pos="2155"/>
        </w:tabs>
        <w:spacing w:after="80" w:line="240" w:lineRule="auto"/>
        <w:ind w:left="680"/>
      </w:pPr>
      <w:r>
        <w:rPr>
          <w:u w:val="single"/>
        </w:rPr>
        <w:tab/>
      </w:r>
    </w:p>
  </w:footnote>
  <w:footnote w:type="continuationNotice" w:id="1">
    <w:p w14:paraId="1CDC265F" w14:textId="77777777" w:rsidR="00733031" w:rsidRPr="00C47B2E" w:rsidRDefault="00733031" w:rsidP="00C47B2E">
      <w:pPr>
        <w:pStyle w:val="Footer"/>
      </w:pPr>
    </w:p>
  </w:footnote>
  <w:footnote w:id="2">
    <w:p w14:paraId="32C3F4C9" w14:textId="26BE9103" w:rsidR="0089158D" w:rsidRPr="00691ECB" w:rsidRDefault="0089158D">
      <w:pPr>
        <w:pStyle w:val="FootnoteText"/>
        <w:rPr>
          <w:lang w:val="en-US"/>
        </w:rPr>
      </w:pPr>
      <w:r>
        <w:rPr>
          <w:rStyle w:val="FootnoteReference"/>
        </w:rPr>
        <w:tab/>
      </w:r>
      <w:r w:rsidRPr="0089158D">
        <w:rPr>
          <w:rStyle w:val="FootnoteReference"/>
          <w:sz w:val="20"/>
          <w:vertAlign w:val="baseline"/>
        </w:rPr>
        <w:t>*</w:t>
      </w:r>
      <w:r>
        <w:rPr>
          <w:rStyle w:val="FootnoteReference"/>
          <w:sz w:val="20"/>
          <w:vertAlign w:val="baseline"/>
        </w:rPr>
        <w:tab/>
      </w:r>
      <w:r w:rsidR="00037E15" w:rsidRPr="00037E15">
        <w:rPr>
          <w:sz w:val="20"/>
        </w:rPr>
        <w:t>A/78/6 (Sect. 20), table 20.5.</w:t>
      </w:r>
    </w:p>
  </w:footnote>
  <w:footnote w:id="3">
    <w:p w14:paraId="40F17D88" w14:textId="00D11A5A" w:rsidR="00E01F0C" w:rsidRPr="00691ECB" w:rsidRDefault="00DE2CFE">
      <w:pPr>
        <w:pStyle w:val="FootnoteText"/>
        <w:rPr>
          <w:lang w:val="en-US"/>
        </w:rPr>
      </w:pPr>
      <w:r>
        <w:tab/>
      </w:r>
      <w:r w:rsidR="00E01F0C">
        <w:rPr>
          <w:rStyle w:val="FootnoteReference"/>
        </w:rPr>
        <w:footnoteRef/>
      </w:r>
      <w:r w:rsidR="00E01F0C">
        <w:t xml:space="preserve"> </w:t>
      </w:r>
      <w:r>
        <w:tab/>
      </w:r>
      <w:r w:rsidR="00E01F0C" w:rsidRPr="00E01F0C">
        <w:t>https://unece.org/DAM/trans/doc/2014/dgac10c3/UN-SCETDG-46-INF41e.pdf</w:t>
      </w:r>
    </w:p>
  </w:footnote>
  <w:footnote w:id="4">
    <w:p w14:paraId="7E8A1301" w14:textId="79AB51FD" w:rsidR="00E01F0C" w:rsidRPr="00691ECB" w:rsidRDefault="00DE2CFE">
      <w:pPr>
        <w:pStyle w:val="FootnoteText"/>
      </w:pPr>
      <w:r>
        <w:tab/>
      </w:r>
      <w:r w:rsidR="00E01F0C">
        <w:rPr>
          <w:rStyle w:val="FootnoteReference"/>
        </w:rPr>
        <w:footnoteRef/>
      </w:r>
      <w:r>
        <w:tab/>
      </w:r>
      <w:r w:rsidR="00E01F0C">
        <w:t xml:space="preserve"> </w:t>
      </w:r>
      <w:r w:rsidR="00E01F0C" w:rsidRPr="00E01F0C">
        <w:t>https://unece.org/DAM/trans/doc/2014/dgac10c3/UN-SCETDG-46-INF73e.pdf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96A" w14:textId="591B4D6D" w:rsidR="0038777A" w:rsidRPr="0038777A" w:rsidRDefault="0038777A">
    <w:pPr>
      <w:pStyle w:val="Header"/>
    </w:pPr>
    <w:r>
      <w:t>ST/SG/AC.10/C.3/2024/28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CAB7" w14:textId="66A47EE0" w:rsidR="00D94B05" w:rsidRPr="0038777A" w:rsidRDefault="003B2D27" w:rsidP="0038777A">
    <w:pPr>
      <w:pStyle w:val="Header"/>
      <w:jc w:val="right"/>
    </w:pPr>
    <w:fldSimple w:instr=" TITLE  \* MERGEFORMAT ">
      <w:r w:rsidR="009F7BC3">
        <w:t>ST/SG/AC.10/C.3/2024/28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04CA8"/>
    <w:multiLevelType w:val="multilevel"/>
    <w:tmpl w:val="273A2846"/>
    <w:lvl w:ilvl="0">
      <w:start w:val="1"/>
      <w:numFmt w:val="decimal"/>
      <w:lvlText w:val="%1."/>
      <w:lvlJc w:val="left"/>
      <w:pPr>
        <w:ind w:left="1811" w:hanging="555"/>
      </w:pPr>
      <w:rPr>
        <w:i w:val="0"/>
        <w:sz w:val="20"/>
        <w:szCs w:val="20"/>
      </w:rPr>
    </w:lvl>
    <w:lvl w:ilvl="1">
      <w:start w:val="1"/>
      <w:numFmt w:val="lowerLetter"/>
      <w:lvlText w:val="%2)"/>
      <w:lvlJc w:val="left"/>
      <w:pPr>
        <w:ind w:left="2044" w:hanging="600"/>
      </w:pPr>
      <w:rPr>
        <w:i w:val="0"/>
      </w:rPr>
    </w:lvl>
    <w:lvl w:ilvl="2">
      <w:start w:val="2"/>
      <w:numFmt w:val="decimal"/>
      <w:lvlText w:val="%1.%2.%3"/>
      <w:lvlJc w:val="left"/>
      <w:pPr>
        <w:ind w:left="2352" w:hanging="720"/>
      </w:pPr>
      <w:rPr>
        <w:i/>
      </w:rPr>
    </w:lvl>
    <w:lvl w:ilvl="3">
      <w:start w:val="4"/>
      <w:numFmt w:val="decimal"/>
      <w:lvlText w:val="%1.%2.%3.%4"/>
      <w:lvlJc w:val="left"/>
      <w:pPr>
        <w:ind w:left="2540" w:hanging="720"/>
      </w:pPr>
      <w:rPr>
        <w:i/>
      </w:rPr>
    </w:lvl>
    <w:lvl w:ilvl="4">
      <w:start w:val="1"/>
      <w:numFmt w:val="decimal"/>
      <w:lvlText w:val="%1.%2.%3.%4.%5"/>
      <w:lvlJc w:val="left"/>
      <w:pPr>
        <w:ind w:left="2728" w:hanging="720"/>
      </w:pPr>
      <w:rPr>
        <w:i/>
      </w:rPr>
    </w:lvl>
    <w:lvl w:ilvl="5">
      <w:start w:val="1"/>
      <w:numFmt w:val="decimal"/>
      <w:lvlText w:val="%1.%2.%3.%4.%5.%6"/>
      <w:lvlJc w:val="left"/>
      <w:pPr>
        <w:ind w:left="3276" w:hanging="1080"/>
      </w:pPr>
      <w:rPr>
        <w:i/>
      </w:rPr>
    </w:lvl>
    <w:lvl w:ilvl="6">
      <w:start w:val="1"/>
      <w:numFmt w:val="decimal"/>
      <w:lvlText w:val="%1.%2.%3.%4.%5.%6.%7"/>
      <w:lvlJc w:val="left"/>
      <w:pPr>
        <w:ind w:left="3464" w:hanging="1080"/>
      </w:pPr>
      <w:rPr>
        <w:i/>
      </w:rPr>
    </w:lvl>
    <w:lvl w:ilvl="7">
      <w:start w:val="1"/>
      <w:numFmt w:val="decimal"/>
      <w:lvlText w:val="%1.%2.%3.%4.%5.%6.%7.%8"/>
      <w:lvlJc w:val="left"/>
      <w:pPr>
        <w:ind w:left="4012" w:hanging="1440"/>
      </w:pPr>
      <w:rPr>
        <w:i/>
      </w:rPr>
    </w:lvl>
    <w:lvl w:ilvl="8">
      <w:start w:val="1"/>
      <w:numFmt w:val="decimal"/>
      <w:lvlText w:val="%1.%2.%3.%4.%5.%6.%7.%8.%9"/>
      <w:lvlJc w:val="left"/>
      <w:pPr>
        <w:ind w:left="4200" w:hanging="1440"/>
      </w:pPr>
      <w:rPr>
        <w:i/>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5840952">
    <w:abstractNumId w:val="5"/>
  </w:num>
  <w:num w:numId="2" w16cid:durableId="1175144967">
    <w:abstractNumId w:val="4"/>
  </w:num>
  <w:num w:numId="3" w16cid:durableId="270861872">
    <w:abstractNumId w:val="0"/>
  </w:num>
  <w:num w:numId="4" w16cid:durableId="1966810631">
    <w:abstractNumId w:val="7"/>
  </w:num>
  <w:num w:numId="5" w16cid:durableId="1172915136">
    <w:abstractNumId w:val="8"/>
  </w:num>
  <w:num w:numId="6" w16cid:durableId="1041977060">
    <w:abstractNumId w:val="10"/>
  </w:num>
  <w:num w:numId="7" w16cid:durableId="428309720">
    <w:abstractNumId w:val="3"/>
  </w:num>
  <w:num w:numId="8" w16cid:durableId="342437154">
    <w:abstractNumId w:val="1"/>
  </w:num>
  <w:num w:numId="9" w16cid:durableId="2025400615">
    <w:abstractNumId w:val="9"/>
  </w:num>
  <w:num w:numId="10" w16cid:durableId="1160927212">
    <w:abstractNumId w:val="1"/>
  </w:num>
  <w:num w:numId="11" w16cid:durableId="849487011">
    <w:abstractNumId w:val="9"/>
  </w:num>
  <w:num w:numId="12" w16cid:durableId="1362975534">
    <w:abstractNumId w:val="2"/>
  </w:num>
  <w:num w:numId="13" w16cid:durableId="548956011">
    <w:abstractNumId w:val="2"/>
  </w:num>
  <w:num w:numId="14" w16cid:durableId="253051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7A"/>
    <w:rsid w:val="00037E15"/>
    <w:rsid w:val="00046E92"/>
    <w:rsid w:val="00063C90"/>
    <w:rsid w:val="00070000"/>
    <w:rsid w:val="000944A1"/>
    <w:rsid w:val="000F40E3"/>
    <w:rsid w:val="00101B98"/>
    <w:rsid w:val="001514D1"/>
    <w:rsid w:val="001E7142"/>
    <w:rsid w:val="00247E2C"/>
    <w:rsid w:val="002A32CB"/>
    <w:rsid w:val="002D5B2C"/>
    <w:rsid w:val="002D6C53"/>
    <w:rsid w:val="002F5595"/>
    <w:rsid w:val="00334F6A"/>
    <w:rsid w:val="00335A56"/>
    <w:rsid w:val="00342AC8"/>
    <w:rsid w:val="00343302"/>
    <w:rsid w:val="00346E0D"/>
    <w:rsid w:val="0038777A"/>
    <w:rsid w:val="003979DE"/>
    <w:rsid w:val="003A0909"/>
    <w:rsid w:val="003B2D27"/>
    <w:rsid w:val="003B4550"/>
    <w:rsid w:val="003D2A18"/>
    <w:rsid w:val="00413386"/>
    <w:rsid w:val="004567FE"/>
    <w:rsid w:val="00461253"/>
    <w:rsid w:val="004858F5"/>
    <w:rsid w:val="004A2814"/>
    <w:rsid w:val="004B6646"/>
    <w:rsid w:val="004C0622"/>
    <w:rsid w:val="004E4877"/>
    <w:rsid w:val="004F73D0"/>
    <w:rsid w:val="0050030A"/>
    <w:rsid w:val="005042C2"/>
    <w:rsid w:val="005A231F"/>
    <w:rsid w:val="005E716E"/>
    <w:rsid w:val="006476E1"/>
    <w:rsid w:val="006604DF"/>
    <w:rsid w:val="00671529"/>
    <w:rsid w:val="00691ECB"/>
    <w:rsid w:val="006A5E20"/>
    <w:rsid w:val="006F1EF5"/>
    <w:rsid w:val="0070489D"/>
    <w:rsid w:val="007145CB"/>
    <w:rsid w:val="007200A1"/>
    <w:rsid w:val="007268F9"/>
    <w:rsid w:val="00732314"/>
    <w:rsid w:val="00733031"/>
    <w:rsid w:val="00750282"/>
    <w:rsid w:val="00764440"/>
    <w:rsid w:val="0077101B"/>
    <w:rsid w:val="007C52B0"/>
    <w:rsid w:val="007C6033"/>
    <w:rsid w:val="008147C8"/>
    <w:rsid w:val="0081753A"/>
    <w:rsid w:val="00857D23"/>
    <w:rsid w:val="0089158D"/>
    <w:rsid w:val="009411B4"/>
    <w:rsid w:val="00946F1D"/>
    <w:rsid w:val="009960D1"/>
    <w:rsid w:val="009A4526"/>
    <w:rsid w:val="009B2865"/>
    <w:rsid w:val="009D0139"/>
    <w:rsid w:val="009D717D"/>
    <w:rsid w:val="009F5CDC"/>
    <w:rsid w:val="009F7BC3"/>
    <w:rsid w:val="00A072D7"/>
    <w:rsid w:val="00A43596"/>
    <w:rsid w:val="00A775CF"/>
    <w:rsid w:val="00AD1A9C"/>
    <w:rsid w:val="00AF5DE1"/>
    <w:rsid w:val="00B06045"/>
    <w:rsid w:val="00B206DD"/>
    <w:rsid w:val="00B52EF4"/>
    <w:rsid w:val="00B777AD"/>
    <w:rsid w:val="00BA6351"/>
    <w:rsid w:val="00BB6D21"/>
    <w:rsid w:val="00BD142B"/>
    <w:rsid w:val="00BE0A81"/>
    <w:rsid w:val="00C03015"/>
    <w:rsid w:val="00C0358D"/>
    <w:rsid w:val="00C35A27"/>
    <w:rsid w:val="00C47B2E"/>
    <w:rsid w:val="00C90090"/>
    <w:rsid w:val="00D63CD2"/>
    <w:rsid w:val="00D87DC2"/>
    <w:rsid w:val="00D93887"/>
    <w:rsid w:val="00D94B05"/>
    <w:rsid w:val="00DC7379"/>
    <w:rsid w:val="00DE2CFE"/>
    <w:rsid w:val="00E01F0C"/>
    <w:rsid w:val="00E02C2B"/>
    <w:rsid w:val="00E21C27"/>
    <w:rsid w:val="00E26BCF"/>
    <w:rsid w:val="00E52109"/>
    <w:rsid w:val="00E75317"/>
    <w:rsid w:val="00EC0CE6"/>
    <w:rsid w:val="00EC7C1D"/>
    <w:rsid w:val="00ED6C48"/>
    <w:rsid w:val="00EE3045"/>
    <w:rsid w:val="00F132AE"/>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7F11"/>
  <w15:docId w15:val="{50C904ED-1DD4-4898-A70A-0969FC16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rsid w:val="0038777A"/>
    <w:pPr>
      <w:suppressAutoHyphens/>
    </w:pPr>
    <w:rPr>
      <w:rFonts w:eastAsia="MS Mincho"/>
      <w:sz w:val="24"/>
      <w:szCs w:val="24"/>
      <w:lang w:eastAsia="en-US"/>
    </w:rPr>
  </w:style>
  <w:style w:type="paragraph" w:styleId="ListParagraph">
    <w:name w:val="List Paragraph"/>
    <w:basedOn w:val="Normal"/>
    <w:uiPriority w:val="34"/>
    <w:qFormat/>
    <w:rsid w:val="0038777A"/>
    <w:pPr>
      <w:spacing w:after="200" w:line="276" w:lineRule="auto"/>
      <w:ind w:left="720"/>
      <w:contextualSpacing/>
    </w:pPr>
    <w:rPr>
      <w:rFonts w:ascii="Arial" w:hAnsi="Arial" w:cs="Arial Unicode MS"/>
      <w:szCs w:val="36"/>
      <w:lang w:val="en-US"/>
    </w:rPr>
  </w:style>
  <w:style w:type="character" w:customStyle="1" w:styleId="H1GChar">
    <w:name w:val="_ H_1_G Char"/>
    <w:link w:val="H1G"/>
    <w:locked/>
    <w:rsid w:val="0038777A"/>
    <w:rPr>
      <w:b/>
      <w:sz w:val="24"/>
    </w:rPr>
  </w:style>
  <w:style w:type="paragraph" w:styleId="Revision">
    <w:name w:val="Revision"/>
    <w:hidden/>
    <w:uiPriority w:val="99"/>
    <w:semiHidden/>
    <w:rsid w:val="00037E1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26240B23-60A8-4572-9F40-9BCF189C2F7C}"/>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2688</Characters>
  <Application>Microsoft Office Word</Application>
  <DocSecurity>0</DocSecurity>
  <Lines>59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ST/SG/AC.10/C.3/2024/28</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ST/SG/AC.10/C.3/2024/28</dc:title>
  <dc:subject>2406563</dc:subject>
  <dc:creator>Rosa Garcia-Couto</dc:creator>
  <cp:keywords/>
  <dc:description/>
  <cp:lastModifiedBy>Anni Vi Tirol</cp:lastModifiedBy>
  <cp:revision>3</cp:revision>
  <cp:lastPrinted>2024-04-11T07:55:00Z</cp:lastPrinted>
  <dcterms:created xsi:type="dcterms:W3CDTF">2024-04-11T07:55:00Z</dcterms:created>
  <dcterms:modified xsi:type="dcterms:W3CDTF">2024-04-11T07:56:00Z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