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BEB39BA" w14:textId="77777777" w:rsidTr="00F01738">
        <w:trPr>
          <w:trHeight w:hRule="exact" w:val="851"/>
        </w:trPr>
        <w:tc>
          <w:tcPr>
            <w:tcW w:w="1276" w:type="dxa"/>
            <w:tcBorders>
              <w:bottom w:val="single" w:sz="4" w:space="0" w:color="auto"/>
            </w:tcBorders>
          </w:tcPr>
          <w:p w14:paraId="7A6A00F3" w14:textId="77777777" w:rsidR="00132EA9" w:rsidRPr="00DB58B5" w:rsidRDefault="00132EA9" w:rsidP="00D30FB3"/>
        </w:tc>
        <w:tc>
          <w:tcPr>
            <w:tcW w:w="2268" w:type="dxa"/>
            <w:tcBorders>
              <w:bottom w:val="single" w:sz="4" w:space="0" w:color="auto"/>
            </w:tcBorders>
            <w:vAlign w:val="bottom"/>
          </w:tcPr>
          <w:p w14:paraId="4FB35BB8"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D27BFC" w14:textId="48D89275" w:rsidR="00132EA9" w:rsidRPr="00DB58B5" w:rsidRDefault="00D30FB3" w:rsidP="00D30FB3">
            <w:pPr>
              <w:jc w:val="right"/>
            </w:pPr>
            <w:r w:rsidRPr="00D30FB3">
              <w:rPr>
                <w:sz w:val="40"/>
              </w:rPr>
              <w:t>ST</w:t>
            </w:r>
            <w:r>
              <w:t>/SG/AC.10/C.3/2024/28</w:t>
            </w:r>
          </w:p>
        </w:tc>
      </w:tr>
      <w:tr w:rsidR="00132EA9" w:rsidRPr="00DB58B5" w14:paraId="6A9805A4" w14:textId="77777777" w:rsidTr="00F01738">
        <w:trPr>
          <w:trHeight w:hRule="exact" w:val="2835"/>
        </w:trPr>
        <w:tc>
          <w:tcPr>
            <w:tcW w:w="1276" w:type="dxa"/>
            <w:tcBorders>
              <w:top w:val="single" w:sz="4" w:space="0" w:color="auto"/>
              <w:bottom w:val="single" w:sz="12" w:space="0" w:color="auto"/>
            </w:tcBorders>
          </w:tcPr>
          <w:p w14:paraId="6A1283D6" w14:textId="77777777" w:rsidR="00132EA9" w:rsidRPr="00DB58B5" w:rsidRDefault="00132EA9" w:rsidP="00F01738">
            <w:pPr>
              <w:spacing w:before="120"/>
              <w:jc w:val="center"/>
            </w:pPr>
            <w:r>
              <w:rPr>
                <w:noProof/>
                <w:lang w:eastAsia="fr-CH"/>
              </w:rPr>
              <w:drawing>
                <wp:inline distT="0" distB="0" distL="0" distR="0" wp14:anchorId="301E0774" wp14:editId="0B10CC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589ED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61AC1E0" w14:textId="77777777" w:rsidR="00132EA9" w:rsidRDefault="00D30FB3" w:rsidP="00F01738">
            <w:pPr>
              <w:spacing w:before="240"/>
            </w:pPr>
            <w:r>
              <w:t>Distr. générale</w:t>
            </w:r>
          </w:p>
          <w:p w14:paraId="46215B33" w14:textId="77777777" w:rsidR="00D30FB3" w:rsidRDefault="00D30FB3" w:rsidP="00D30FB3">
            <w:pPr>
              <w:spacing w:line="240" w:lineRule="exact"/>
            </w:pPr>
            <w:r>
              <w:t>11 avril 2024</w:t>
            </w:r>
          </w:p>
          <w:p w14:paraId="6C52E4DA" w14:textId="77777777" w:rsidR="00D30FB3" w:rsidRDefault="00D30FB3" w:rsidP="00D30FB3">
            <w:pPr>
              <w:spacing w:line="240" w:lineRule="exact"/>
            </w:pPr>
            <w:r>
              <w:t>Français</w:t>
            </w:r>
          </w:p>
          <w:p w14:paraId="59D20F0B" w14:textId="1B8FD40C" w:rsidR="00D30FB3" w:rsidRPr="00DB58B5" w:rsidRDefault="00D30FB3" w:rsidP="00D30FB3">
            <w:pPr>
              <w:spacing w:line="240" w:lineRule="exact"/>
            </w:pPr>
            <w:r>
              <w:t>Original : anglais</w:t>
            </w:r>
          </w:p>
        </w:tc>
      </w:tr>
    </w:tbl>
    <w:p w14:paraId="7E8FCD59" w14:textId="77777777" w:rsidR="00D30FB3" w:rsidRPr="00CA0680" w:rsidRDefault="00D30FB3"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6DC5D9CC" w14:textId="77777777" w:rsidR="00D30FB3" w:rsidRPr="00CA0680" w:rsidRDefault="00D30FB3" w:rsidP="000305D3">
      <w:pPr>
        <w:spacing w:before="120"/>
        <w:rPr>
          <w:b/>
        </w:rPr>
      </w:pPr>
      <w:r w:rsidRPr="00CA0680">
        <w:rPr>
          <w:b/>
        </w:rPr>
        <w:t>Sous</w:t>
      </w:r>
      <w:r>
        <w:rPr>
          <w:b/>
        </w:rPr>
        <w:t>-</w:t>
      </w:r>
      <w:r w:rsidRPr="00CA0680">
        <w:rPr>
          <w:b/>
        </w:rPr>
        <w:t>Comité d’experts du transport des marchandises dangereuses</w:t>
      </w:r>
    </w:p>
    <w:p w14:paraId="425CFA93" w14:textId="77777777" w:rsidR="00D30FB3" w:rsidRPr="005140F6" w:rsidRDefault="00D30FB3" w:rsidP="00D30FB3">
      <w:pPr>
        <w:spacing w:before="120"/>
        <w:rPr>
          <w:b/>
        </w:rPr>
      </w:pPr>
      <w:r>
        <w:rPr>
          <w:b/>
          <w:bCs/>
          <w:lang w:val="fr-FR"/>
        </w:rPr>
        <w:t>Soixante-quatrième session</w:t>
      </w:r>
    </w:p>
    <w:p w14:paraId="0405AD8D" w14:textId="77777777" w:rsidR="00D30FB3" w:rsidRPr="005140F6" w:rsidRDefault="00D30FB3" w:rsidP="00D30FB3">
      <w:r>
        <w:rPr>
          <w:lang w:val="fr-FR"/>
        </w:rPr>
        <w:t>Genève, 24 juin-3 juillet 2024</w:t>
      </w:r>
    </w:p>
    <w:p w14:paraId="68DFAD06" w14:textId="77777777" w:rsidR="00D30FB3" w:rsidRPr="005140F6" w:rsidRDefault="00D30FB3" w:rsidP="00D30FB3">
      <w:r>
        <w:rPr>
          <w:lang w:val="fr-FR"/>
        </w:rPr>
        <w:t>Point 6 a) de l’ordre du jour provisoire</w:t>
      </w:r>
    </w:p>
    <w:p w14:paraId="07C45C68" w14:textId="7273A37C" w:rsidR="00D30FB3" w:rsidRPr="005140F6" w:rsidRDefault="00D30FB3" w:rsidP="00D30FB3">
      <w:pPr>
        <w:ind w:right="199"/>
        <w:rPr>
          <w:b/>
        </w:rPr>
      </w:pPr>
      <w:r>
        <w:rPr>
          <w:b/>
          <w:bCs/>
          <w:lang w:val="fr-FR"/>
        </w:rPr>
        <w:t>Propositions diverses d’amendements au Règlement type</w:t>
      </w:r>
      <w:r>
        <w:rPr>
          <w:b/>
          <w:bCs/>
          <w:lang w:val="fr-FR"/>
        </w:rPr>
        <w:t xml:space="preserve"> </w:t>
      </w:r>
      <w:r>
        <w:rPr>
          <w:b/>
          <w:bCs/>
          <w:lang w:val="fr-FR"/>
        </w:rPr>
        <w:br/>
      </w:r>
      <w:r>
        <w:rPr>
          <w:b/>
          <w:bCs/>
          <w:lang w:val="fr-FR"/>
        </w:rPr>
        <w:t>pour le transport des marchandises dangereuses</w:t>
      </w:r>
      <w:r>
        <w:rPr>
          <w:b/>
          <w:bCs/>
          <w:lang w:val="fr-FR"/>
        </w:rPr>
        <w:t> </w:t>
      </w:r>
      <w:r>
        <w:rPr>
          <w:b/>
          <w:bCs/>
          <w:lang w:val="fr-FR"/>
        </w:rPr>
        <w:t>:</w:t>
      </w:r>
    </w:p>
    <w:p w14:paraId="1319A646" w14:textId="77777777" w:rsidR="00D30FB3" w:rsidRPr="005140F6" w:rsidRDefault="00D30FB3" w:rsidP="00D30FB3">
      <w:pPr>
        <w:rPr>
          <w:b/>
        </w:rPr>
      </w:pPr>
      <w:r>
        <w:rPr>
          <w:b/>
          <w:bCs/>
          <w:lang w:val="fr-FR"/>
        </w:rPr>
        <w:t>Marquage et étiquetage</w:t>
      </w:r>
    </w:p>
    <w:p w14:paraId="5A0C9083" w14:textId="5953BD30" w:rsidR="00D30FB3" w:rsidRPr="005140F6" w:rsidRDefault="00D30FB3" w:rsidP="00D30FB3">
      <w:pPr>
        <w:pStyle w:val="HChG"/>
      </w:pPr>
      <w:r>
        <w:rPr>
          <w:lang w:val="fr-FR"/>
        </w:rPr>
        <w:tab/>
      </w:r>
      <w:r>
        <w:rPr>
          <w:lang w:val="fr-FR"/>
        </w:rPr>
        <w:tab/>
        <w:t xml:space="preserve">Clarification des prescriptions applicables au marquage </w:t>
      </w:r>
      <w:r>
        <w:rPr>
          <w:lang w:val="fr-FR"/>
        </w:rPr>
        <w:br/>
      </w:r>
      <w:r>
        <w:rPr>
          <w:lang w:val="fr-FR"/>
        </w:rPr>
        <w:t>des batteries au titre de la disposition spéciale 188</w:t>
      </w:r>
    </w:p>
    <w:p w14:paraId="2F10DD90" w14:textId="77777777" w:rsidR="00D30FB3" w:rsidRPr="005140F6" w:rsidRDefault="00D30FB3" w:rsidP="00D30FB3">
      <w:pPr>
        <w:pStyle w:val="H1G"/>
      </w:pPr>
      <w:r>
        <w:rPr>
          <w:lang w:val="fr-FR"/>
        </w:rPr>
        <w:tab/>
      </w:r>
      <w:r>
        <w:rPr>
          <w:lang w:val="fr-FR"/>
        </w:rPr>
        <w:tab/>
        <w:t>Communication des experts du Canada et de la Chine</w:t>
      </w:r>
      <w:r w:rsidRPr="00D30FB3">
        <w:rPr>
          <w:rStyle w:val="Appelnotedebasdep"/>
          <w:b w:val="0"/>
          <w:bCs/>
          <w:sz w:val="20"/>
          <w:vertAlign w:val="baseline"/>
          <w:lang w:val="fr-FR"/>
        </w:rPr>
        <w:footnoteReference w:customMarkFollows="1" w:id="2"/>
        <w:t>*</w:t>
      </w:r>
    </w:p>
    <w:p w14:paraId="3510AD56" w14:textId="7C8DBF10" w:rsidR="00D30FB3" w:rsidRPr="005140F6" w:rsidRDefault="00D30FB3" w:rsidP="00D30FB3">
      <w:pPr>
        <w:pStyle w:val="HChG"/>
      </w:pPr>
      <w:r>
        <w:rPr>
          <w:lang w:val="fr-FR"/>
        </w:rPr>
        <w:tab/>
      </w:r>
      <w:r>
        <w:rPr>
          <w:lang w:val="fr-FR"/>
        </w:rPr>
        <w:t>I.</w:t>
      </w:r>
      <w:r>
        <w:rPr>
          <w:lang w:val="fr-FR"/>
        </w:rPr>
        <w:tab/>
        <w:t>Introduction</w:t>
      </w:r>
    </w:p>
    <w:p w14:paraId="5BD695C8" w14:textId="77777777" w:rsidR="00D30FB3" w:rsidRPr="005140F6" w:rsidRDefault="00D30FB3" w:rsidP="00D30FB3">
      <w:pPr>
        <w:pStyle w:val="SingleTxtG"/>
      </w:pPr>
      <w:r>
        <w:rPr>
          <w:lang w:val="fr-FR"/>
        </w:rPr>
        <w:t>1.</w:t>
      </w:r>
      <w:r>
        <w:rPr>
          <w:lang w:val="fr-FR"/>
        </w:rPr>
        <w:tab/>
        <w:t xml:space="preserve">Partout dans le monde, de plus en plus de batteries au lithium sont transportées. Les risques que cela pose sont bien connus et l’on s’accorde à dire que les batteries doivent être étiquetées. Toutefois, le libellé qui figure actuellement dans la disposition spéciale 188 en ce qui concerne le marquage des batteries au lithium présente une lacune réglementaire semblant résulter d’une simple omission survenue lors de l’ajout de ce libellé dans le </w:t>
      </w:r>
      <w:r>
        <w:rPr>
          <w:i/>
          <w:iCs/>
          <w:lang w:val="fr-FR"/>
        </w:rPr>
        <w:t>Règlement type</w:t>
      </w:r>
      <w:r>
        <w:rPr>
          <w:lang w:val="fr-FR"/>
        </w:rPr>
        <w:t>.</w:t>
      </w:r>
      <w:bookmarkStart w:id="0" w:name="_Int_JrDteYh8"/>
      <w:bookmarkEnd w:id="0"/>
    </w:p>
    <w:p w14:paraId="523CF5D1" w14:textId="77777777" w:rsidR="00D30FB3" w:rsidRPr="005140F6" w:rsidRDefault="00D30FB3" w:rsidP="00D30FB3">
      <w:pPr>
        <w:pStyle w:val="SingleTxtG"/>
        <w:rPr>
          <w:i/>
          <w:iCs/>
        </w:rPr>
      </w:pPr>
      <w:r>
        <w:rPr>
          <w:lang w:val="fr-FR"/>
        </w:rPr>
        <w:t>2.</w:t>
      </w:r>
      <w:r>
        <w:rPr>
          <w:lang w:val="fr-FR"/>
        </w:rPr>
        <w:tab/>
        <w:t>La présente proposition s’appuie sur les observations communiquées par le Canada à la soixante-troisième session au sujet du document ST/SG/AC.10/C.3/2023/52, soumis par la Chine.</w:t>
      </w:r>
    </w:p>
    <w:p w14:paraId="07AF3CCE" w14:textId="3F4115ED" w:rsidR="00D30FB3" w:rsidRPr="005140F6" w:rsidRDefault="00D30FB3" w:rsidP="00D30FB3">
      <w:pPr>
        <w:pStyle w:val="HChG"/>
      </w:pPr>
      <w:r>
        <w:rPr>
          <w:lang w:val="fr-FR"/>
        </w:rPr>
        <w:tab/>
      </w:r>
      <w:r>
        <w:rPr>
          <w:lang w:val="fr-FR"/>
        </w:rPr>
        <w:t>II.</w:t>
      </w:r>
      <w:r>
        <w:rPr>
          <w:lang w:val="fr-FR"/>
        </w:rPr>
        <w:tab/>
        <w:t>Explication</w:t>
      </w:r>
    </w:p>
    <w:p w14:paraId="68BC5132" w14:textId="3EF30694" w:rsidR="00D30FB3" w:rsidRPr="005140F6" w:rsidRDefault="00D30FB3" w:rsidP="00D30FB3">
      <w:pPr>
        <w:pStyle w:val="SingleTxtG"/>
      </w:pPr>
      <w:r>
        <w:rPr>
          <w:lang w:val="fr-FR"/>
        </w:rPr>
        <w:t>3.</w:t>
      </w:r>
      <w:r>
        <w:rPr>
          <w:lang w:val="fr-FR"/>
        </w:rPr>
        <w:tab/>
        <w:t xml:space="preserve">Dans le libellé anglais actuel, l’alinéa f) de la disposition spéciale 188 renvoie uniquement à la marque </w:t>
      </w:r>
      <w:r>
        <w:rPr>
          <w:i/>
          <w:iCs/>
          <w:lang w:val="fr-FR"/>
        </w:rPr>
        <w:t xml:space="preserve">représentée </w:t>
      </w:r>
      <w:r>
        <w:rPr>
          <w:lang w:val="fr-FR"/>
        </w:rPr>
        <w:t>au 5.2.1.9 (« </w:t>
      </w:r>
      <w:proofErr w:type="spellStart"/>
      <w:r>
        <w:rPr>
          <w:lang w:val="fr-FR"/>
        </w:rPr>
        <w:t>with</w:t>
      </w:r>
      <w:proofErr w:type="spellEnd"/>
      <w:r>
        <w:rPr>
          <w:lang w:val="fr-FR"/>
        </w:rPr>
        <w:t xml:space="preserve"> the </w:t>
      </w:r>
      <w:proofErr w:type="spellStart"/>
      <w:r>
        <w:rPr>
          <w:lang w:val="fr-FR"/>
        </w:rPr>
        <w:t>appropriate</w:t>
      </w:r>
      <w:proofErr w:type="spellEnd"/>
      <w:r>
        <w:rPr>
          <w:lang w:val="fr-FR"/>
        </w:rPr>
        <w:t xml:space="preserve"> mark, as </w:t>
      </w:r>
      <w:proofErr w:type="spellStart"/>
      <w:r>
        <w:rPr>
          <w:i/>
          <w:iCs/>
          <w:lang w:val="fr-FR"/>
        </w:rPr>
        <w:t>illustrated</w:t>
      </w:r>
      <w:proofErr w:type="spellEnd"/>
      <w:r>
        <w:rPr>
          <w:i/>
          <w:iCs/>
          <w:lang w:val="fr-FR"/>
        </w:rPr>
        <w:t xml:space="preserve"> </w:t>
      </w:r>
      <w:r>
        <w:rPr>
          <w:lang w:val="fr-FR"/>
        </w:rPr>
        <w:t>at 5.2.1.9 »), contrairement à l’alinéa c) de la disposition spéciale 400, qui, lui, fait référence à l’ensemble des prescriptions relatives aux marques des batteries aux lithium énoncées au 5.2.1.9 :</w:t>
      </w:r>
    </w:p>
    <w:p w14:paraId="7DF41828" w14:textId="435ED06C" w:rsidR="00D30FB3" w:rsidRDefault="00D30FB3" w:rsidP="00D30FB3">
      <w:pPr>
        <w:pStyle w:val="SingleTxtG"/>
        <w:tabs>
          <w:tab w:val="clear" w:pos="1701"/>
        </w:tabs>
        <w:ind w:left="2835" w:hanging="1134"/>
        <w:jc w:val="left"/>
        <w:rPr>
          <w:lang w:val="fr-FR"/>
        </w:rPr>
      </w:pPr>
      <w:r>
        <w:rPr>
          <w:lang w:val="fr-FR"/>
        </w:rPr>
        <w:t xml:space="preserve">Version française de l’alinéa f) de la disposition spéciale 188 : </w:t>
      </w:r>
    </w:p>
    <w:p w14:paraId="1B83EB5E" w14:textId="1257E3A7" w:rsidR="00D30FB3" w:rsidRPr="005140F6" w:rsidRDefault="00D30FB3" w:rsidP="00D30FB3">
      <w:pPr>
        <w:pStyle w:val="SingleTxtG"/>
        <w:tabs>
          <w:tab w:val="clear" w:pos="1701"/>
        </w:tabs>
        <w:ind w:left="2268"/>
        <w:jc w:val="left"/>
      </w:pPr>
      <w:r>
        <w:rPr>
          <w:lang w:val="fr-FR"/>
        </w:rPr>
        <w:t>« Chaque colis doit porter</w:t>
      </w:r>
      <w:r>
        <w:rPr>
          <w:b/>
          <w:bCs/>
          <w:lang w:val="fr-FR"/>
        </w:rPr>
        <w:t xml:space="preserve"> la marque de batterie</w:t>
      </w:r>
      <w:r>
        <w:rPr>
          <w:lang w:val="fr-FR"/>
        </w:rPr>
        <w:t xml:space="preserve"> (...)</w:t>
      </w:r>
      <w:r>
        <w:rPr>
          <w:lang w:val="fr-FR"/>
        </w:rPr>
        <w:t xml:space="preserve"> </w:t>
      </w:r>
      <w:r>
        <w:rPr>
          <w:b/>
          <w:bCs/>
          <w:lang w:val="fr-FR"/>
        </w:rPr>
        <w:t>appropriée, comme indiqué au</w:t>
      </w:r>
      <w:r>
        <w:rPr>
          <w:lang w:val="fr-FR"/>
        </w:rPr>
        <w:t xml:space="preserve"> 5.2.1.9. ».</w:t>
      </w:r>
    </w:p>
    <w:p w14:paraId="356DA2FA" w14:textId="77777777" w:rsidR="00D30FB3" w:rsidRDefault="00D30FB3" w:rsidP="00D30FB3">
      <w:pPr>
        <w:pStyle w:val="SingleTxtG"/>
        <w:keepNext/>
        <w:tabs>
          <w:tab w:val="clear" w:pos="1701"/>
        </w:tabs>
        <w:ind w:left="2835" w:hanging="1134"/>
        <w:jc w:val="left"/>
        <w:rPr>
          <w:lang w:val="fr-FR"/>
        </w:rPr>
      </w:pPr>
      <w:r>
        <w:rPr>
          <w:lang w:val="fr-FR"/>
        </w:rPr>
        <w:lastRenderedPageBreak/>
        <w:t xml:space="preserve">Version française de l’alinéa c) de la disposition spéciale 400 : </w:t>
      </w:r>
    </w:p>
    <w:p w14:paraId="2EE946D2" w14:textId="322A130A" w:rsidR="00D30FB3" w:rsidRPr="005140F6" w:rsidRDefault="00D30FB3" w:rsidP="00D30FB3">
      <w:pPr>
        <w:pStyle w:val="SingleTxtG"/>
        <w:tabs>
          <w:tab w:val="clear" w:pos="1701"/>
        </w:tabs>
        <w:ind w:left="2268"/>
        <w:jc w:val="left"/>
      </w:pPr>
      <w:r>
        <w:rPr>
          <w:lang w:val="fr-FR"/>
        </w:rPr>
        <w:t xml:space="preserve">« Chaque colis est marqué </w:t>
      </w:r>
      <w:r>
        <w:rPr>
          <w:b/>
          <w:bCs/>
          <w:lang w:val="fr-FR"/>
        </w:rPr>
        <w:t>conformément aux dispositions du</w:t>
      </w:r>
      <w:r>
        <w:rPr>
          <w:lang w:val="fr-FR"/>
        </w:rPr>
        <w:t xml:space="preserve"> 5.2.1.9 ; ».</w:t>
      </w:r>
    </w:p>
    <w:p w14:paraId="464EBFAE" w14:textId="77777777" w:rsidR="00D30FB3" w:rsidRPr="005140F6" w:rsidRDefault="00D30FB3" w:rsidP="00631426">
      <w:pPr>
        <w:pStyle w:val="SingleTxtG"/>
      </w:pPr>
      <w:r>
        <w:rPr>
          <w:lang w:val="fr-FR"/>
        </w:rPr>
        <w:t>4.</w:t>
      </w:r>
      <w:r>
        <w:rPr>
          <w:lang w:val="fr-FR"/>
        </w:rPr>
        <w:tab/>
        <w:t>Les prescriptions de marquage figurant au 5.2.1.9 comprennent non seulement une illustration mais aussi les dimensions de la marque de la batterie et les numéros ONU à indiquer. Par conséquent, sans renvoi à l’ensemble des prescriptions de ce paragraphe, il existe un vide réglementaire concernant le marquage des batteries au lithium.</w:t>
      </w:r>
      <w:bookmarkStart w:id="1" w:name="_Int_khd79aSM"/>
      <w:bookmarkEnd w:id="1"/>
    </w:p>
    <w:p w14:paraId="561C446F" w14:textId="77777777" w:rsidR="00D30FB3" w:rsidRPr="005140F6" w:rsidRDefault="00D30FB3" w:rsidP="00C06F43">
      <w:pPr>
        <w:pStyle w:val="SingleTxtG"/>
      </w:pPr>
      <w:r>
        <w:rPr>
          <w:lang w:val="fr-FR"/>
        </w:rPr>
        <w:t>5.</w:t>
      </w:r>
      <w:r>
        <w:rPr>
          <w:lang w:val="fr-FR"/>
        </w:rPr>
        <w:tab/>
        <w:t>Après consultation des archives, il semble qu’à l’origine, lorsque l’idée du libellé actuel a été présentée par l’Association du transport aérien international (IATA) à la quarante-sixième session du Sous-Comité, dans les documents informels INF.41</w:t>
      </w:r>
      <w:r w:rsidRPr="00C06F43">
        <w:rPr>
          <w:rStyle w:val="Appelnotedebasdep"/>
        </w:rPr>
        <w:footnoteReference w:id="3"/>
      </w:r>
      <w:r>
        <w:rPr>
          <w:lang w:val="fr-FR"/>
        </w:rPr>
        <w:t xml:space="preserve"> et INF.73</w:t>
      </w:r>
      <w:r w:rsidRPr="00C06F43">
        <w:rPr>
          <w:rStyle w:val="Appelnotedebasdep"/>
        </w:rPr>
        <w:footnoteReference w:id="4"/>
      </w:r>
      <w:r>
        <w:rPr>
          <w:lang w:val="fr-FR"/>
        </w:rPr>
        <w:t>, il était question d’appliquer toutes les prescriptions du 5.2.1.9, et qu’il a simplement été fait référence à l’illustration seule par inadvertance.</w:t>
      </w:r>
    </w:p>
    <w:p w14:paraId="157A4871" w14:textId="77777777" w:rsidR="00D30FB3" w:rsidRPr="005140F6" w:rsidRDefault="00D30FB3" w:rsidP="00D30FB3">
      <w:pPr>
        <w:pStyle w:val="SingleTxtG"/>
      </w:pPr>
      <w:r>
        <w:rPr>
          <w:lang w:val="fr-FR"/>
        </w:rPr>
        <w:t>6.</w:t>
      </w:r>
      <w:r>
        <w:rPr>
          <w:lang w:val="fr-FR"/>
        </w:rPr>
        <w:tab/>
        <w:t>Les auteurs du présent document estiment donc qu’il convient de modifier l’alinéa f) de la disposition spéciale 188 à des fins d’harmonisation avec l’alinéa c) de la disposition spéciale 400, pour que le marquage des batteries au lithium et au sodium ionique fasse l’objet d’une approche cohérente.</w:t>
      </w:r>
    </w:p>
    <w:p w14:paraId="0F39E308" w14:textId="6F8E3945" w:rsidR="00D30FB3" w:rsidRPr="005140F6" w:rsidRDefault="00D30FB3" w:rsidP="00C06F43">
      <w:pPr>
        <w:pStyle w:val="SingleTxtG"/>
      </w:pPr>
      <w:r>
        <w:rPr>
          <w:lang w:val="fr-FR"/>
        </w:rPr>
        <w:t>7.</w:t>
      </w:r>
      <w:r>
        <w:rPr>
          <w:lang w:val="fr-FR"/>
        </w:rPr>
        <w:tab/>
        <w:t xml:space="preserve">La présente proposition va dans le sens de la réalisation de l’objectif de développement durable </w:t>
      </w:r>
      <w:r w:rsidR="00C06F43" w:rsidRPr="00C06F43">
        <w:rPr>
          <w:rFonts w:eastAsia="MS Mincho"/>
          <w:lang w:val="fr-FR"/>
        </w:rPr>
        <w:t>n</w:t>
      </w:r>
      <w:r w:rsidR="00C06F43" w:rsidRPr="00C06F43">
        <w:rPr>
          <w:rFonts w:eastAsia="MS Mincho"/>
          <w:vertAlign w:val="superscript"/>
          <w:lang w:val="fr-FR"/>
        </w:rPr>
        <w:t>o</w:t>
      </w:r>
      <w:r>
        <w:rPr>
          <w:lang w:val="fr-FR"/>
        </w:rPr>
        <w:t xml:space="preserve"> 6 (Paix, justice et institutions efficaces). En particulier, uniformiser les prescriptions relatives au marquage permet d’améliorer la cohérence des règlements, ce qui contribue à la réalisation de la cible 16.6, intitulée «</w:t>
      </w:r>
      <w:r w:rsidR="00C06F43">
        <w:rPr>
          <w:lang w:val="fr-FR"/>
        </w:rPr>
        <w:t> </w:t>
      </w:r>
      <w:r>
        <w:rPr>
          <w:lang w:val="fr-FR"/>
        </w:rPr>
        <w:t>Mettre en place des institutions efficaces, responsables et transparentes à tous les niveaux ».</w:t>
      </w:r>
      <w:bookmarkStart w:id="2" w:name="_Int_C6aiLwFa"/>
      <w:bookmarkEnd w:id="2"/>
    </w:p>
    <w:p w14:paraId="3AC7646D" w14:textId="07556394" w:rsidR="00D30FB3" w:rsidRPr="005140F6" w:rsidRDefault="00C06F43" w:rsidP="00C06F43">
      <w:pPr>
        <w:pStyle w:val="HChG"/>
      </w:pPr>
      <w:r>
        <w:rPr>
          <w:lang w:val="fr-FR"/>
        </w:rPr>
        <w:tab/>
      </w:r>
      <w:r w:rsidR="00D30FB3">
        <w:rPr>
          <w:lang w:val="fr-FR"/>
        </w:rPr>
        <w:t>III.</w:t>
      </w:r>
      <w:r w:rsidR="00D30FB3">
        <w:rPr>
          <w:lang w:val="fr-FR"/>
        </w:rPr>
        <w:tab/>
        <w:t>Proposition</w:t>
      </w:r>
    </w:p>
    <w:p w14:paraId="0E647E1F" w14:textId="77777777" w:rsidR="00D30FB3" w:rsidRPr="005140F6" w:rsidRDefault="00D30FB3" w:rsidP="00D30FB3">
      <w:pPr>
        <w:pStyle w:val="SingleTxtG"/>
      </w:pPr>
      <w:r>
        <w:rPr>
          <w:lang w:val="fr-FR"/>
        </w:rPr>
        <w:t>8.</w:t>
      </w:r>
      <w:r>
        <w:rPr>
          <w:lang w:val="fr-FR"/>
        </w:rPr>
        <w:tab/>
        <w:t xml:space="preserve">Il est proposé d’apporter les modifications ci-après (en caractères </w:t>
      </w:r>
      <w:r>
        <w:rPr>
          <w:b/>
          <w:bCs/>
          <w:u w:val="single"/>
          <w:lang w:val="fr-FR"/>
        </w:rPr>
        <w:t>gras et soulignés</w:t>
      </w:r>
      <w:r>
        <w:rPr>
          <w:lang w:val="fr-FR"/>
        </w:rPr>
        <w:t xml:space="preserve"> pour les ajouts et </w:t>
      </w:r>
      <w:r>
        <w:rPr>
          <w:strike/>
          <w:lang w:val="fr-FR"/>
        </w:rPr>
        <w:t xml:space="preserve">biffés </w:t>
      </w:r>
      <w:r>
        <w:rPr>
          <w:lang w:val="fr-FR"/>
        </w:rPr>
        <w:t>pour les suppressions), afin que les prescriptions relatives au marquage figurant à l’alinéa f) de la disposition spéciale 188, au chapitre 3.3, soient claires et ne puissent être interprétées que d’une façon :</w:t>
      </w:r>
    </w:p>
    <w:p w14:paraId="40471A8B" w14:textId="4D6932C6" w:rsidR="00D30FB3" w:rsidRPr="005140F6" w:rsidRDefault="00D30FB3" w:rsidP="00D30FB3">
      <w:pPr>
        <w:spacing w:after="200"/>
        <w:ind w:left="2552" w:right="630" w:hanging="567"/>
      </w:pPr>
      <w:r>
        <w:rPr>
          <w:lang w:val="fr-FR"/>
        </w:rPr>
        <w:t>« f)</w:t>
      </w:r>
      <w:r>
        <w:rPr>
          <w:lang w:val="fr-FR"/>
        </w:rPr>
        <w:tab/>
        <w:t xml:space="preserve">« Chaque colis </w:t>
      </w:r>
      <w:r>
        <w:rPr>
          <w:strike/>
          <w:lang w:val="fr-FR"/>
        </w:rPr>
        <w:t>doit porter la marque de batterie (...) appropriée, comme indiqué au 5.2.1.9</w:t>
      </w:r>
      <w:r>
        <w:rPr>
          <w:b/>
          <w:bCs/>
          <w:u w:val="single"/>
          <w:lang w:val="fr-FR"/>
        </w:rPr>
        <w:t>est marqué conformément aux dispositions du 5.2.1.9</w:t>
      </w:r>
      <w:r>
        <w:rPr>
          <w:lang w:val="fr-FR"/>
        </w:rPr>
        <w:t>.</w:t>
      </w:r>
      <w:r w:rsidR="00C06F43">
        <w:rPr>
          <w:lang w:val="fr-FR"/>
        </w:rPr>
        <w:t> </w:t>
      </w:r>
      <w:r>
        <w:rPr>
          <w:lang w:val="fr-FR"/>
        </w:rPr>
        <w:t>».</w:t>
      </w:r>
    </w:p>
    <w:p w14:paraId="5EFB9D55" w14:textId="7A969C82" w:rsidR="00446FE5" w:rsidRPr="00D30FB3" w:rsidRDefault="00D30FB3" w:rsidP="00D30FB3">
      <w:pPr>
        <w:spacing w:before="240"/>
        <w:jc w:val="center"/>
        <w:rPr>
          <w:u w:val="single"/>
        </w:rPr>
      </w:pPr>
      <w:r w:rsidRPr="005140F6">
        <w:rPr>
          <w:u w:val="single"/>
        </w:rPr>
        <w:tab/>
      </w:r>
      <w:r w:rsidRPr="005140F6">
        <w:rPr>
          <w:u w:val="single"/>
        </w:rPr>
        <w:tab/>
      </w:r>
      <w:r w:rsidRPr="005140F6">
        <w:rPr>
          <w:u w:val="single"/>
        </w:rPr>
        <w:tab/>
      </w:r>
    </w:p>
    <w:sectPr w:rsidR="00446FE5" w:rsidRPr="00D30FB3" w:rsidSect="00D30FB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4796" w14:textId="77777777" w:rsidR="00585FFB" w:rsidRDefault="00585FFB" w:rsidP="00F95C08">
      <w:pPr>
        <w:spacing w:line="240" w:lineRule="auto"/>
      </w:pPr>
    </w:p>
  </w:endnote>
  <w:endnote w:type="continuationSeparator" w:id="0">
    <w:p w14:paraId="4FA07FA6" w14:textId="77777777" w:rsidR="00585FFB" w:rsidRPr="00AC3823" w:rsidRDefault="00585FFB" w:rsidP="00AC3823">
      <w:pPr>
        <w:pStyle w:val="Pieddepage"/>
      </w:pPr>
    </w:p>
  </w:endnote>
  <w:endnote w:type="continuationNotice" w:id="1">
    <w:p w14:paraId="536C1A28" w14:textId="77777777" w:rsidR="00585FFB" w:rsidRDefault="00585F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D933" w14:textId="1CAE5555" w:rsidR="00D30FB3" w:rsidRPr="00D30FB3" w:rsidRDefault="00D30FB3" w:rsidP="00D30FB3">
    <w:pPr>
      <w:pStyle w:val="Pieddepage"/>
      <w:tabs>
        <w:tab w:val="right" w:pos="9638"/>
      </w:tabs>
    </w:pPr>
    <w:r w:rsidRPr="00D30FB3">
      <w:rPr>
        <w:b/>
        <w:sz w:val="18"/>
      </w:rPr>
      <w:fldChar w:fldCharType="begin"/>
    </w:r>
    <w:r w:rsidRPr="00D30FB3">
      <w:rPr>
        <w:b/>
        <w:sz w:val="18"/>
      </w:rPr>
      <w:instrText xml:space="preserve"> PAGE  \* MERGEFORMAT </w:instrText>
    </w:r>
    <w:r w:rsidRPr="00D30FB3">
      <w:rPr>
        <w:b/>
        <w:sz w:val="18"/>
      </w:rPr>
      <w:fldChar w:fldCharType="separate"/>
    </w:r>
    <w:r w:rsidRPr="00D30FB3">
      <w:rPr>
        <w:b/>
        <w:noProof/>
        <w:sz w:val="18"/>
      </w:rPr>
      <w:t>2</w:t>
    </w:r>
    <w:r w:rsidRPr="00D30FB3">
      <w:rPr>
        <w:b/>
        <w:sz w:val="18"/>
      </w:rPr>
      <w:fldChar w:fldCharType="end"/>
    </w:r>
    <w:r>
      <w:rPr>
        <w:b/>
        <w:sz w:val="18"/>
      </w:rPr>
      <w:tab/>
    </w:r>
    <w:r>
      <w:t>GE.24-06563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58D5" w14:textId="187FF2DD" w:rsidR="00D30FB3" w:rsidRPr="00D30FB3" w:rsidRDefault="00D30FB3" w:rsidP="00D30FB3">
    <w:pPr>
      <w:pStyle w:val="Pieddepage"/>
      <w:tabs>
        <w:tab w:val="right" w:pos="9638"/>
      </w:tabs>
      <w:rPr>
        <w:b/>
        <w:sz w:val="18"/>
      </w:rPr>
    </w:pPr>
    <w:r>
      <w:t>GE.24-06563</w:t>
    </w:r>
    <w:r>
      <w:tab/>
    </w:r>
    <w:r w:rsidRPr="00D30FB3">
      <w:rPr>
        <w:b/>
        <w:sz w:val="18"/>
      </w:rPr>
      <w:fldChar w:fldCharType="begin"/>
    </w:r>
    <w:r w:rsidRPr="00D30FB3">
      <w:rPr>
        <w:b/>
        <w:sz w:val="18"/>
      </w:rPr>
      <w:instrText xml:space="preserve"> PAGE  \* MERGEFORMAT </w:instrText>
    </w:r>
    <w:r w:rsidRPr="00D30FB3">
      <w:rPr>
        <w:b/>
        <w:sz w:val="18"/>
      </w:rPr>
      <w:fldChar w:fldCharType="separate"/>
    </w:r>
    <w:r w:rsidRPr="00D30FB3">
      <w:rPr>
        <w:b/>
        <w:noProof/>
        <w:sz w:val="18"/>
      </w:rPr>
      <w:t>3</w:t>
    </w:r>
    <w:r w:rsidRPr="00D30F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E5E4" w14:textId="0EED3DA1" w:rsidR="0068456F" w:rsidRPr="00D30FB3" w:rsidRDefault="00D30FB3" w:rsidP="00D30FB3">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30DA2AE" wp14:editId="0633733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24-06563  (F)</w:t>
    </w:r>
    <w:r>
      <w:rPr>
        <w:noProof/>
        <w:sz w:val="20"/>
      </w:rPr>
      <w:drawing>
        <wp:anchor distT="0" distB="0" distL="114300" distR="114300" simplePos="0" relativeHeight="251660288" behindDoc="0" locked="0" layoutInCell="1" allowOverlap="1" wp14:anchorId="70505355" wp14:editId="0AE1B567">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220424    220424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D307" w14:textId="77777777" w:rsidR="00585FFB" w:rsidRPr="00AC3823" w:rsidRDefault="00585FFB" w:rsidP="00AC3823">
      <w:pPr>
        <w:pStyle w:val="Pieddepage"/>
        <w:tabs>
          <w:tab w:val="right" w:pos="2155"/>
        </w:tabs>
        <w:spacing w:after="80" w:line="240" w:lineRule="atLeast"/>
        <w:ind w:left="680"/>
        <w:rPr>
          <w:u w:val="single"/>
        </w:rPr>
      </w:pPr>
      <w:r>
        <w:rPr>
          <w:u w:val="single"/>
        </w:rPr>
        <w:tab/>
      </w:r>
    </w:p>
  </w:footnote>
  <w:footnote w:type="continuationSeparator" w:id="0">
    <w:p w14:paraId="687E05E9" w14:textId="77777777" w:rsidR="00585FFB" w:rsidRPr="00AC3823" w:rsidRDefault="00585FFB" w:rsidP="00AC3823">
      <w:pPr>
        <w:pStyle w:val="Pieddepage"/>
        <w:tabs>
          <w:tab w:val="right" w:pos="2155"/>
        </w:tabs>
        <w:spacing w:after="80" w:line="240" w:lineRule="atLeast"/>
        <w:ind w:left="680"/>
        <w:rPr>
          <w:u w:val="single"/>
        </w:rPr>
      </w:pPr>
      <w:r>
        <w:rPr>
          <w:u w:val="single"/>
        </w:rPr>
        <w:tab/>
      </w:r>
    </w:p>
  </w:footnote>
  <w:footnote w:type="continuationNotice" w:id="1">
    <w:p w14:paraId="65FA7344" w14:textId="77777777" w:rsidR="00585FFB" w:rsidRPr="00AC3823" w:rsidRDefault="00585FFB">
      <w:pPr>
        <w:spacing w:line="240" w:lineRule="auto"/>
        <w:rPr>
          <w:sz w:val="2"/>
          <w:szCs w:val="2"/>
        </w:rPr>
      </w:pPr>
    </w:p>
  </w:footnote>
  <w:footnote w:id="2">
    <w:p w14:paraId="4FF90E64" w14:textId="77777777" w:rsidR="00D30FB3" w:rsidRPr="005140F6" w:rsidRDefault="00D30FB3" w:rsidP="00C06F43">
      <w:pPr>
        <w:pStyle w:val="Notedebasdepage"/>
        <w:rPr>
          <w:lang w:val="fr-FR"/>
        </w:rPr>
      </w:pPr>
      <w:r>
        <w:rPr>
          <w:lang w:val="fr-FR"/>
        </w:rPr>
        <w:tab/>
      </w:r>
      <w:r w:rsidRPr="00C06F43">
        <w:rPr>
          <w:sz w:val="20"/>
          <w:lang w:val="fr-FR"/>
        </w:rPr>
        <w:t>*</w:t>
      </w:r>
      <w:r>
        <w:rPr>
          <w:lang w:val="fr-FR"/>
        </w:rPr>
        <w:tab/>
        <w:t>A/78/6 (Sect. 20), tableau 20.5.</w:t>
      </w:r>
    </w:p>
  </w:footnote>
  <w:footnote w:id="3">
    <w:p w14:paraId="20A9F1F1" w14:textId="4CABC745" w:rsidR="00D30FB3" w:rsidRPr="005140F6" w:rsidRDefault="00D30FB3" w:rsidP="00C06F43">
      <w:pPr>
        <w:pStyle w:val="Notedebasdepage"/>
        <w:rPr>
          <w:lang w:val="fr-FR"/>
        </w:rPr>
      </w:pPr>
      <w:r>
        <w:rPr>
          <w:lang w:val="fr-FR"/>
        </w:rPr>
        <w:tab/>
      </w:r>
      <w:r w:rsidRPr="00C06F43">
        <w:rPr>
          <w:rStyle w:val="Appelnotedebasdep"/>
        </w:rPr>
        <w:footnoteRef/>
      </w:r>
      <w:r>
        <w:rPr>
          <w:lang w:val="fr-FR"/>
        </w:rPr>
        <w:tab/>
      </w:r>
      <w:hyperlink r:id="rId1" w:history="1">
        <w:r w:rsidR="00C06F43" w:rsidRPr="00AB5A85">
          <w:rPr>
            <w:rStyle w:val="Lienhypertexte"/>
            <w:lang w:val="fr-FR"/>
          </w:rPr>
          <w:t>https://unece.org/DAM/trans/doc/2014/dgac10c3/UN-SCETDG-46-INF41e.pdf</w:t>
        </w:r>
      </w:hyperlink>
      <w:r w:rsidR="00C06F43">
        <w:rPr>
          <w:lang w:val="fr-FR"/>
        </w:rPr>
        <w:t xml:space="preserve">. </w:t>
      </w:r>
    </w:p>
  </w:footnote>
  <w:footnote w:id="4">
    <w:p w14:paraId="32B36C57" w14:textId="42EE4FDA" w:rsidR="00D30FB3" w:rsidRPr="005140F6" w:rsidRDefault="00D30FB3" w:rsidP="00C06F43">
      <w:pPr>
        <w:pStyle w:val="Notedebasdepage"/>
        <w:rPr>
          <w:lang w:val="fr-FR"/>
        </w:rPr>
      </w:pPr>
      <w:r>
        <w:rPr>
          <w:lang w:val="fr-FR"/>
        </w:rPr>
        <w:tab/>
      </w:r>
      <w:r w:rsidRPr="00C06F43">
        <w:rPr>
          <w:rStyle w:val="Appelnotedebasdep"/>
        </w:rPr>
        <w:footnoteRef/>
      </w:r>
      <w:r>
        <w:rPr>
          <w:lang w:val="fr-FR"/>
        </w:rPr>
        <w:tab/>
      </w:r>
      <w:hyperlink r:id="rId2" w:history="1">
        <w:r w:rsidR="00082A38" w:rsidRPr="00AB5A85">
          <w:rPr>
            <w:rStyle w:val="Lienhypertexte"/>
            <w:lang w:val="fr-FR"/>
          </w:rPr>
          <w:t>https://unece.org/DAM/trans/doc/2014/dgac10c3/UN-SCETDG-46-INF73e.pdf</w:t>
        </w:r>
      </w:hyperlink>
      <w:r w:rsidR="00082A38">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C1D9" w14:textId="7DDD7BC6" w:rsidR="00D30FB3" w:rsidRPr="00D30FB3" w:rsidRDefault="00D30FB3">
    <w:pPr>
      <w:pStyle w:val="En-tte"/>
    </w:pPr>
    <w:fldSimple w:instr=" TITLE  \* MERGEFORMAT ">
      <w:r>
        <w:t>ST/SG/AC.10/C.3/2024/28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9146" w14:textId="35456C6A" w:rsidR="00D30FB3" w:rsidRPr="00D30FB3" w:rsidRDefault="00D30FB3" w:rsidP="00D30FB3">
    <w:pPr>
      <w:pStyle w:val="En-tte"/>
      <w:jc w:val="right"/>
    </w:pPr>
    <w:fldSimple w:instr=" TITLE  \* MERGEFORMAT ">
      <w:r>
        <w:t>ST/SG/AC.10/C.3/2024/28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50727850">
    <w:abstractNumId w:val="12"/>
  </w:num>
  <w:num w:numId="2" w16cid:durableId="196436834">
    <w:abstractNumId w:val="11"/>
  </w:num>
  <w:num w:numId="3" w16cid:durableId="536433776">
    <w:abstractNumId w:val="10"/>
  </w:num>
  <w:num w:numId="4" w16cid:durableId="357044526">
    <w:abstractNumId w:val="8"/>
  </w:num>
  <w:num w:numId="5" w16cid:durableId="801269744">
    <w:abstractNumId w:val="3"/>
  </w:num>
  <w:num w:numId="6" w16cid:durableId="2142771180">
    <w:abstractNumId w:val="2"/>
  </w:num>
  <w:num w:numId="7" w16cid:durableId="1668174253">
    <w:abstractNumId w:val="1"/>
  </w:num>
  <w:num w:numId="8" w16cid:durableId="2056421079">
    <w:abstractNumId w:val="0"/>
  </w:num>
  <w:num w:numId="9" w16cid:durableId="442456125">
    <w:abstractNumId w:val="9"/>
  </w:num>
  <w:num w:numId="10" w16cid:durableId="67189847">
    <w:abstractNumId w:val="7"/>
  </w:num>
  <w:num w:numId="11" w16cid:durableId="1530797048">
    <w:abstractNumId w:val="6"/>
  </w:num>
  <w:num w:numId="12" w16cid:durableId="1809932834">
    <w:abstractNumId w:val="5"/>
  </w:num>
  <w:num w:numId="13" w16cid:durableId="1689335349">
    <w:abstractNumId w:val="4"/>
  </w:num>
  <w:num w:numId="14" w16cid:durableId="1071273988">
    <w:abstractNumId w:val="12"/>
  </w:num>
  <w:num w:numId="15" w16cid:durableId="1836535781">
    <w:abstractNumId w:val="11"/>
  </w:num>
  <w:num w:numId="16" w16cid:durableId="5540072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FB"/>
    <w:rsid w:val="00017F94"/>
    <w:rsid w:val="00023842"/>
    <w:rsid w:val="000305D3"/>
    <w:rsid w:val="000334F9"/>
    <w:rsid w:val="0007796D"/>
    <w:rsid w:val="00082A38"/>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5FFB"/>
    <w:rsid w:val="00586ED3"/>
    <w:rsid w:val="00596AA9"/>
    <w:rsid w:val="00631426"/>
    <w:rsid w:val="0068456F"/>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C06F43"/>
    <w:rsid w:val="00D30FB3"/>
    <w:rsid w:val="00D3439C"/>
    <w:rsid w:val="00DA5919"/>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A9455"/>
  <w15:docId w15:val="{76910CC6-9C70-4220-BF55-A5CAB1C3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1GChar">
    <w:name w:val="_ H_1_G Char"/>
    <w:link w:val="H1G"/>
    <w:locked/>
    <w:rsid w:val="00D30FB3"/>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C06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DAM/trans/doc/2014/dgac10c3/UN-SCETDG-46-INF73e.pdf" TargetMode="External"/><Relationship Id="rId1" Type="http://schemas.openxmlformats.org/officeDocument/2006/relationships/hyperlink" Target="https://unece.org/DAM/trans/doc/2014/dgac10c3/UN-SCETDG-46-INF41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FB247-42BC-4C72-8AD0-84E8D8AC477E}"/>
</file>

<file path=customXml/itemProps2.xml><?xml version="1.0" encoding="utf-8"?>
<ds:datastoreItem xmlns:ds="http://schemas.openxmlformats.org/officeDocument/2006/customXml" ds:itemID="{43927A6E-CF1D-42E9-814E-0630B447AFB7}"/>
</file>

<file path=docProps/app.xml><?xml version="1.0" encoding="utf-8"?>
<Properties xmlns="http://schemas.openxmlformats.org/officeDocument/2006/extended-properties" xmlns:vt="http://schemas.openxmlformats.org/officeDocument/2006/docPropsVTypes">
  <Template>ST.dotm</Template>
  <TotalTime>9</TotalTime>
  <Pages>2</Pages>
  <Words>469</Words>
  <Characters>3593</Characters>
  <Application>Microsoft Office Word</Application>
  <DocSecurity>0</DocSecurity>
  <Lines>1197</Lines>
  <Paragraphs>338</Paragraphs>
  <ScaleCrop>false</ScaleCrop>
  <HeadingPairs>
    <vt:vector size="2" baseType="variant">
      <vt:variant>
        <vt:lpstr>Titre</vt:lpstr>
      </vt:variant>
      <vt:variant>
        <vt:i4>1</vt:i4>
      </vt:variant>
    </vt:vector>
  </HeadingPairs>
  <TitlesOfParts>
    <vt:vector size="1" baseType="lpstr">
      <vt:lpstr>ST/SG/AC.10/C.3/2024/28</vt:lpstr>
    </vt:vector>
  </TitlesOfParts>
  <Company>DCM</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ST/SG/AC.10/C.3/2024/28</dc:title>
  <dc:subject/>
  <dc:creator>Sandrine CLERE</dc:creator>
  <cp:keywords/>
  <cp:lastModifiedBy>Sandrine Clere</cp:lastModifiedBy>
  <cp:revision>2</cp:revision>
  <cp:lastPrinted>2014-05-14T10:59:00Z</cp:lastPrinted>
  <dcterms:created xsi:type="dcterms:W3CDTF">2024-04-22T09:45:00Z</dcterms:created>
  <dcterms:modified xsi:type="dcterms:W3CDTF">2024-04-22T09:45:00Z</dcterms:modified>
</cp:coreProperties>
</file>