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34D4D2A" w14:textId="77777777" w:rsidTr="006476E1">
        <w:trPr>
          <w:trHeight w:val="851"/>
        </w:trPr>
        <w:tc>
          <w:tcPr>
            <w:tcW w:w="1259" w:type="dxa"/>
            <w:tcBorders>
              <w:top w:val="nil"/>
              <w:left w:val="nil"/>
              <w:bottom w:val="single" w:sz="4" w:space="0" w:color="auto"/>
              <w:right w:val="nil"/>
            </w:tcBorders>
          </w:tcPr>
          <w:p w14:paraId="203CFC19" w14:textId="77777777" w:rsidR="00E52109" w:rsidRPr="002A32CB" w:rsidRDefault="00E52109" w:rsidP="004858F5"/>
        </w:tc>
        <w:tc>
          <w:tcPr>
            <w:tcW w:w="2236" w:type="dxa"/>
            <w:tcBorders>
              <w:top w:val="nil"/>
              <w:left w:val="nil"/>
              <w:bottom w:val="single" w:sz="4" w:space="0" w:color="auto"/>
              <w:right w:val="nil"/>
            </w:tcBorders>
            <w:vAlign w:val="bottom"/>
          </w:tcPr>
          <w:p w14:paraId="5EA0202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FFD4BAF" w14:textId="56DA866A" w:rsidR="00E52109" w:rsidRDefault="007D78DA" w:rsidP="007D78DA">
            <w:pPr>
              <w:jc w:val="right"/>
            </w:pPr>
            <w:r w:rsidRPr="007D78DA">
              <w:rPr>
                <w:sz w:val="40"/>
              </w:rPr>
              <w:t>ST</w:t>
            </w:r>
            <w:r>
              <w:t>/SG/AC.10/C.3/2024/35</w:t>
            </w:r>
          </w:p>
        </w:tc>
      </w:tr>
      <w:tr w:rsidR="00E52109" w14:paraId="00E53948" w14:textId="77777777" w:rsidTr="006476E1">
        <w:trPr>
          <w:trHeight w:val="2835"/>
        </w:trPr>
        <w:tc>
          <w:tcPr>
            <w:tcW w:w="1259" w:type="dxa"/>
            <w:tcBorders>
              <w:top w:val="single" w:sz="4" w:space="0" w:color="auto"/>
              <w:left w:val="nil"/>
              <w:bottom w:val="single" w:sz="12" w:space="0" w:color="auto"/>
              <w:right w:val="nil"/>
            </w:tcBorders>
          </w:tcPr>
          <w:p w14:paraId="7796473B" w14:textId="77777777" w:rsidR="00E52109" w:rsidRDefault="00E52109" w:rsidP="006476E1">
            <w:pPr>
              <w:spacing w:before="120"/>
              <w:jc w:val="center"/>
            </w:pPr>
            <w:r>
              <w:rPr>
                <w:noProof/>
                <w:lang w:val="fr-CH" w:eastAsia="fr-CH"/>
              </w:rPr>
              <w:drawing>
                <wp:inline distT="0" distB="0" distL="0" distR="0" wp14:anchorId="660DB9BA" wp14:editId="379B14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B378FC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67D83E5" w14:textId="77777777" w:rsidR="00D94B05" w:rsidRDefault="007D78DA" w:rsidP="007D78DA">
            <w:pPr>
              <w:spacing w:before="240" w:line="240" w:lineRule="exact"/>
            </w:pPr>
            <w:r>
              <w:t>Distr.: General</w:t>
            </w:r>
          </w:p>
          <w:p w14:paraId="53CCF84F" w14:textId="110FF116" w:rsidR="007D78DA" w:rsidRDefault="0037313A" w:rsidP="007D78DA">
            <w:pPr>
              <w:spacing w:line="240" w:lineRule="exact"/>
            </w:pPr>
            <w:r>
              <w:t>1</w:t>
            </w:r>
            <w:r w:rsidR="009E6E54">
              <w:t>2</w:t>
            </w:r>
            <w:r w:rsidR="007D78DA" w:rsidRPr="0037313A">
              <w:t xml:space="preserve"> April 2024</w:t>
            </w:r>
          </w:p>
          <w:p w14:paraId="48117BD5" w14:textId="77777777" w:rsidR="007D78DA" w:rsidRDefault="007D78DA" w:rsidP="007D78DA">
            <w:pPr>
              <w:spacing w:line="240" w:lineRule="exact"/>
            </w:pPr>
          </w:p>
          <w:p w14:paraId="7D92B98C" w14:textId="61C88633" w:rsidR="007D78DA" w:rsidRDefault="007D78DA" w:rsidP="007D78DA">
            <w:pPr>
              <w:spacing w:line="240" w:lineRule="exact"/>
            </w:pPr>
            <w:r>
              <w:t>Original: English</w:t>
            </w:r>
          </w:p>
        </w:tc>
      </w:tr>
    </w:tbl>
    <w:p w14:paraId="3743309E" w14:textId="77777777" w:rsidR="007D78DA" w:rsidRPr="006500BA" w:rsidRDefault="007D78D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7ACEEC6" w14:textId="77777777" w:rsidR="007D78DA" w:rsidRPr="006500BA" w:rsidRDefault="007D78DA" w:rsidP="004858F5">
      <w:pPr>
        <w:spacing w:before="120"/>
        <w:rPr>
          <w:rFonts w:ascii="Helv" w:hAnsi="Helv" w:cs="Helv"/>
          <w:b/>
          <w:color w:val="000000"/>
        </w:rPr>
      </w:pPr>
      <w:r w:rsidRPr="006500BA">
        <w:rPr>
          <w:b/>
        </w:rPr>
        <w:t xml:space="preserve">Sub-Committee of Experts on the </w:t>
      </w:r>
      <w:r>
        <w:rPr>
          <w:b/>
        </w:rPr>
        <w:t>Transport of Dangerous Goods</w:t>
      </w:r>
    </w:p>
    <w:p w14:paraId="3050DF72" w14:textId="22E6B797" w:rsidR="007D78DA" w:rsidRPr="006500BA" w:rsidRDefault="003A3F11" w:rsidP="004858F5">
      <w:pPr>
        <w:spacing w:before="120"/>
        <w:rPr>
          <w:b/>
        </w:rPr>
      </w:pPr>
      <w:r>
        <w:rPr>
          <w:b/>
        </w:rPr>
        <w:t>Sixty-fourth</w:t>
      </w:r>
      <w:r w:rsidR="007D78DA">
        <w:rPr>
          <w:b/>
        </w:rPr>
        <w:t xml:space="preserve"> </w:t>
      </w:r>
      <w:r w:rsidR="007D78DA" w:rsidRPr="006500BA">
        <w:rPr>
          <w:b/>
        </w:rPr>
        <w:t>session</w:t>
      </w:r>
    </w:p>
    <w:p w14:paraId="2998F720" w14:textId="46FE3B33" w:rsidR="007D78DA" w:rsidRPr="006500BA" w:rsidRDefault="007D78DA" w:rsidP="004858F5">
      <w:r w:rsidRPr="006500BA">
        <w:t xml:space="preserve">Geneva, </w:t>
      </w:r>
      <w:r w:rsidR="00E821E6">
        <w:t>24 June-3 July 2024</w:t>
      </w:r>
    </w:p>
    <w:p w14:paraId="6C4D50E0" w14:textId="7E15BE98" w:rsidR="007D78DA" w:rsidRPr="003B4281" w:rsidRDefault="007D78DA" w:rsidP="004858F5">
      <w:r w:rsidRPr="003B4281">
        <w:t xml:space="preserve">Item </w:t>
      </w:r>
      <w:r w:rsidR="002A03A0">
        <w:t>4</w:t>
      </w:r>
      <w:r w:rsidR="006D0CEB" w:rsidRPr="003B4281">
        <w:t xml:space="preserve"> (</w:t>
      </w:r>
      <w:r w:rsidR="002A03A0">
        <w:t>c</w:t>
      </w:r>
      <w:r w:rsidR="006D0CEB" w:rsidRPr="003B4281">
        <w:t xml:space="preserve">) </w:t>
      </w:r>
      <w:r w:rsidRPr="003B4281">
        <w:t>of the provisional agenda</w:t>
      </w:r>
    </w:p>
    <w:p w14:paraId="4C16C861" w14:textId="3FAEAEC0" w:rsidR="00734CAC" w:rsidRDefault="00AD1F07" w:rsidP="00734CAC">
      <w:pPr>
        <w:suppressAutoHyphens/>
        <w:kinsoku w:val="0"/>
        <w:overflowPunct w:val="0"/>
        <w:autoSpaceDE w:val="0"/>
        <w:autoSpaceDN w:val="0"/>
        <w:adjustRightInd w:val="0"/>
        <w:snapToGrid w:val="0"/>
      </w:pPr>
      <w:r w:rsidRPr="00AD1F07">
        <w:rPr>
          <w:b/>
        </w:rPr>
        <w:t>Electric storage systems</w:t>
      </w:r>
      <w:r w:rsidR="00734CAC" w:rsidRPr="003B4281">
        <w:rPr>
          <w:b/>
        </w:rPr>
        <w:t>:</w:t>
      </w:r>
      <w:r w:rsidR="00734CAC" w:rsidRPr="003B4281">
        <w:rPr>
          <w:rFonts w:hint="eastAsia"/>
          <w:b/>
        </w:rPr>
        <w:t xml:space="preserve"> </w:t>
      </w:r>
      <w:r w:rsidR="00734CAC" w:rsidRPr="003B4281">
        <w:rPr>
          <w:b/>
        </w:rPr>
        <w:br/>
      </w:r>
      <w:r w:rsidR="000701AA" w:rsidRPr="000701AA">
        <w:rPr>
          <w:b/>
          <w:lang w:eastAsia="en-US"/>
        </w:rPr>
        <w:t>Transport provision</w:t>
      </w:r>
      <w:r w:rsidR="000701AA">
        <w:rPr>
          <w:b/>
          <w:lang w:eastAsia="en-US"/>
        </w:rPr>
        <w:t>s</w:t>
      </w:r>
    </w:p>
    <w:p w14:paraId="0F76DBE3" w14:textId="608463EA" w:rsidR="007D78DA" w:rsidRPr="00734CAC" w:rsidRDefault="00734CAC" w:rsidP="00734CAC">
      <w:pPr>
        <w:pStyle w:val="HChG"/>
      </w:pPr>
      <w:r>
        <w:tab/>
      </w:r>
      <w:r>
        <w:tab/>
      </w:r>
      <w:r w:rsidR="007D78DA" w:rsidRPr="00734CAC">
        <w:rPr>
          <w:rFonts w:hint="eastAsia"/>
        </w:rPr>
        <w:t>A</w:t>
      </w:r>
      <w:r w:rsidR="007D78DA" w:rsidRPr="00734CAC">
        <w:t xml:space="preserve">lignment between </w:t>
      </w:r>
      <w:r w:rsidR="00AB0966">
        <w:t xml:space="preserve">the requirements of </w:t>
      </w:r>
      <w:r w:rsidR="007D78DA" w:rsidRPr="00734CAC">
        <w:t xml:space="preserve">2.0.5.6 and </w:t>
      </w:r>
      <w:r>
        <w:t>s</w:t>
      </w:r>
      <w:r w:rsidR="007D78DA" w:rsidRPr="00734CAC">
        <w:t xml:space="preserve">pecial </w:t>
      </w:r>
      <w:r>
        <w:t>p</w:t>
      </w:r>
      <w:r w:rsidR="007D78DA" w:rsidRPr="00734CAC">
        <w:t>rovision 301</w:t>
      </w:r>
    </w:p>
    <w:p w14:paraId="5DDE3F99" w14:textId="4AE1179D" w:rsidR="007D78DA" w:rsidRPr="0055586A" w:rsidRDefault="007D78DA" w:rsidP="007D78DA">
      <w:pPr>
        <w:pStyle w:val="H1G"/>
        <w:snapToGrid w:val="0"/>
        <w:spacing w:before="240" w:line="240" w:lineRule="auto"/>
        <w:jc w:val="both"/>
        <w:rPr>
          <w:bCs/>
        </w:rPr>
      </w:pPr>
      <w:r>
        <w:tab/>
      </w:r>
      <w:r w:rsidRPr="00EC162E">
        <w:rPr>
          <w:sz w:val="22"/>
        </w:rPr>
        <w:tab/>
        <w:t xml:space="preserve">Submitted by the </w:t>
      </w:r>
      <w:r w:rsidRPr="00EC162E">
        <w:rPr>
          <w:sz w:val="22"/>
          <w:lang w:val="en-US"/>
        </w:rPr>
        <w:t xml:space="preserve">expert </w:t>
      </w:r>
      <w:r w:rsidRPr="00EC162E">
        <w:rPr>
          <w:sz w:val="22"/>
        </w:rPr>
        <w:t>from China</w:t>
      </w:r>
      <w:r w:rsidR="007160BC" w:rsidRPr="007160BC">
        <w:rPr>
          <w:rStyle w:val="FootnoteReference"/>
          <w:sz w:val="20"/>
          <w:vertAlign w:val="baseline"/>
        </w:rPr>
        <w:footnoteReference w:customMarkFollows="1" w:id="2"/>
        <w:t>*</w:t>
      </w:r>
    </w:p>
    <w:p w14:paraId="323AA9E6" w14:textId="11E8ED05" w:rsidR="007D78DA" w:rsidRPr="002745C2" w:rsidRDefault="00734CAC" w:rsidP="002745C2">
      <w:pPr>
        <w:pStyle w:val="HChG"/>
      </w:pPr>
      <w:r w:rsidRPr="002745C2">
        <w:tab/>
      </w:r>
      <w:r w:rsidR="007160BC">
        <w:t>I.</w:t>
      </w:r>
      <w:r w:rsidR="007160BC">
        <w:tab/>
      </w:r>
      <w:r w:rsidR="007D78DA" w:rsidRPr="002745C2">
        <w:t>Introduction</w:t>
      </w:r>
    </w:p>
    <w:p w14:paraId="0F94A3D1" w14:textId="527ED9B8" w:rsidR="007D78DA" w:rsidRDefault="00734CAC" w:rsidP="00734CAC">
      <w:pPr>
        <w:pStyle w:val="SingleTxtG"/>
      </w:pPr>
      <w:r>
        <w:t>1.</w:t>
      </w:r>
      <w:r>
        <w:tab/>
      </w:r>
      <w:r w:rsidR="007D78DA">
        <w:t xml:space="preserve">It was pointed out in document </w:t>
      </w:r>
      <w:r>
        <w:t>ST/SG/AC.10/C.3/</w:t>
      </w:r>
      <w:r w:rsidR="007D78DA">
        <w:t xml:space="preserve">2023/54 submitted by China at the </w:t>
      </w:r>
      <w:r>
        <w:t>sixty-third</w:t>
      </w:r>
      <w:r w:rsidR="007D78DA">
        <w:t xml:space="preserve"> session of Sub-Committee, which was intended to discuss the transport provisions for articles containing both lithium batteries and other types of dangerous goods, that the enclosing requirements in </w:t>
      </w:r>
      <w:r w:rsidR="0095230C">
        <w:t>paragraph</w:t>
      </w:r>
      <w:r w:rsidR="007D78DA" w:rsidRPr="00183A29">
        <w:t xml:space="preserve"> 2.0.5.6 and special provision 301</w:t>
      </w:r>
      <w:r w:rsidR="0095230C">
        <w:t xml:space="preserve"> </w:t>
      </w:r>
      <w:r w:rsidR="00AB0966">
        <w:t xml:space="preserve">in the </w:t>
      </w:r>
      <w:r w:rsidR="00AB0966" w:rsidRPr="00ED07F8">
        <w:rPr>
          <w:i/>
        </w:rPr>
        <w:t>Model Regulations</w:t>
      </w:r>
      <w:r w:rsidR="00AB0966">
        <w:t xml:space="preserve"> </w:t>
      </w:r>
      <w:r w:rsidR="007D78DA">
        <w:t>are different from each other</w:t>
      </w:r>
      <w:r w:rsidR="007D78DA" w:rsidRPr="003B20CE">
        <w:t>.</w:t>
      </w:r>
    </w:p>
    <w:p w14:paraId="545D326F" w14:textId="37892B28" w:rsidR="007D78DA" w:rsidRDefault="00734CAC" w:rsidP="004C3945">
      <w:pPr>
        <w:pStyle w:val="SingleTxtG"/>
      </w:pPr>
      <w:r>
        <w:t>2.</w:t>
      </w:r>
      <w:r>
        <w:tab/>
      </w:r>
      <w:r w:rsidR="007D78DA">
        <w:t xml:space="preserve">The relevant sentence in </w:t>
      </w:r>
      <w:r w:rsidR="00AB0966">
        <w:t xml:space="preserve">paragraph </w:t>
      </w:r>
      <w:r w:rsidR="007D78DA" w:rsidRPr="00183A29">
        <w:t xml:space="preserve">2.0.5.6 </w:t>
      </w:r>
      <w:r w:rsidR="007D78DA">
        <w:t>reads</w:t>
      </w:r>
      <w:r w:rsidR="007D78DA" w:rsidRPr="00183A29">
        <w:t xml:space="preserve"> “If the article contains more than one item of dangerous goods and these could react dangerously with one another during transport, each of the dangerous goods shall be enclosed separately (see 4.1.1.6)”, which indicates only dangerous goods that can react dangerously should be enclosed separately. </w:t>
      </w:r>
      <w:r w:rsidR="007D78DA">
        <w:t>However</w:t>
      </w:r>
      <w:r w:rsidR="007D78DA" w:rsidRPr="00183A29">
        <w:t>, special provision 301</w:t>
      </w:r>
      <w:r w:rsidR="004C3945">
        <w:t xml:space="preserve"> reads</w:t>
      </w:r>
      <w:r w:rsidR="007D78DA" w:rsidRPr="00183A29">
        <w:t xml:space="preserve"> “If the articles contain more than one item of dangerous goods, the individual dangerous goods shall be enclosed to prevent them reacting dangerously with one another during transport (see 4.1.1.6)”, which indicates different dangerous goods in the same article should be enclosed separately anyway, regardless of whether they will undergo dangerous reactions.</w:t>
      </w:r>
    </w:p>
    <w:p w14:paraId="1664BE4B" w14:textId="080C10E4" w:rsidR="007D78DA" w:rsidRDefault="00734CAC" w:rsidP="00734CAC">
      <w:pPr>
        <w:pStyle w:val="SingleTxtG"/>
      </w:pPr>
      <w:r>
        <w:t>3.</w:t>
      </w:r>
      <w:r>
        <w:tab/>
      </w:r>
      <w:r w:rsidR="007D78DA">
        <w:rPr>
          <w:rFonts w:hint="eastAsia"/>
        </w:rPr>
        <w:t>D</w:t>
      </w:r>
      <w:r w:rsidR="007D78DA">
        <w:t xml:space="preserve">uring the </w:t>
      </w:r>
      <w:r w:rsidR="00E92690">
        <w:t>sixty-third</w:t>
      </w:r>
      <w:r w:rsidR="007D78DA">
        <w:t xml:space="preserve"> session, some experts echoed the perspective of the expert from China on the necessity to align the statements in the two paragraphs with each other (see paragraph 47 of the report ST/SG/AC.10/C.3/126). A</w:t>
      </w:r>
      <w:r w:rsidR="007D78DA" w:rsidRPr="00183A29">
        <w:t xml:space="preserve">lthough </w:t>
      </w:r>
      <w:r w:rsidR="003617FB">
        <w:t>paragraph</w:t>
      </w:r>
      <w:r w:rsidR="007D78DA" w:rsidRPr="00183A29">
        <w:t xml:space="preserve"> 2.0.5.6 and special provision 301 </w:t>
      </w:r>
      <w:r w:rsidR="007D78DA">
        <w:t>applied to articles assigned to</w:t>
      </w:r>
      <w:r w:rsidR="007D78DA" w:rsidRPr="00183A29">
        <w:t xml:space="preserve"> different UN numbers, there seems no sufficient reason to support </w:t>
      </w:r>
      <w:r w:rsidR="007D78DA">
        <w:t>the existing</w:t>
      </w:r>
      <w:r w:rsidR="007D78DA" w:rsidRPr="00183A29">
        <w:t xml:space="preserve"> differences in </w:t>
      </w:r>
      <w:r w:rsidR="007D78DA">
        <w:t xml:space="preserve">the </w:t>
      </w:r>
      <w:r w:rsidR="007D78DA" w:rsidRPr="00183A29">
        <w:t>r</w:t>
      </w:r>
      <w:r w:rsidR="007D78DA">
        <w:t>egulation.</w:t>
      </w:r>
    </w:p>
    <w:p w14:paraId="31E5014A" w14:textId="069A9735" w:rsidR="007D78DA" w:rsidRPr="005D6028" w:rsidRDefault="00734CAC" w:rsidP="00734CAC">
      <w:pPr>
        <w:pStyle w:val="SingleTxtG"/>
      </w:pPr>
      <w:r w:rsidRPr="005D6028">
        <w:t>4.</w:t>
      </w:r>
      <w:r w:rsidRPr="005D6028">
        <w:tab/>
      </w:r>
      <w:r w:rsidR="007D78DA">
        <w:t>Considering th</w:t>
      </w:r>
      <w:r w:rsidR="00A62106">
        <w:t>at</w:t>
      </w:r>
      <w:r w:rsidR="007D78DA">
        <w:t xml:space="preserve"> one of the principles underlying the </w:t>
      </w:r>
      <w:r w:rsidR="00A62106">
        <w:t>r</w:t>
      </w:r>
      <w:r w:rsidR="007D78DA">
        <w:t xml:space="preserve">egulation of transport of dangerous goods is to promote rather than impede the global movements of these goods, the requirements in the </w:t>
      </w:r>
      <w:r w:rsidR="007D78DA" w:rsidRPr="00AA1FF0">
        <w:rPr>
          <w:i/>
        </w:rPr>
        <w:t>Model Regulations</w:t>
      </w:r>
      <w:r w:rsidR="007D78DA">
        <w:t xml:space="preserve"> should be capable of minimizing the risk in transport, while not being too strict. Therefore, the expert from China </w:t>
      </w:r>
      <w:r w:rsidR="00711734">
        <w:t xml:space="preserve">considers that </w:t>
      </w:r>
      <w:r w:rsidR="007D78DA">
        <w:t xml:space="preserve">the principle in 2.0.5.6 </w:t>
      </w:r>
      <w:r w:rsidR="001A7B69">
        <w:t>(</w:t>
      </w:r>
      <w:proofErr w:type="gramStart"/>
      <w:r w:rsidR="001A7B69">
        <w:t>i.e.</w:t>
      </w:r>
      <w:proofErr w:type="gramEnd"/>
      <w:r w:rsidR="001A7B69">
        <w:t xml:space="preserve"> </w:t>
      </w:r>
      <w:r w:rsidR="007D78DA">
        <w:t>that only</w:t>
      </w:r>
      <w:r w:rsidR="007D78DA" w:rsidRPr="00183A29">
        <w:t xml:space="preserve"> dangerous goods </w:t>
      </w:r>
      <w:r w:rsidR="007D78DA">
        <w:t>capable of</w:t>
      </w:r>
      <w:r w:rsidR="007D78DA" w:rsidRPr="00183A29">
        <w:t xml:space="preserve"> react</w:t>
      </w:r>
      <w:r w:rsidR="007D78DA">
        <w:t>ing</w:t>
      </w:r>
      <w:r w:rsidR="007D78DA" w:rsidRPr="00183A29">
        <w:t xml:space="preserve"> dangerously </w:t>
      </w:r>
      <w:r w:rsidR="007D78DA">
        <w:t>need to be</w:t>
      </w:r>
      <w:r w:rsidR="007D78DA" w:rsidRPr="00183A29">
        <w:t xml:space="preserve"> enclosed </w:t>
      </w:r>
      <w:r w:rsidR="007D78DA" w:rsidRPr="00183A29">
        <w:lastRenderedPageBreak/>
        <w:t>separately</w:t>
      </w:r>
      <w:r w:rsidR="001A7B69">
        <w:t>)</w:t>
      </w:r>
      <w:r w:rsidR="007D78DA">
        <w:t xml:space="preserve"> is sufficient. However, </w:t>
      </w:r>
      <w:r w:rsidR="0004153D">
        <w:t xml:space="preserve">China </w:t>
      </w:r>
      <w:r w:rsidR="007D78DA">
        <w:t xml:space="preserve">would prefer to </w:t>
      </w:r>
      <w:r w:rsidR="008774DF">
        <w:t xml:space="preserve">slightly </w:t>
      </w:r>
      <w:r w:rsidR="007D78DA">
        <w:t>modif</w:t>
      </w:r>
      <w:r w:rsidR="001A7B69">
        <w:t>y</w:t>
      </w:r>
      <w:r w:rsidR="007D78DA">
        <w:t xml:space="preserve"> the language to ensure better implementation and </w:t>
      </w:r>
      <w:r w:rsidR="0004153D">
        <w:t xml:space="preserve">therefore </w:t>
      </w:r>
      <w:r w:rsidR="007D78DA">
        <w:t>propose</w:t>
      </w:r>
      <w:r w:rsidR="0004153D">
        <w:t>s</w:t>
      </w:r>
      <w:r w:rsidR="007D78DA">
        <w:t xml:space="preserve"> to amend the requirement to </w:t>
      </w:r>
      <w:proofErr w:type="gramStart"/>
      <w:r w:rsidR="007D78DA">
        <w:t>state</w:t>
      </w:r>
      <w:proofErr w:type="gramEnd"/>
      <w:r w:rsidR="007D78DA">
        <w:t xml:space="preserve"> “</w:t>
      </w:r>
      <w:r w:rsidR="007D78DA" w:rsidRPr="00AB0E55">
        <w:rPr>
          <w:szCs w:val="24"/>
        </w:rPr>
        <w:t>If the article contains more than one item of dangerous goods, the individual dangerous goods shall be enclosed separately, unless it can be demonstrated, by testing, assessment, experience etc., that they will not react dangerously with one another</w:t>
      </w:r>
      <w:r w:rsidR="007D78DA" w:rsidRPr="00AB0E55">
        <w:t xml:space="preserve"> </w:t>
      </w:r>
      <w:r w:rsidR="007D78DA" w:rsidRPr="00AB0E55">
        <w:rPr>
          <w:szCs w:val="24"/>
        </w:rPr>
        <w:t>during transport (see 4.1.1.6)</w:t>
      </w:r>
      <w:r w:rsidR="007D78DA">
        <w:t xml:space="preserve">”. It is firstly required to enclose each dangerous goods separately, following by an exemption when the possibility of dangerous reactions can be eliminated. This modification of language will not make the requirement more stringent </w:t>
      </w:r>
      <w:proofErr w:type="gramStart"/>
      <w:r w:rsidR="007D78DA">
        <w:t>essentially, but</w:t>
      </w:r>
      <w:proofErr w:type="gramEnd"/>
      <w:r w:rsidR="007D78DA">
        <w:t xml:space="preserve"> can help improve transport safety by reminding users of the</w:t>
      </w:r>
      <w:r w:rsidR="00BD3CAA">
        <w:t xml:space="preserve"> </w:t>
      </w:r>
      <w:r w:rsidR="00BD3CAA" w:rsidRPr="00BD3CAA">
        <w:rPr>
          <w:i/>
          <w:iCs/>
        </w:rPr>
        <w:t>Model</w:t>
      </w:r>
      <w:r w:rsidR="00BD3CAA">
        <w:t xml:space="preserve"> </w:t>
      </w:r>
      <w:r w:rsidR="007D78DA" w:rsidRPr="00243499">
        <w:rPr>
          <w:i/>
        </w:rPr>
        <w:t>Regulations</w:t>
      </w:r>
      <w:r w:rsidR="007D78DA">
        <w:t xml:space="preserve"> to consider more carefully the </w:t>
      </w:r>
      <w:r w:rsidR="00BD3CAA">
        <w:t xml:space="preserve">need </w:t>
      </w:r>
      <w:r w:rsidR="007D78DA">
        <w:t xml:space="preserve">for </w:t>
      </w:r>
      <w:r w:rsidR="00BD3CAA">
        <w:t xml:space="preserve">a </w:t>
      </w:r>
      <w:r w:rsidR="007D78DA">
        <w:t>separate enclosure.</w:t>
      </w:r>
    </w:p>
    <w:p w14:paraId="396F36A5" w14:textId="1027D02B" w:rsidR="007D78DA" w:rsidRPr="00965A76" w:rsidRDefault="00965A76" w:rsidP="00965A76">
      <w:pPr>
        <w:pStyle w:val="HChG"/>
        <w:ind w:left="0" w:firstLine="0"/>
      </w:pPr>
      <w:r>
        <w:tab/>
      </w:r>
      <w:r w:rsidR="007160BC">
        <w:t>II.</w:t>
      </w:r>
      <w:r w:rsidR="007160BC">
        <w:tab/>
      </w:r>
      <w:r w:rsidR="007D78DA" w:rsidRPr="00965A76">
        <w:t>Proposal</w:t>
      </w:r>
    </w:p>
    <w:p w14:paraId="7A902BB5" w14:textId="173DEB05" w:rsidR="007D78DA" w:rsidRDefault="00734CAC" w:rsidP="00965A76">
      <w:pPr>
        <w:pStyle w:val="SingleTxtG"/>
      </w:pPr>
      <w:r>
        <w:t>5.</w:t>
      </w:r>
      <w:r>
        <w:tab/>
      </w:r>
      <w:r w:rsidR="00F60B4F">
        <w:t xml:space="preserve">It is </w:t>
      </w:r>
      <w:r w:rsidR="007D78DA">
        <w:t xml:space="preserve">proposed to amend </w:t>
      </w:r>
      <w:r w:rsidR="00F60B4F">
        <w:t xml:space="preserve">paragraph </w:t>
      </w:r>
      <w:r w:rsidR="007D78DA">
        <w:t xml:space="preserve">2.0.5.6 </w:t>
      </w:r>
      <w:r w:rsidR="00F446BE">
        <w:t xml:space="preserve">(chapter 2.0) </w:t>
      </w:r>
      <w:r w:rsidR="007D78DA">
        <w:rPr>
          <w:rFonts w:hint="eastAsia"/>
        </w:rPr>
        <w:t>and</w:t>
      </w:r>
      <w:r w:rsidR="007D78DA">
        <w:t xml:space="preserve"> special provision 301 </w:t>
      </w:r>
      <w:r w:rsidR="00F446BE">
        <w:t xml:space="preserve">(chapter 3.3) </w:t>
      </w:r>
      <w:r w:rsidR="001A5120">
        <w:t xml:space="preserve">of the </w:t>
      </w:r>
      <w:r w:rsidR="001A5120" w:rsidRPr="001A5120">
        <w:rPr>
          <w:i/>
          <w:iCs/>
        </w:rPr>
        <w:t>Model Regulations</w:t>
      </w:r>
      <w:r w:rsidR="001A5120">
        <w:t xml:space="preserve"> </w:t>
      </w:r>
      <w:r w:rsidR="007D78DA">
        <w:t xml:space="preserve">as follows </w:t>
      </w:r>
      <w:r w:rsidR="007D78DA" w:rsidRPr="008705A5">
        <w:t xml:space="preserve">(deleted text appears </w:t>
      </w:r>
      <w:r w:rsidR="007D78DA" w:rsidRPr="00EE0077">
        <w:t>in strikethrough</w:t>
      </w:r>
      <w:r w:rsidR="007D78DA" w:rsidRPr="008705A5">
        <w:t xml:space="preserve"> and new text in </w:t>
      </w:r>
      <w:r w:rsidR="007D78DA" w:rsidRPr="008705A5">
        <w:rPr>
          <w:b/>
          <w:u w:val="single"/>
        </w:rPr>
        <w:t>bold underlined</w:t>
      </w:r>
      <w:r w:rsidR="007D78DA" w:rsidRPr="008705A5">
        <w:t>)</w:t>
      </w:r>
      <w:r w:rsidR="007D78DA">
        <w:t>:</w:t>
      </w:r>
    </w:p>
    <w:p w14:paraId="07E9C1CF" w14:textId="0126CD7A" w:rsidR="007D78DA" w:rsidRDefault="00F60B4F" w:rsidP="00F446BE">
      <w:pPr>
        <w:pStyle w:val="SingleTxtG"/>
        <w:ind w:left="1701"/>
        <w:rPr>
          <w:rStyle w:val="fontstyle01"/>
          <w:rFonts w:ascii="Times New Roman" w:eastAsia="SimSun" w:hAnsi="Times New Roman" w:hint="default"/>
          <w:color w:val="auto"/>
          <w:sz w:val="20"/>
          <w:szCs w:val="20"/>
        </w:rPr>
      </w:pPr>
      <w:r w:rsidRPr="00965A76">
        <w:t>“</w:t>
      </w:r>
      <w:r w:rsidR="007D78DA" w:rsidRPr="00965A76">
        <w:t>2.0.5.6</w:t>
      </w:r>
      <w:r w:rsidR="00F446BE">
        <w:tab/>
      </w:r>
      <w:r w:rsidR="007D78DA" w:rsidRPr="00965A76">
        <w:rPr>
          <w:rStyle w:val="fontstyle01"/>
          <w:rFonts w:ascii="Times New Roman" w:eastAsia="SimSun" w:hAnsi="Times New Roman" w:hint="default"/>
          <w:color w:val="auto"/>
          <w:sz w:val="20"/>
          <w:szCs w:val="20"/>
        </w:rPr>
        <w:t>Subsidiary hazards shall be representative of the primary hazard posed by the other dangerous</w:t>
      </w:r>
      <w:r w:rsidR="007D78DA" w:rsidRPr="00965A76">
        <w:t xml:space="preserve"> </w:t>
      </w:r>
      <w:r w:rsidR="007D78DA" w:rsidRPr="00965A76">
        <w:rPr>
          <w:rStyle w:val="fontstyle01"/>
          <w:rFonts w:ascii="Times New Roman" w:eastAsia="SimSun" w:hAnsi="Times New Roman" w:hint="default"/>
          <w:color w:val="auto"/>
          <w:sz w:val="20"/>
          <w:szCs w:val="20"/>
        </w:rPr>
        <w:t>goods contained within the article. When only one item of dangerous goods is present in the article, the</w:t>
      </w:r>
      <w:r w:rsidR="007D78DA" w:rsidRPr="00965A76">
        <w:t xml:space="preserve"> </w:t>
      </w:r>
      <w:r w:rsidR="007D78DA" w:rsidRPr="00965A76">
        <w:rPr>
          <w:rStyle w:val="fontstyle01"/>
          <w:rFonts w:ascii="Times New Roman" w:eastAsia="SimSun" w:hAnsi="Times New Roman" w:hint="default"/>
          <w:color w:val="auto"/>
          <w:sz w:val="20"/>
          <w:szCs w:val="20"/>
        </w:rPr>
        <w:t>subsidiary hazard(s), if any, shall be the subsidiary hazard(s) identified in column 4 of the Dangerous Goods</w:t>
      </w:r>
      <w:r w:rsidR="007D78DA" w:rsidRPr="00965A76">
        <w:t xml:space="preserve"> </w:t>
      </w:r>
      <w:r w:rsidR="007D78DA" w:rsidRPr="00965A76">
        <w:rPr>
          <w:rStyle w:val="fontstyle01"/>
          <w:rFonts w:ascii="Times New Roman" w:eastAsia="SimSun" w:hAnsi="Times New Roman" w:hint="default"/>
          <w:color w:val="auto"/>
          <w:sz w:val="20"/>
          <w:szCs w:val="20"/>
        </w:rPr>
        <w:t xml:space="preserve">List. If the article contains more than one item of dangerous goods </w:t>
      </w:r>
      <w:r w:rsidR="007D78DA" w:rsidRPr="00965A76">
        <w:rPr>
          <w:rStyle w:val="fontstyle01"/>
          <w:rFonts w:ascii="Times New Roman" w:eastAsia="SimSun" w:hAnsi="Times New Roman" w:hint="default"/>
          <w:strike/>
          <w:color w:val="auto"/>
          <w:sz w:val="20"/>
          <w:szCs w:val="20"/>
        </w:rPr>
        <w:t>and these could react dangerously with one</w:t>
      </w:r>
      <w:r w:rsidR="007D78DA" w:rsidRPr="00965A76">
        <w:rPr>
          <w:strike/>
        </w:rPr>
        <w:t xml:space="preserve"> </w:t>
      </w:r>
      <w:r w:rsidR="007D78DA" w:rsidRPr="00965A76">
        <w:rPr>
          <w:rStyle w:val="fontstyle01"/>
          <w:rFonts w:ascii="Times New Roman" w:eastAsia="SimSun" w:hAnsi="Times New Roman" w:hint="default"/>
          <w:strike/>
          <w:color w:val="auto"/>
          <w:sz w:val="20"/>
          <w:szCs w:val="20"/>
        </w:rPr>
        <w:t>another during transport, each of</w:t>
      </w:r>
      <w:r w:rsidR="007D78DA" w:rsidRPr="00965A76">
        <w:rPr>
          <w:rStyle w:val="fontstyle01"/>
          <w:rFonts w:ascii="Times New Roman" w:eastAsia="SimSun" w:hAnsi="Times New Roman" w:hint="default"/>
          <w:color w:val="auto"/>
          <w:sz w:val="20"/>
          <w:szCs w:val="20"/>
        </w:rPr>
        <w:t xml:space="preserve"> the </w:t>
      </w:r>
      <w:r w:rsidR="007D78DA" w:rsidRPr="00965A76">
        <w:rPr>
          <w:rStyle w:val="fontstyle01"/>
          <w:rFonts w:ascii="Times New Roman" w:eastAsia="SimSun" w:hAnsi="Times New Roman" w:hint="default"/>
          <w:b/>
          <w:bCs/>
          <w:color w:val="auto"/>
          <w:sz w:val="20"/>
          <w:szCs w:val="20"/>
          <w:u w:val="single"/>
        </w:rPr>
        <w:t>individual</w:t>
      </w:r>
      <w:r w:rsidR="007D78DA" w:rsidRPr="00965A76">
        <w:rPr>
          <w:rStyle w:val="fontstyle01"/>
          <w:rFonts w:ascii="Times New Roman" w:eastAsia="SimSun" w:hAnsi="Times New Roman" w:hint="default"/>
          <w:color w:val="auto"/>
          <w:sz w:val="20"/>
          <w:szCs w:val="20"/>
        </w:rPr>
        <w:t xml:space="preserve"> dangerous goods shall be enclosed separately</w:t>
      </w:r>
      <w:r w:rsidR="007D78DA" w:rsidRPr="00965A76">
        <w:rPr>
          <w:rStyle w:val="fontstyle01"/>
          <w:rFonts w:ascii="Times New Roman" w:eastAsia="SimSun" w:hAnsi="Times New Roman" w:hint="default"/>
          <w:b/>
          <w:bCs/>
          <w:color w:val="auto"/>
          <w:sz w:val="20"/>
          <w:szCs w:val="20"/>
          <w:u w:val="single"/>
        </w:rPr>
        <w:t>, unless it can be demonstrated, by testing, assessment, experience etc., that they will not react dangerously with one another during transport</w:t>
      </w:r>
      <w:r w:rsidR="007D78DA" w:rsidRPr="00965A76">
        <w:rPr>
          <w:rStyle w:val="fontstyle01"/>
          <w:rFonts w:ascii="Times New Roman" w:eastAsia="SimSun" w:hAnsi="Times New Roman" w:hint="default"/>
          <w:color w:val="auto"/>
          <w:sz w:val="20"/>
          <w:szCs w:val="20"/>
        </w:rPr>
        <w:t xml:space="preserve"> (see 4.1.1.6).</w:t>
      </w:r>
      <w:r w:rsidR="00965A76">
        <w:rPr>
          <w:rStyle w:val="fontstyle01"/>
          <w:rFonts w:ascii="Times New Roman" w:eastAsia="SimSun" w:hAnsi="Times New Roman" w:hint="default"/>
          <w:color w:val="auto"/>
          <w:sz w:val="20"/>
          <w:szCs w:val="20"/>
        </w:rPr>
        <w:t>”</w:t>
      </w:r>
      <w:r w:rsidR="00F446BE">
        <w:rPr>
          <w:rStyle w:val="fontstyle01"/>
          <w:rFonts w:ascii="Times New Roman" w:eastAsia="SimSun" w:hAnsi="Times New Roman" w:hint="default"/>
          <w:color w:val="auto"/>
          <w:sz w:val="20"/>
          <w:szCs w:val="20"/>
        </w:rPr>
        <w:t>.</w:t>
      </w:r>
    </w:p>
    <w:p w14:paraId="2DBCC9D6" w14:textId="50715E25" w:rsidR="007D78DA" w:rsidRPr="00F446BE" w:rsidRDefault="00F60B4F" w:rsidP="00676A09">
      <w:pPr>
        <w:pStyle w:val="SingleTxtG"/>
        <w:tabs>
          <w:tab w:val="clear" w:pos="1701"/>
          <w:tab w:val="clear" w:pos="2268"/>
        </w:tabs>
        <w:ind w:left="1701"/>
      </w:pPr>
      <w:r w:rsidRPr="00F446BE">
        <w:rPr>
          <w:rStyle w:val="fontstyle01"/>
          <w:rFonts w:ascii="Times New Roman" w:eastAsia="SimSun" w:hAnsi="Times New Roman" w:hint="default"/>
          <w:color w:val="auto"/>
          <w:sz w:val="20"/>
          <w:szCs w:val="20"/>
        </w:rPr>
        <w:t>“</w:t>
      </w:r>
      <w:r w:rsidR="007D78DA" w:rsidRPr="00F446BE">
        <w:rPr>
          <w:rStyle w:val="fontstyle01"/>
          <w:rFonts w:ascii="Times New Roman" w:eastAsia="SimSun" w:hAnsi="Times New Roman" w:hint="default"/>
          <w:color w:val="auto"/>
          <w:sz w:val="20"/>
          <w:szCs w:val="20"/>
        </w:rPr>
        <w:t>301</w:t>
      </w:r>
      <w:r w:rsidR="00F446BE">
        <w:rPr>
          <w:rStyle w:val="fontstyle01"/>
          <w:rFonts w:ascii="Times New Roman" w:eastAsia="SimSun" w:hAnsi="Times New Roman" w:hint="default"/>
          <w:color w:val="auto"/>
          <w:sz w:val="20"/>
          <w:szCs w:val="20"/>
        </w:rPr>
        <w:tab/>
      </w:r>
      <w:r w:rsidR="007D78DA" w:rsidRPr="00F446BE">
        <w:rPr>
          <w:rStyle w:val="fontstyle01"/>
          <w:rFonts w:ascii="Times New Roman" w:eastAsia="SimSun" w:hAnsi="Times New Roman" w:hint="default"/>
          <w:color w:val="auto"/>
          <w:sz w:val="20"/>
          <w:szCs w:val="20"/>
        </w:rPr>
        <w:t>This entry only applies to articles such as machinery, apparatus or devices containing</w:t>
      </w:r>
      <w:r w:rsidR="007D78DA" w:rsidRPr="00F446BE">
        <w:t xml:space="preserve"> </w:t>
      </w:r>
      <w:r w:rsidR="007D78DA" w:rsidRPr="00F446BE">
        <w:rPr>
          <w:rStyle w:val="fontstyle01"/>
          <w:rFonts w:ascii="Times New Roman" w:eastAsia="SimSun" w:hAnsi="Times New Roman" w:hint="default"/>
          <w:color w:val="auto"/>
          <w:sz w:val="20"/>
          <w:szCs w:val="20"/>
        </w:rPr>
        <w:t>dangerous goods as a residue or an integral element of the articles. It shall not be used</w:t>
      </w:r>
      <w:r w:rsidR="007D78DA" w:rsidRPr="00F446BE">
        <w:t xml:space="preserve"> </w:t>
      </w:r>
      <w:r w:rsidR="007D78DA" w:rsidRPr="00F446BE">
        <w:rPr>
          <w:rStyle w:val="fontstyle01"/>
          <w:rFonts w:ascii="Times New Roman" w:eastAsia="SimSun" w:hAnsi="Times New Roman" w:hint="default"/>
          <w:color w:val="auto"/>
          <w:sz w:val="20"/>
          <w:szCs w:val="20"/>
        </w:rPr>
        <w:t>for articles for which a proper shipping name already exists in the Dangerous Goods</w:t>
      </w:r>
      <w:r w:rsidR="007D78DA" w:rsidRPr="00F446BE">
        <w:t xml:space="preserve"> </w:t>
      </w:r>
      <w:r w:rsidR="007D78DA" w:rsidRPr="00F446BE">
        <w:rPr>
          <w:rStyle w:val="fontstyle01"/>
          <w:rFonts w:ascii="Times New Roman" w:eastAsia="SimSun" w:hAnsi="Times New Roman" w:hint="default"/>
          <w:color w:val="auto"/>
          <w:sz w:val="20"/>
          <w:szCs w:val="20"/>
        </w:rPr>
        <w:t xml:space="preserve">List of </w:t>
      </w:r>
      <w:proofErr w:type="gramStart"/>
      <w:r w:rsidR="007D78DA" w:rsidRPr="00F446BE">
        <w:rPr>
          <w:rStyle w:val="fontstyle01"/>
          <w:rFonts w:ascii="Times New Roman" w:eastAsia="SimSun" w:hAnsi="Times New Roman" w:hint="default"/>
          <w:color w:val="auto"/>
          <w:sz w:val="20"/>
          <w:szCs w:val="20"/>
        </w:rPr>
        <w:t>chapter</w:t>
      </w:r>
      <w:proofErr w:type="gramEnd"/>
      <w:r w:rsidR="007D78DA" w:rsidRPr="00F446BE">
        <w:rPr>
          <w:rStyle w:val="fontstyle01"/>
          <w:rFonts w:ascii="Times New Roman" w:eastAsia="SimSun" w:hAnsi="Times New Roman" w:hint="default"/>
          <w:color w:val="auto"/>
          <w:sz w:val="20"/>
          <w:szCs w:val="20"/>
        </w:rPr>
        <w:t xml:space="preserve"> 3.2. Articles transported under this entry shall only contain dangerous</w:t>
      </w:r>
      <w:r w:rsidR="007D78DA" w:rsidRPr="00F446BE">
        <w:t xml:space="preserve"> </w:t>
      </w:r>
      <w:r w:rsidR="007D78DA" w:rsidRPr="00F446BE">
        <w:rPr>
          <w:rStyle w:val="fontstyle01"/>
          <w:rFonts w:ascii="Times New Roman" w:eastAsia="SimSun" w:hAnsi="Times New Roman" w:hint="default"/>
          <w:color w:val="auto"/>
          <w:sz w:val="20"/>
          <w:szCs w:val="20"/>
        </w:rPr>
        <w:t>goods which are authorized to be transported in accordance with the provisions of</w:t>
      </w:r>
      <w:r w:rsidR="007D78DA" w:rsidRPr="00F446BE">
        <w:t xml:space="preserve"> </w:t>
      </w:r>
      <w:r w:rsidR="007D78DA" w:rsidRPr="00F446BE">
        <w:rPr>
          <w:rStyle w:val="fontstyle01"/>
          <w:rFonts w:ascii="Times New Roman" w:eastAsia="SimSun" w:hAnsi="Times New Roman" w:hint="default"/>
          <w:color w:val="auto"/>
          <w:sz w:val="20"/>
          <w:szCs w:val="20"/>
        </w:rPr>
        <w:t>chapter 3.4 (Limited quantities). The quantity of dangerous goods in articles shall not</w:t>
      </w:r>
      <w:r w:rsidR="007D78DA" w:rsidRPr="00F446BE">
        <w:t xml:space="preserve"> </w:t>
      </w:r>
      <w:r w:rsidR="007D78DA" w:rsidRPr="00F446BE">
        <w:rPr>
          <w:rStyle w:val="fontstyle01"/>
          <w:rFonts w:ascii="Times New Roman" w:eastAsia="SimSun" w:hAnsi="Times New Roman" w:hint="default"/>
          <w:color w:val="auto"/>
          <w:sz w:val="20"/>
          <w:szCs w:val="20"/>
        </w:rPr>
        <w:t xml:space="preserve">exceed the quantity specified in Column 7a of the Dangerous Goods List of </w:t>
      </w:r>
      <w:proofErr w:type="gramStart"/>
      <w:r w:rsidR="007D78DA" w:rsidRPr="00F446BE">
        <w:rPr>
          <w:rStyle w:val="fontstyle01"/>
          <w:rFonts w:ascii="Times New Roman" w:eastAsia="SimSun" w:hAnsi="Times New Roman" w:hint="default"/>
          <w:color w:val="auto"/>
          <w:sz w:val="20"/>
          <w:szCs w:val="20"/>
        </w:rPr>
        <w:t>chapter</w:t>
      </w:r>
      <w:proofErr w:type="gramEnd"/>
      <w:r w:rsidR="007D78DA" w:rsidRPr="00F446BE">
        <w:rPr>
          <w:rStyle w:val="fontstyle01"/>
          <w:rFonts w:ascii="Times New Roman" w:eastAsia="SimSun" w:hAnsi="Times New Roman" w:hint="default"/>
          <w:color w:val="auto"/>
          <w:sz w:val="20"/>
          <w:szCs w:val="20"/>
        </w:rPr>
        <w:t xml:space="preserve"> 3.2</w:t>
      </w:r>
      <w:r w:rsidR="007D78DA" w:rsidRPr="00F446BE">
        <w:t xml:space="preserve"> </w:t>
      </w:r>
      <w:r w:rsidR="007D78DA" w:rsidRPr="00F446BE">
        <w:rPr>
          <w:rStyle w:val="fontstyle01"/>
          <w:rFonts w:ascii="Times New Roman" w:eastAsia="SimSun" w:hAnsi="Times New Roman" w:hint="default"/>
          <w:color w:val="auto"/>
          <w:sz w:val="20"/>
          <w:szCs w:val="20"/>
        </w:rPr>
        <w:t>for each item of dangerous goods contained. If the articles contain more than one item</w:t>
      </w:r>
      <w:r w:rsidR="007D78DA" w:rsidRPr="00F446BE">
        <w:t xml:space="preserve"> </w:t>
      </w:r>
      <w:r w:rsidR="007D78DA" w:rsidRPr="00F446BE">
        <w:rPr>
          <w:rStyle w:val="fontstyle01"/>
          <w:rFonts w:ascii="Times New Roman" w:eastAsia="SimSun" w:hAnsi="Times New Roman" w:hint="default"/>
          <w:color w:val="auto"/>
          <w:sz w:val="20"/>
          <w:szCs w:val="20"/>
        </w:rPr>
        <w:t xml:space="preserve">of dangerous goods, the individual dangerous goods shall be </w:t>
      </w:r>
      <w:r w:rsidR="007D78DA" w:rsidRPr="008671CA">
        <w:rPr>
          <w:rStyle w:val="fontstyle01"/>
          <w:rFonts w:ascii="Times New Roman" w:eastAsia="SimSun" w:hAnsi="Times New Roman" w:hint="default"/>
          <w:b/>
          <w:bCs/>
          <w:color w:val="auto"/>
          <w:sz w:val="20"/>
          <w:szCs w:val="20"/>
          <w:u w:val="single"/>
        </w:rPr>
        <w:t>enclosed separately, unless it can be demonstrated, by testing, assessment, experience etc., that they will not react</w:t>
      </w:r>
      <w:r w:rsidR="007D78DA" w:rsidRPr="00F446BE">
        <w:rPr>
          <w:rStyle w:val="fontstyle01"/>
          <w:rFonts w:ascii="Times New Roman" w:eastAsia="SimSun" w:hAnsi="Times New Roman" w:hint="default"/>
          <w:color w:val="auto"/>
          <w:sz w:val="20"/>
          <w:szCs w:val="20"/>
        </w:rPr>
        <w:t xml:space="preserve"> </w:t>
      </w:r>
      <w:r w:rsidR="007D78DA" w:rsidRPr="008671CA">
        <w:rPr>
          <w:rStyle w:val="fontstyle01"/>
          <w:rFonts w:ascii="Times New Roman" w:eastAsia="SimSun" w:hAnsi="Times New Roman" w:hint="default"/>
          <w:strike/>
          <w:color w:val="auto"/>
          <w:sz w:val="20"/>
          <w:szCs w:val="20"/>
        </w:rPr>
        <w:t>to prevent them</w:t>
      </w:r>
      <w:r w:rsidR="007D78DA" w:rsidRPr="008671CA">
        <w:rPr>
          <w:strike/>
        </w:rPr>
        <w:t xml:space="preserve"> </w:t>
      </w:r>
      <w:r w:rsidR="007D78DA" w:rsidRPr="008671CA">
        <w:rPr>
          <w:rStyle w:val="fontstyle01"/>
          <w:rFonts w:ascii="Times New Roman" w:eastAsia="SimSun" w:hAnsi="Times New Roman" w:hint="default"/>
          <w:strike/>
          <w:color w:val="auto"/>
          <w:sz w:val="20"/>
          <w:szCs w:val="20"/>
        </w:rPr>
        <w:t>reacting</w:t>
      </w:r>
      <w:r w:rsidR="007D78DA" w:rsidRPr="00F446BE">
        <w:rPr>
          <w:rStyle w:val="fontstyle01"/>
          <w:rFonts w:ascii="Times New Roman" w:eastAsia="SimSun" w:hAnsi="Times New Roman" w:hint="default"/>
          <w:color w:val="auto"/>
          <w:sz w:val="20"/>
          <w:szCs w:val="20"/>
        </w:rPr>
        <w:t xml:space="preserve"> dangerously with one another during transport (see 4.1.1.6). When it is required</w:t>
      </w:r>
      <w:r w:rsidR="007D78DA" w:rsidRPr="00F446BE">
        <w:t xml:space="preserve"> </w:t>
      </w:r>
      <w:r w:rsidR="007D78DA" w:rsidRPr="00F446BE">
        <w:rPr>
          <w:rStyle w:val="fontstyle01"/>
          <w:rFonts w:ascii="Times New Roman" w:eastAsia="SimSun" w:hAnsi="Times New Roman" w:hint="default"/>
          <w:color w:val="auto"/>
          <w:sz w:val="20"/>
          <w:szCs w:val="20"/>
        </w:rPr>
        <w:t>to ensure liquid dangerous goods remain in their intended orientation, orientation</w:t>
      </w:r>
      <w:r w:rsidR="007D78DA" w:rsidRPr="00F446BE">
        <w:t xml:space="preserve"> </w:t>
      </w:r>
      <w:r w:rsidR="007D78DA" w:rsidRPr="00F446BE">
        <w:rPr>
          <w:rStyle w:val="fontstyle01"/>
          <w:rFonts w:ascii="Times New Roman" w:eastAsia="SimSun" w:hAnsi="Times New Roman" w:hint="default"/>
          <w:color w:val="auto"/>
          <w:sz w:val="20"/>
          <w:szCs w:val="20"/>
        </w:rPr>
        <w:t>arrows shall be displayed on at least two opposite vertical sides with the arrows pointing</w:t>
      </w:r>
      <w:r w:rsidR="007D78DA" w:rsidRPr="00F446BE">
        <w:t xml:space="preserve"> </w:t>
      </w:r>
      <w:r w:rsidR="007D78DA" w:rsidRPr="00F446BE">
        <w:rPr>
          <w:rStyle w:val="fontstyle01"/>
          <w:rFonts w:ascii="Times New Roman" w:eastAsia="SimSun" w:hAnsi="Times New Roman" w:hint="default"/>
          <w:color w:val="auto"/>
          <w:sz w:val="20"/>
          <w:szCs w:val="20"/>
        </w:rPr>
        <w:t>in the correct direction in accordance with 5.2.1.7.1.</w:t>
      </w:r>
      <w:r w:rsidR="001A5120" w:rsidRPr="00F446BE">
        <w:rPr>
          <w:rStyle w:val="fontstyle01"/>
          <w:rFonts w:ascii="Times New Roman" w:eastAsia="SimSun" w:hAnsi="Times New Roman" w:hint="default"/>
          <w:color w:val="auto"/>
          <w:sz w:val="20"/>
          <w:szCs w:val="20"/>
        </w:rPr>
        <w:t xml:space="preserve"> </w:t>
      </w:r>
      <w:r w:rsidR="007D78DA" w:rsidRPr="00F446BE">
        <w:rPr>
          <w:rStyle w:val="fontstyle01"/>
          <w:rFonts w:ascii="Times New Roman" w:eastAsia="SimSun" w:hAnsi="Times New Roman" w:hint="default"/>
          <w:color w:val="auto"/>
          <w:sz w:val="20"/>
          <w:szCs w:val="20"/>
        </w:rPr>
        <w:t>The competent authority may exempt from regulation articles which would otherwise</w:t>
      </w:r>
      <w:r w:rsidR="007D78DA" w:rsidRPr="00F446BE">
        <w:t xml:space="preserve"> </w:t>
      </w:r>
      <w:r w:rsidR="007D78DA" w:rsidRPr="00F446BE">
        <w:rPr>
          <w:rStyle w:val="fontstyle01"/>
          <w:rFonts w:ascii="Times New Roman" w:eastAsia="SimSun" w:hAnsi="Times New Roman" w:hint="default"/>
          <w:color w:val="auto"/>
          <w:sz w:val="20"/>
          <w:szCs w:val="20"/>
        </w:rPr>
        <w:t>be transported under this entry</w:t>
      </w:r>
      <w:r w:rsidR="001A5120" w:rsidRPr="00F446BE">
        <w:rPr>
          <w:rStyle w:val="fontstyle01"/>
          <w:rFonts w:ascii="Times New Roman" w:eastAsia="SimSun" w:hAnsi="Times New Roman" w:hint="default"/>
          <w:color w:val="auto"/>
          <w:sz w:val="20"/>
          <w:szCs w:val="20"/>
        </w:rPr>
        <w:t>.”</w:t>
      </w:r>
      <w:r w:rsidR="008671CA">
        <w:rPr>
          <w:rStyle w:val="fontstyle01"/>
          <w:rFonts w:ascii="Times New Roman" w:eastAsia="SimSun" w:hAnsi="Times New Roman" w:hint="default"/>
          <w:color w:val="auto"/>
          <w:sz w:val="20"/>
          <w:szCs w:val="20"/>
        </w:rPr>
        <w:t>.</w:t>
      </w:r>
    </w:p>
    <w:p w14:paraId="3E97F3F4" w14:textId="6477C8C1" w:rsidR="007D78DA" w:rsidRDefault="001A5120" w:rsidP="007160BC">
      <w:pPr>
        <w:pStyle w:val="HChG"/>
      </w:pPr>
      <w:r w:rsidRPr="007160BC">
        <w:tab/>
      </w:r>
      <w:r w:rsidR="007160BC" w:rsidRPr="007160BC">
        <w:t>III.</w:t>
      </w:r>
      <w:r w:rsidR="007160BC" w:rsidRPr="007160BC">
        <w:tab/>
      </w:r>
      <w:r w:rsidR="007D78DA">
        <w:t xml:space="preserve">Sustainable </w:t>
      </w:r>
      <w:r w:rsidR="00CB4BF7">
        <w:t>d</w:t>
      </w:r>
      <w:r w:rsidR="007D78DA">
        <w:t xml:space="preserve">evelopment </w:t>
      </w:r>
      <w:r w:rsidR="00CB4BF7">
        <w:t>g</w:t>
      </w:r>
      <w:r w:rsidR="007D78DA">
        <w:t>oals</w:t>
      </w:r>
    </w:p>
    <w:p w14:paraId="6676AFFB" w14:textId="6220746D" w:rsidR="007D78DA" w:rsidRDefault="00734CAC" w:rsidP="00CB4BF7">
      <w:pPr>
        <w:pStyle w:val="SingleTxtG"/>
      </w:pPr>
      <w:r w:rsidRPr="00574379">
        <w:t>6.</w:t>
      </w:r>
      <w:r w:rsidRPr="00574379">
        <w:tab/>
      </w:r>
      <w:r w:rsidR="007D78DA">
        <w:t xml:space="preserve">These proposed amendments can help enhance the conformity among provisions in the </w:t>
      </w:r>
      <w:r w:rsidR="007D78DA" w:rsidRPr="0003415A">
        <w:rPr>
          <w:i/>
        </w:rPr>
        <w:t>Model Regulations</w:t>
      </w:r>
      <w:r w:rsidR="007D78DA">
        <w:t xml:space="preserve"> and raise the awareness to ensure safe transport</w:t>
      </w:r>
      <w:r w:rsidR="007D78DA" w:rsidRPr="00574379">
        <w:t xml:space="preserve">. This could facilitate the achievement of </w:t>
      </w:r>
      <w:r w:rsidR="003D0E6E">
        <w:t>t</w:t>
      </w:r>
      <w:r w:rsidR="007D78DA" w:rsidRPr="00574379">
        <w:t>arget</w:t>
      </w:r>
      <w:r w:rsidR="007D78DA">
        <w:t>s</w:t>
      </w:r>
      <w:r w:rsidR="007D78DA" w:rsidRPr="00574379">
        <w:t xml:space="preserve"> 16.6 “develop effective, accountable and transparent institutions at all levels”</w:t>
      </w:r>
      <w:r w:rsidR="007D78DA">
        <w:t xml:space="preserve"> and 12.4 “</w:t>
      </w:r>
      <w:r w:rsidR="007D78DA" w:rsidRPr="009D644A">
        <w:rPr>
          <w:szCs w:val="21"/>
          <w:shd w:val="clear" w:color="auto" w:fill="FFFFFF"/>
        </w:rPr>
        <w:t>achieve the environmentally sound management of chemicals and all wastes throughout their life cycle</w:t>
      </w:r>
      <w:r w:rsidR="007D78DA">
        <w:t xml:space="preserve">” of </w:t>
      </w:r>
      <w:r w:rsidR="003C4578">
        <w:t xml:space="preserve">the </w:t>
      </w:r>
      <w:r w:rsidR="007D78DA">
        <w:t>Sustainable Development</w:t>
      </w:r>
      <w:r w:rsidR="00295E20">
        <w:t xml:space="preserve"> Goals</w:t>
      </w:r>
      <w:r w:rsidR="007D78DA" w:rsidRPr="00574379">
        <w:t>.</w:t>
      </w:r>
    </w:p>
    <w:p w14:paraId="04CA1E97" w14:textId="6B19424C" w:rsidR="00CB4BF7" w:rsidRPr="00CB4BF7" w:rsidRDefault="00CB4BF7" w:rsidP="00CB4BF7">
      <w:pPr>
        <w:spacing w:before="240"/>
        <w:jc w:val="center"/>
        <w:rPr>
          <w:u w:val="single"/>
        </w:rPr>
      </w:pPr>
      <w:r>
        <w:rPr>
          <w:u w:val="single"/>
        </w:rPr>
        <w:tab/>
      </w:r>
      <w:r>
        <w:rPr>
          <w:u w:val="single"/>
        </w:rPr>
        <w:tab/>
      </w:r>
      <w:r>
        <w:rPr>
          <w:u w:val="single"/>
        </w:rPr>
        <w:tab/>
      </w:r>
    </w:p>
    <w:sectPr w:rsidR="00CB4BF7" w:rsidRPr="00CB4BF7" w:rsidSect="007D78DA">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0DA3" w14:textId="77777777" w:rsidR="00DA7960" w:rsidRPr="00C47B2E" w:rsidRDefault="00DA7960" w:rsidP="00C47B2E">
      <w:pPr>
        <w:pStyle w:val="Footer"/>
      </w:pPr>
    </w:p>
  </w:endnote>
  <w:endnote w:type="continuationSeparator" w:id="0">
    <w:p w14:paraId="5FADA773" w14:textId="77777777" w:rsidR="00DA7960" w:rsidRPr="00C47B2E" w:rsidRDefault="00DA7960" w:rsidP="00C47B2E">
      <w:pPr>
        <w:pStyle w:val="Footer"/>
      </w:pPr>
    </w:p>
  </w:endnote>
  <w:endnote w:type="continuationNotice" w:id="1">
    <w:p w14:paraId="5CA1B33A" w14:textId="77777777" w:rsidR="00DA7960" w:rsidRPr="00C47B2E" w:rsidRDefault="00DA796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DC7E" w14:textId="4070C09C" w:rsidR="00D94B05" w:rsidRPr="007D78DA" w:rsidRDefault="007D78DA" w:rsidP="007D78DA">
    <w:pPr>
      <w:pStyle w:val="Footer"/>
      <w:tabs>
        <w:tab w:val="right" w:pos="9598"/>
        <w:tab w:val="right" w:pos="9638"/>
      </w:tabs>
      <w:rPr>
        <w:sz w:val="18"/>
      </w:rPr>
    </w:pPr>
    <w:r w:rsidRPr="007D78DA">
      <w:rPr>
        <w:b/>
        <w:sz w:val="18"/>
      </w:rPr>
      <w:fldChar w:fldCharType="begin"/>
    </w:r>
    <w:r w:rsidRPr="007D78DA">
      <w:rPr>
        <w:b/>
        <w:sz w:val="18"/>
      </w:rPr>
      <w:instrText xml:space="preserve"> PAGE  \* MERGEFORMAT </w:instrText>
    </w:r>
    <w:r w:rsidRPr="007D78DA">
      <w:rPr>
        <w:b/>
        <w:sz w:val="18"/>
      </w:rPr>
      <w:fldChar w:fldCharType="separate"/>
    </w:r>
    <w:r w:rsidRPr="007D78DA">
      <w:rPr>
        <w:b/>
        <w:noProof/>
        <w:sz w:val="18"/>
      </w:rPr>
      <w:t>2</w:t>
    </w:r>
    <w:r w:rsidRPr="007D78D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884F" w14:textId="1572A7A3" w:rsidR="00D94B05" w:rsidRPr="007D78DA" w:rsidRDefault="007D78DA" w:rsidP="007D78DA">
    <w:pPr>
      <w:pStyle w:val="Footer"/>
      <w:tabs>
        <w:tab w:val="left" w:pos="5775"/>
        <w:tab w:val="right" w:pos="9598"/>
        <w:tab w:val="right" w:pos="9638"/>
      </w:tabs>
      <w:rPr>
        <w:sz w:val="18"/>
      </w:rPr>
    </w:pPr>
    <w:r>
      <w:rPr>
        <w:b/>
        <w:sz w:val="18"/>
      </w:rPr>
      <w:tab/>
    </w:r>
    <w:r w:rsidRPr="007D78DA">
      <w:rPr>
        <w:sz w:val="18"/>
      </w:rPr>
      <w:fldChar w:fldCharType="begin"/>
    </w:r>
    <w:r w:rsidRPr="007D78DA">
      <w:rPr>
        <w:sz w:val="18"/>
      </w:rPr>
      <w:instrText xml:space="preserve"> PAGE  \* MERGEFORMAT </w:instrText>
    </w:r>
    <w:r w:rsidRPr="007D78DA">
      <w:rPr>
        <w:sz w:val="18"/>
      </w:rPr>
      <w:fldChar w:fldCharType="separate"/>
    </w:r>
    <w:r w:rsidRPr="007D78DA">
      <w:rPr>
        <w:noProof/>
        <w:sz w:val="18"/>
      </w:rPr>
      <w:t>3</w:t>
    </w:r>
    <w:r w:rsidRPr="007D78D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45D9" w14:textId="242DE093" w:rsidR="00A34BEB" w:rsidRDefault="00A34BEB" w:rsidP="00A34BEB">
    <w:pPr>
      <w:pStyle w:val="Footer"/>
    </w:pPr>
    <w:r w:rsidRPr="0027112F">
      <w:rPr>
        <w:noProof/>
        <w:lang w:val="en-US"/>
      </w:rPr>
      <w:drawing>
        <wp:anchor distT="0" distB="0" distL="114300" distR="114300" simplePos="0" relativeHeight="251659264" behindDoc="0" locked="1" layoutInCell="1" allowOverlap="1" wp14:anchorId="0F0D30E9" wp14:editId="081A15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85A59B" w14:textId="05069463" w:rsidR="00A34BEB" w:rsidRPr="00A34BEB" w:rsidRDefault="00A34BEB" w:rsidP="00A34BEB">
    <w:pPr>
      <w:pStyle w:val="Footer"/>
      <w:ind w:right="1134"/>
      <w:rPr>
        <w:sz w:val="20"/>
      </w:rPr>
    </w:pPr>
    <w:r>
      <w:rPr>
        <w:sz w:val="20"/>
      </w:rPr>
      <w:t>GE.24-</w:t>
    </w:r>
    <w:proofErr w:type="gramStart"/>
    <w:r>
      <w:rPr>
        <w:sz w:val="20"/>
      </w:rPr>
      <w:t>06672  (</w:t>
    </w:r>
    <w:proofErr w:type="gramEnd"/>
    <w:r>
      <w:rPr>
        <w:sz w:val="20"/>
      </w:rPr>
      <w:t>E)</w:t>
    </w:r>
    <w:r>
      <w:rPr>
        <w:noProof/>
        <w:sz w:val="20"/>
      </w:rPr>
      <w:drawing>
        <wp:anchor distT="0" distB="0" distL="114300" distR="114300" simplePos="0" relativeHeight="251660288" behindDoc="0" locked="0" layoutInCell="1" allowOverlap="1" wp14:anchorId="6664D003" wp14:editId="38E65641">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FA4D" w14:textId="77777777" w:rsidR="00DA7960" w:rsidRPr="00C47B2E" w:rsidRDefault="00DA7960" w:rsidP="00C47B2E">
      <w:pPr>
        <w:tabs>
          <w:tab w:val="right" w:pos="2155"/>
        </w:tabs>
        <w:spacing w:after="80" w:line="240" w:lineRule="auto"/>
        <w:ind w:left="680"/>
      </w:pPr>
      <w:r>
        <w:rPr>
          <w:u w:val="single"/>
        </w:rPr>
        <w:tab/>
      </w:r>
    </w:p>
  </w:footnote>
  <w:footnote w:type="continuationSeparator" w:id="0">
    <w:p w14:paraId="701D82A1" w14:textId="77777777" w:rsidR="00DA7960" w:rsidRPr="00C47B2E" w:rsidRDefault="00DA7960" w:rsidP="005E716E">
      <w:pPr>
        <w:tabs>
          <w:tab w:val="right" w:pos="2155"/>
        </w:tabs>
        <w:spacing w:after="80" w:line="240" w:lineRule="auto"/>
        <w:ind w:left="680"/>
      </w:pPr>
      <w:r>
        <w:rPr>
          <w:u w:val="single"/>
        </w:rPr>
        <w:tab/>
      </w:r>
    </w:p>
  </w:footnote>
  <w:footnote w:type="continuationNotice" w:id="1">
    <w:p w14:paraId="467821D8" w14:textId="77777777" w:rsidR="00DA7960" w:rsidRPr="00C47B2E" w:rsidRDefault="00DA7960" w:rsidP="00C47B2E">
      <w:pPr>
        <w:pStyle w:val="Footer"/>
      </w:pPr>
    </w:p>
  </w:footnote>
  <w:footnote w:id="2">
    <w:p w14:paraId="3853BE93" w14:textId="108420C7" w:rsidR="007160BC" w:rsidRPr="007160BC" w:rsidRDefault="007160BC">
      <w:pPr>
        <w:pStyle w:val="FootnoteText"/>
        <w:rPr>
          <w:lang w:val="fr-CH"/>
        </w:rPr>
      </w:pPr>
      <w:r>
        <w:rPr>
          <w:rStyle w:val="FootnoteReference"/>
        </w:rPr>
        <w:tab/>
      </w:r>
      <w:r w:rsidRPr="007160BC">
        <w:rPr>
          <w:rStyle w:val="FootnoteReference"/>
          <w:sz w:val="20"/>
          <w:vertAlign w:val="baseline"/>
        </w:rPr>
        <w:t>*</w:t>
      </w:r>
      <w:r>
        <w:rPr>
          <w:rStyle w:val="FootnoteReference"/>
          <w:sz w:val="20"/>
          <w:vertAlign w:val="baseline"/>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4210" w14:textId="0A151CEC" w:rsidR="007D78DA" w:rsidRPr="007D78DA" w:rsidRDefault="00A34BEB">
    <w:pPr>
      <w:pStyle w:val="Header"/>
    </w:pPr>
    <w:r>
      <w:fldChar w:fldCharType="begin"/>
    </w:r>
    <w:r>
      <w:instrText xml:space="preserve"> TITLE  \* MERGEFORMAT </w:instrText>
    </w:r>
    <w:r>
      <w:fldChar w:fldCharType="separate"/>
    </w:r>
    <w:r w:rsidR="007D78DA">
      <w:t>ST/SG/AC.10/C.3/2024/35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9DA0" w14:textId="75A2E72D" w:rsidR="00D94B05" w:rsidRPr="007D78DA" w:rsidRDefault="00A34BEB" w:rsidP="007D78DA">
    <w:pPr>
      <w:pStyle w:val="Header"/>
      <w:jc w:val="right"/>
    </w:pPr>
    <w:r>
      <w:fldChar w:fldCharType="begin"/>
    </w:r>
    <w:r>
      <w:instrText xml:space="preserve"> TITLE  \* MERGEFORMAT </w:instrText>
    </w:r>
    <w:r>
      <w:fldChar w:fldCharType="separate"/>
    </w:r>
    <w:r w:rsidR="007D78DA">
      <w:t>ST/SG/AC.10/C.3/2024/35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24815"/>
    <w:multiLevelType w:val="multilevel"/>
    <w:tmpl w:val="24824815"/>
    <w:lvl w:ilvl="0">
      <w:start w:val="1"/>
      <w:numFmt w:val="decimal"/>
      <w:lvlText w:val="%1."/>
      <w:lvlJc w:val="left"/>
      <w:pPr>
        <w:ind w:left="3053"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3307905">
    <w:abstractNumId w:val="6"/>
  </w:num>
  <w:num w:numId="2" w16cid:durableId="536747016">
    <w:abstractNumId w:val="4"/>
  </w:num>
  <w:num w:numId="3" w16cid:durableId="1084913300">
    <w:abstractNumId w:val="0"/>
  </w:num>
  <w:num w:numId="4" w16cid:durableId="1096363063">
    <w:abstractNumId w:val="7"/>
  </w:num>
  <w:num w:numId="5" w16cid:durableId="1508130709">
    <w:abstractNumId w:val="8"/>
  </w:num>
  <w:num w:numId="6" w16cid:durableId="1453210986">
    <w:abstractNumId w:val="10"/>
  </w:num>
  <w:num w:numId="7" w16cid:durableId="219172608">
    <w:abstractNumId w:val="3"/>
  </w:num>
  <w:num w:numId="8" w16cid:durableId="742872575">
    <w:abstractNumId w:val="1"/>
  </w:num>
  <w:num w:numId="9" w16cid:durableId="1276792600">
    <w:abstractNumId w:val="9"/>
  </w:num>
  <w:num w:numId="10" w16cid:durableId="430473213">
    <w:abstractNumId w:val="1"/>
  </w:num>
  <w:num w:numId="11" w16cid:durableId="1366246884">
    <w:abstractNumId w:val="9"/>
  </w:num>
  <w:num w:numId="12" w16cid:durableId="14502347">
    <w:abstractNumId w:val="2"/>
  </w:num>
  <w:num w:numId="13" w16cid:durableId="1137145882">
    <w:abstractNumId w:val="2"/>
  </w:num>
  <w:num w:numId="14" w16cid:durableId="1298611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DA"/>
    <w:rsid w:val="0004153D"/>
    <w:rsid w:val="00046E92"/>
    <w:rsid w:val="00063C90"/>
    <w:rsid w:val="00070000"/>
    <w:rsid w:val="000701AA"/>
    <w:rsid w:val="000A620D"/>
    <w:rsid w:val="00101B98"/>
    <w:rsid w:val="001514D1"/>
    <w:rsid w:val="001A5120"/>
    <w:rsid w:val="001A7B69"/>
    <w:rsid w:val="00230846"/>
    <w:rsid w:val="00247E2C"/>
    <w:rsid w:val="002745C2"/>
    <w:rsid w:val="00295E20"/>
    <w:rsid w:val="002A03A0"/>
    <w:rsid w:val="002A32CB"/>
    <w:rsid w:val="002D5B2C"/>
    <w:rsid w:val="002D6C53"/>
    <w:rsid w:val="002E2C1E"/>
    <w:rsid w:val="002F5595"/>
    <w:rsid w:val="00334F6A"/>
    <w:rsid w:val="00342AC8"/>
    <w:rsid w:val="00343302"/>
    <w:rsid w:val="003617FB"/>
    <w:rsid w:val="0037313A"/>
    <w:rsid w:val="003979DE"/>
    <w:rsid w:val="003A3F11"/>
    <w:rsid w:val="003B4281"/>
    <w:rsid w:val="003B4550"/>
    <w:rsid w:val="003C4578"/>
    <w:rsid w:val="003D0E6E"/>
    <w:rsid w:val="003D2A18"/>
    <w:rsid w:val="00413386"/>
    <w:rsid w:val="00456C6F"/>
    <w:rsid w:val="00461253"/>
    <w:rsid w:val="004858F5"/>
    <w:rsid w:val="004A2814"/>
    <w:rsid w:val="004C0622"/>
    <w:rsid w:val="004C3945"/>
    <w:rsid w:val="004F73D0"/>
    <w:rsid w:val="005042C2"/>
    <w:rsid w:val="005A06DD"/>
    <w:rsid w:val="005E716E"/>
    <w:rsid w:val="006476E1"/>
    <w:rsid w:val="006604DF"/>
    <w:rsid w:val="00671529"/>
    <w:rsid w:val="00676A09"/>
    <w:rsid w:val="006D0CEB"/>
    <w:rsid w:val="006F1EF5"/>
    <w:rsid w:val="0070489D"/>
    <w:rsid w:val="00711734"/>
    <w:rsid w:val="007160BC"/>
    <w:rsid w:val="007200A1"/>
    <w:rsid w:val="007268F9"/>
    <w:rsid w:val="00734CAC"/>
    <w:rsid w:val="00750282"/>
    <w:rsid w:val="00764440"/>
    <w:rsid w:val="0077101B"/>
    <w:rsid w:val="007C52B0"/>
    <w:rsid w:val="007C6033"/>
    <w:rsid w:val="007D78DA"/>
    <w:rsid w:val="008147C8"/>
    <w:rsid w:val="0081753A"/>
    <w:rsid w:val="00857D23"/>
    <w:rsid w:val="008671CA"/>
    <w:rsid w:val="008774DF"/>
    <w:rsid w:val="009411B4"/>
    <w:rsid w:val="00946F1D"/>
    <w:rsid w:val="0095230C"/>
    <w:rsid w:val="00965A76"/>
    <w:rsid w:val="009D0139"/>
    <w:rsid w:val="009D717D"/>
    <w:rsid w:val="009E6E54"/>
    <w:rsid w:val="009F5CDC"/>
    <w:rsid w:val="00A072D7"/>
    <w:rsid w:val="00A34BEB"/>
    <w:rsid w:val="00A62106"/>
    <w:rsid w:val="00A775CF"/>
    <w:rsid w:val="00AB0966"/>
    <w:rsid w:val="00AD1A9C"/>
    <w:rsid w:val="00AD1F07"/>
    <w:rsid w:val="00AF5DE1"/>
    <w:rsid w:val="00B06045"/>
    <w:rsid w:val="00B206DD"/>
    <w:rsid w:val="00B52EF4"/>
    <w:rsid w:val="00B777AD"/>
    <w:rsid w:val="00BD3CAA"/>
    <w:rsid w:val="00C03015"/>
    <w:rsid w:val="00C0358D"/>
    <w:rsid w:val="00C35A27"/>
    <w:rsid w:val="00C47B2E"/>
    <w:rsid w:val="00CB4BF7"/>
    <w:rsid w:val="00CC1FF0"/>
    <w:rsid w:val="00D10C2D"/>
    <w:rsid w:val="00D14E7D"/>
    <w:rsid w:val="00D63CD2"/>
    <w:rsid w:val="00D87DC2"/>
    <w:rsid w:val="00D93887"/>
    <w:rsid w:val="00D94B05"/>
    <w:rsid w:val="00DA7960"/>
    <w:rsid w:val="00DC7379"/>
    <w:rsid w:val="00E02C2B"/>
    <w:rsid w:val="00E21C27"/>
    <w:rsid w:val="00E26BCF"/>
    <w:rsid w:val="00E52109"/>
    <w:rsid w:val="00E75317"/>
    <w:rsid w:val="00E821E6"/>
    <w:rsid w:val="00E92690"/>
    <w:rsid w:val="00EC0CE6"/>
    <w:rsid w:val="00EC7C1D"/>
    <w:rsid w:val="00ED6C48"/>
    <w:rsid w:val="00EE0077"/>
    <w:rsid w:val="00EE3045"/>
    <w:rsid w:val="00F446BE"/>
    <w:rsid w:val="00F60B4F"/>
    <w:rsid w:val="00F62D79"/>
    <w:rsid w:val="00F65F5D"/>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07412"/>
  <w15:docId w15:val="{1749C554-B205-48EC-ABC7-30285C45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qForma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D78DA"/>
    <w:rPr>
      <w:b/>
      <w:sz w:val="28"/>
    </w:rPr>
  </w:style>
  <w:style w:type="character" w:customStyle="1" w:styleId="SingleTxtGChar">
    <w:name w:val="_ Single Txt_G Char"/>
    <w:link w:val="SingleTxtG"/>
    <w:locked/>
    <w:rsid w:val="007D78DA"/>
  </w:style>
  <w:style w:type="character" w:customStyle="1" w:styleId="H1GChar">
    <w:name w:val="_ H_1_G Char"/>
    <w:link w:val="H1G"/>
    <w:locked/>
    <w:rsid w:val="007D78DA"/>
    <w:rPr>
      <w:b/>
      <w:sz w:val="24"/>
    </w:rPr>
  </w:style>
  <w:style w:type="paragraph" w:styleId="ListParagraph">
    <w:name w:val="List Paragraph"/>
    <w:basedOn w:val="Normal"/>
    <w:uiPriority w:val="34"/>
    <w:qFormat/>
    <w:rsid w:val="007D78DA"/>
    <w:pPr>
      <w:widowControl w:val="0"/>
      <w:spacing w:line="240" w:lineRule="auto"/>
      <w:ind w:firstLineChars="200" w:firstLine="420"/>
      <w:jc w:val="both"/>
    </w:pPr>
    <w:rPr>
      <w:kern w:val="2"/>
      <w:sz w:val="21"/>
      <w:lang w:val="en-US"/>
    </w:rPr>
  </w:style>
  <w:style w:type="character" w:customStyle="1" w:styleId="fontstyle01">
    <w:name w:val="fontstyle01"/>
    <w:basedOn w:val="DefaultParagraphFont"/>
    <w:rsid w:val="007D78DA"/>
    <w:rPr>
      <w:rFonts w:ascii="TimesNewRomanPSMT" w:eastAsia="TimesNewRomanPSMT" w:hAnsi="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6C02A-52C6-4E90-92A6-C395DF03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916</Words>
  <Characters>5210</Characters>
  <Application>Microsoft Office Word</Application>
  <DocSecurity>0</DocSecurity>
  <Lines>92</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ST/SG/AC.10/C.3/2024/35</dc:title>
  <dc:subject>2406672</dc:subject>
  <dc:creator>Rosa Garcia-Couto</dc:creator>
  <cp:keywords/>
  <dc:description/>
  <cp:lastModifiedBy>Pauline Anne Escalante</cp:lastModifiedBy>
  <cp:revision>2</cp:revision>
  <dcterms:created xsi:type="dcterms:W3CDTF">2024-04-12T09:50:00Z</dcterms:created>
  <dcterms:modified xsi:type="dcterms:W3CDTF">2024-04-12T09:50:00Z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