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098D0DD" w14:textId="77777777" w:rsidTr="006476E1">
        <w:trPr>
          <w:trHeight w:val="851"/>
        </w:trPr>
        <w:tc>
          <w:tcPr>
            <w:tcW w:w="1259" w:type="dxa"/>
            <w:tcBorders>
              <w:top w:val="nil"/>
              <w:left w:val="nil"/>
              <w:bottom w:val="single" w:sz="4" w:space="0" w:color="auto"/>
              <w:right w:val="nil"/>
            </w:tcBorders>
          </w:tcPr>
          <w:p w14:paraId="4CDC9C09" w14:textId="77777777" w:rsidR="00E52109" w:rsidRPr="002A32CB" w:rsidRDefault="00E52109" w:rsidP="004858F5"/>
        </w:tc>
        <w:tc>
          <w:tcPr>
            <w:tcW w:w="2236" w:type="dxa"/>
            <w:tcBorders>
              <w:top w:val="nil"/>
              <w:left w:val="nil"/>
              <w:bottom w:val="single" w:sz="4" w:space="0" w:color="auto"/>
              <w:right w:val="nil"/>
            </w:tcBorders>
            <w:vAlign w:val="bottom"/>
          </w:tcPr>
          <w:p w14:paraId="465AED7F"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955EE04" w14:textId="60F7D838" w:rsidR="00E52109" w:rsidRDefault="00135307" w:rsidP="00135307">
            <w:pPr>
              <w:jc w:val="right"/>
            </w:pPr>
            <w:r w:rsidRPr="00135307">
              <w:rPr>
                <w:sz w:val="40"/>
              </w:rPr>
              <w:t>ST</w:t>
            </w:r>
            <w:r>
              <w:t>/SG/AC.10/C.3/2024/43</w:t>
            </w:r>
          </w:p>
        </w:tc>
      </w:tr>
      <w:tr w:rsidR="00E52109" w14:paraId="6915AFA2" w14:textId="77777777" w:rsidTr="006476E1">
        <w:trPr>
          <w:trHeight w:val="2835"/>
        </w:trPr>
        <w:tc>
          <w:tcPr>
            <w:tcW w:w="1259" w:type="dxa"/>
            <w:tcBorders>
              <w:top w:val="single" w:sz="4" w:space="0" w:color="auto"/>
              <w:left w:val="nil"/>
              <w:bottom w:val="single" w:sz="12" w:space="0" w:color="auto"/>
              <w:right w:val="nil"/>
            </w:tcBorders>
          </w:tcPr>
          <w:p w14:paraId="61919E14" w14:textId="77777777" w:rsidR="00E52109" w:rsidRDefault="00E52109" w:rsidP="006476E1">
            <w:pPr>
              <w:spacing w:before="120"/>
              <w:jc w:val="center"/>
            </w:pPr>
            <w:r>
              <w:rPr>
                <w:noProof/>
                <w:lang w:val="fr-CH" w:eastAsia="fr-CH"/>
              </w:rPr>
              <w:drawing>
                <wp:inline distT="0" distB="0" distL="0" distR="0" wp14:anchorId="13D90E38" wp14:editId="090340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A6A3F6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074D2B8" w14:textId="77777777" w:rsidR="00D94B05" w:rsidRDefault="00135307" w:rsidP="00135307">
            <w:pPr>
              <w:spacing w:before="240" w:line="240" w:lineRule="exact"/>
            </w:pPr>
            <w:r>
              <w:t>Distr.: General</w:t>
            </w:r>
          </w:p>
          <w:p w14:paraId="40E8C2FD" w14:textId="4D8AFDD5" w:rsidR="00135307" w:rsidRDefault="005A23D5" w:rsidP="00135307">
            <w:pPr>
              <w:spacing w:line="240" w:lineRule="exact"/>
            </w:pPr>
            <w:r>
              <w:t>12</w:t>
            </w:r>
            <w:r w:rsidR="00135307">
              <w:t xml:space="preserve"> April 2024</w:t>
            </w:r>
          </w:p>
          <w:p w14:paraId="13D6E5C9" w14:textId="77777777" w:rsidR="00135307" w:rsidRDefault="00135307" w:rsidP="00135307">
            <w:pPr>
              <w:spacing w:line="240" w:lineRule="exact"/>
            </w:pPr>
          </w:p>
          <w:p w14:paraId="490F3FF7" w14:textId="3639FE1A" w:rsidR="00135307" w:rsidRDefault="00135307" w:rsidP="00135307">
            <w:pPr>
              <w:spacing w:line="240" w:lineRule="exact"/>
            </w:pPr>
            <w:r>
              <w:t>Original: English</w:t>
            </w:r>
          </w:p>
        </w:tc>
      </w:tr>
    </w:tbl>
    <w:p w14:paraId="3B9BF429" w14:textId="77777777" w:rsidR="0081132E" w:rsidRDefault="0081132E" w:rsidP="0081132E">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68F29DF0" w14:textId="77777777" w:rsidR="0081132E" w:rsidRDefault="0081132E" w:rsidP="0081132E">
      <w:pPr>
        <w:spacing w:before="120"/>
        <w:rPr>
          <w:rFonts w:ascii="Helv" w:hAnsi="Helv" w:cs="Helv"/>
          <w:b/>
          <w:color w:val="000000"/>
        </w:rPr>
      </w:pPr>
      <w:r>
        <w:rPr>
          <w:b/>
        </w:rPr>
        <w:t>Sub-Committee of Experts on the Transport of Dangerous Goods</w:t>
      </w:r>
    </w:p>
    <w:p w14:paraId="3EA1E03F" w14:textId="77777777" w:rsidR="0081132E" w:rsidRDefault="0081132E" w:rsidP="0081132E">
      <w:pPr>
        <w:spacing w:before="120"/>
        <w:rPr>
          <w:b/>
        </w:rPr>
      </w:pPr>
      <w:r>
        <w:rPr>
          <w:b/>
        </w:rPr>
        <w:t>Sixty-fourth session</w:t>
      </w:r>
    </w:p>
    <w:p w14:paraId="6324A57B" w14:textId="60277B88" w:rsidR="0081132E" w:rsidRDefault="0081132E" w:rsidP="0081132E">
      <w:r>
        <w:t>Geneva, 24 June-3 July 2024</w:t>
      </w:r>
    </w:p>
    <w:p w14:paraId="0FED3C4C" w14:textId="3E460C7F" w:rsidR="0081132E" w:rsidRDefault="0081132E" w:rsidP="0081132E">
      <w:r>
        <w:t xml:space="preserve">Item </w:t>
      </w:r>
      <w:r w:rsidR="0032241C">
        <w:t>6 (d)</w:t>
      </w:r>
      <w:r>
        <w:t xml:space="preserve"> of the provisional agenda</w:t>
      </w:r>
    </w:p>
    <w:p w14:paraId="1F34F9E5" w14:textId="77777777" w:rsidR="00126837" w:rsidRDefault="0062020E" w:rsidP="0081132E">
      <w:pPr>
        <w:rPr>
          <w:b/>
          <w:bCs/>
        </w:rPr>
      </w:pPr>
      <w:r w:rsidRPr="0062020E">
        <w:rPr>
          <w:b/>
          <w:bCs/>
        </w:rPr>
        <w:t xml:space="preserve">Miscellaneous proposals for amendments to the Model Regulations on </w:t>
      </w:r>
      <w:r>
        <w:rPr>
          <w:b/>
          <w:bCs/>
        </w:rPr>
        <w:br/>
      </w:r>
      <w:r w:rsidRPr="0062020E">
        <w:rPr>
          <w:b/>
          <w:bCs/>
        </w:rPr>
        <w:t>the Transport of Dangerous Goods</w:t>
      </w:r>
      <w:r>
        <w:rPr>
          <w:b/>
          <w:bCs/>
        </w:rPr>
        <w:t>:</w:t>
      </w:r>
    </w:p>
    <w:p w14:paraId="1B2EF692" w14:textId="1DB0B5A3" w:rsidR="0081132E" w:rsidRDefault="0062020E" w:rsidP="0081132E">
      <w:pPr>
        <w:rPr>
          <w:b/>
          <w:bCs/>
        </w:rPr>
      </w:pPr>
      <w:r w:rsidRPr="0062020E">
        <w:rPr>
          <w:b/>
          <w:bCs/>
        </w:rPr>
        <w:t>Other miscellaneous proposals</w:t>
      </w:r>
    </w:p>
    <w:p w14:paraId="73B5F309" w14:textId="7B7D87BF" w:rsidR="0081132E" w:rsidRDefault="0081132E" w:rsidP="0081132E">
      <w:pPr>
        <w:pStyle w:val="HChG"/>
        <w:rPr>
          <w:lang w:eastAsia="ja-JP"/>
        </w:rPr>
      </w:pPr>
      <w:r>
        <w:tab/>
      </w:r>
      <w:r>
        <w:tab/>
      </w:r>
      <w:r w:rsidR="00907025" w:rsidRPr="00907025">
        <w:rPr>
          <w:lang w:eastAsia="ja-JP"/>
        </w:rPr>
        <w:t xml:space="preserve">Amendment to 4.1.3.4 of the </w:t>
      </w:r>
      <w:r w:rsidR="00907025" w:rsidRPr="00126837">
        <w:rPr>
          <w:lang w:eastAsia="ja-JP"/>
        </w:rPr>
        <w:t>Model Regulations</w:t>
      </w:r>
      <w:r w:rsidR="00907025" w:rsidRPr="00907025">
        <w:rPr>
          <w:lang w:eastAsia="ja-JP"/>
        </w:rPr>
        <w:t xml:space="preserve"> - Prohibited </w:t>
      </w:r>
      <w:proofErr w:type="spellStart"/>
      <w:r w:rsidR="00907025" w:rsidRPr="00907025">
        <w:rPr>
          <w:lang w:eastAsia="ja-JP"/>
        </w:rPr>
        <w:t>packagings</w:t>
      </w:r>
      <w:proofErr w:type="spellEnd"/>
      <w:r w:rsidR="00907025" w:rsidRPr="00907025">
        <w:rPr>
          <w:lang w:eastAsia="ja-JP"/>
        </w:rPr>
        <w:t xml:space="preserve"> for substances </w:t>
      </w:r>
      <w:r w:rsidR="005D24ED">
        <w:rPr>
          <w:lang w:eastAsia="ja-JP"/>
        </w:rPr>
        <w:t xml:space="preserve">which </w:t>
      </w:r>
      <w:r w:rsidR="00907025" w:rsidRPr="00907025">
        <w:rPr>
          <w:lang w:eastAsia="ja-JP"/>
        </w:rPr>
        <w:t xml:space="preserve">may become liquid during </w:t>
      </w:r>
      <w:proofErr w:type="gramStart"/>
      <w:r w:rsidR="00907025" w:rsidRPr="00907025">
        <w:rPr>
          <w:lang w:eastAsia="ja-JP"/>
        </w:rPr>
        <w:t>transport</w:t>
      </w:r>
      <w:proofErr w:type="gramEnd"/>
    </w:p>
    <w:p w14:paraId="2639A2B9" w14:textId="107D050A" w:rsidR="0081132E" w:rsidRDefault="0081132E" w:rsidP="0081132E">
      <w:pPr>
        <w:pStyle w:val="H1G"/>
        <w:rPr>
          <w:lang w:val="en-US"/>
        </w:rPr>
      </w:pPr>
      <w:bookmarkStart w:id="0" w:name="_Hlk531350542"/>
      <w:r>
        <w:rPr>
          <w:lang w:val="en-US"/>
        </w:rPr>
        <w:tab/>
      </w:r>
      <w:r>
        <w:rPr>
          <w:lang w:val="en-US"/>
        </w:rPr>
        <w:tab/>
        <w:t>Transmitted by</w:t>
      </w:r>
      <w:bookmarkEnd w:id="0"/>
      <w:r>
        <w:rPr>
          <w:lang w:val="en-US"/>
        </w:rPr>
        <w:t xml:space="preserve"> </w:t>
      </w:r>
      <w:r w:rsidR="00BD25B6" w:rsidRPr="00BD25B6">
        <w:rPr>
          <w:lang w:val="en-US"/>
        </w:rPr>
        <w:t>the expert from the Republic of Korea</w:t>
      </w:r>
      <w:r w:rsidR="00705410" w:rsidRPr="00705410">
        <w:rPr>
          <w:rStyle w:val="FootnoteReference"/>
          <w:sz w:val="20"/>
          <w:vertAlign w:val="baseline"/>
          <w:lang w:val="en-US"/>
        </w:rPr>
        <w:footnoteReference w:customMarkFollows="1" w:id="2"/>
        <w:t>*</w:t>
      </w:r>
    </w:p>
    <w:p w14:paraId="0C244FD4" w14:textId="77777777" w:rsidR="0081132E" w:rsidRDefault="0081132E" w:rsidP="0081132E">
      <w:pPr>
        <w:pStyle w:val="HChG"/>
        <w:rPr>
          <w:lang w:val="en-US"/>
        </w:rPr>
      </w:pPr>
      <w:r>
        <w:tab/>
        <w:t>I.</w:t>
      </w:r>
      <w:r>
        <w:tab/>
        <w:t>Introduction</w:t>
      </w:r>
    </w:p>
    <w:p w14:paraId="5CF66170" w14:textId="61188C28" w:rsidR="00CF7F92" w:rsidRDefault="00CF7F92" w:rsidP="00CF7F92">
      <w:pPr>
        <w:pStyle w:val="SingleTxtG"/>
      </w:pPr>
      <w:r>
        <w:t>1.</w:t>
      </w:r>
      <w:r>
        <w:tab/>
      </w:r>
      <w:r w:rsidR="000F1B98">
        <w:t>Both p</w:t>
      </w:r>
      <w:r>
        <w:t xml:space="preserve">acking instruction P002 in 4.1.4.1 and </w:t>
      </w:r>
      <w:r w:rsidR="00F12EC4">
        <w:t xml:space="preserve">paragraph </w:t>
      </w:r>
      <w:r>
        <w:t xml:space="preserve">4.1.3.4 of the </w:t>
      </w:r>
      <w:r w:rsidRPr="00F12EC4">
        <w:rPr>
          <w:i/>
          <w:iCs/>
        </w:rPr>
        <w:t>Model Regulations</w:t>
      </w:r>
      <w:r>
        <w:t xml:space="preserve"> stipulate </w:t>
      </w:r>
      <w:proofErr w:type="spellStart"/>
      <w:r>
        <w:t>packagings</w:t>
      </w:r>
      <w:proofErr w:type="spellEnd"/>
      <w:r>
        <w:t xml:space="preserve"> </w:t>
      </w:r>
      <w:r w:rsidR="00AF522F">
        <w:t xml:space="preserve">which are </w:t>
      </w:r>
      <w:r>
        <w:t>prohibited from being used for solid substances that are liable to become liquid during transport. However, there is an inconsistency between the two provisions, which may cause confusion when shippers apply the regulations.</w:t>
      </w:r>
    </w:p>
    <w:p w14:paraId="20EE3975" w14:textId="084ED521" w:rsidR="00CF7F92" w:rsidRDefault="00CF7F92" w:rsidP="00CF7F92">
      <w:pPr>
        <w:pStyle w:val="SingleTxtG"/>
      </w:pPr>
      <w:r>
        <w:t>2.</w:t>
      </w:r>
      <w:r>
        <w:tab/>
        <w:t xml:space="preserve">This document contains proposals for amendments to 4.1.3.4 of the </w:t>
      </w:r>
      <w:r w:rsidRPr="008451E7">
        <w:rPr>
          <w:i/>
          <w:iCs/>
        </w:rPr>
        <w:t>Model Regulations</w:t>
      </w:r>
      <w:r>
        <w:t xml:space="preserve"> to prevent any confusion </w:t>
      </w:r>
      <w:r w:rsidR="00FD1589">
        <w:t>on</w:t>
      </w:r>
      <w:r>
        <w:t xml:space="preserve"> the usage of </w:t>
      </w:r>
      <w:proofErr w:type="spellStart"/>
      <w:r>
        <w:t>packagings</w:t>
      </w:r>
      <w:proofErr w:type="spellEnd"/>
      <w:r>
        <w:t xml:space="preserve"> for solid substances that are liable to become liquid during transport and to ensure </w:t>
      </w:r>
      <w:r w:rsidR="008451E7">
        <w:t>harmonization of</w:t>
      </w:r>
      <w:r>
        <w:t xml:space="preserve"> the </w:t>
      </w:r>
      <w:r w:rsidRPr="008451E7">
        <w:rPr>
          <w:i/>
          <w:iCs/>
        </w:rPr>
        <w:t>Model Regulations</w:t>
      </w:r>
      <w:r>
        <w:t xml:space="preserve"> </w:t>
      </w:r>
      <w:r w:rsidR="008451E7">
        <w:t xml:space="preserve">with </w:t>
      </w:r>
      <w:r>
        <w:t>modal regulations.</w:t>
      </w:r>
    </w:p>
    <w:p w14:paraId="55D761F2" w14:textId="77777777" w:rsidR="00100707" w:rsidRDefault="00100707">
      <w:pPr>
        <w:rPr>
          <w:b/>
          <w:sz w:val="28"/>
        </w:rPr>
      </w:pPr>
      <w:r>
        <w:br w:type="page"/>
      </w:r>
    </w:p>
    <w:p w14:paraId="6E1EF6F9" w14:textId="509DEE9A" w:rsidR="00CF7F92" w:rsidRDefault="00CF7F92" w:rsidP="00CF7F92">
      <w:pPr>
        <w:pStyle w:val="HChG"/>
      </w:pPr>
      <w:r>
        <w:lastRenderedPageBreak/>
        <w:tab/>
        <w:t>II.</w:t>
      </w:r>
      <w:r>
        <w:tab/>
        <w:t>Explanation</w:t>
      </w:r>
    </w:p>
    <w:p w14:paraId="34F59483" w14:textId="4379D983" w:rsidR="00CF7F92" w:rsidRDefault="00CF7F92" w:rsidP="00CF7F92">
      <w:pPr>
        <w:pStyle w:val="SingleTxtG"/>
      </w:pPr>
      <w:r>
        <w:t>3.</w:t>
      </w:r>
      <w:r>
        <w:tab/>
        <w:t xml:space="preserve">Provision 4.1.3.4 lists </w:t>
      </w:r>
      <w:proofErr w:type="spellStart"/>
      <w:r>
        <w:t>packagings</w:t>
      </w:r>
      <w:proofErr w:type="spellEnd"/>
      <w:r>
        <w:t xml:space="preserve"> that should not be used for solid substances liable to become liquid during transport as follows:</w:t>
      </w:r>
    </w:p>
    <w:p w14:paraId="50701B8E" w14:textId="75E4DE0F" w:rsidR="00D674F9" w:rsidRPr="00F31284" w:rsidRDefault="00C20D3A" w:rsidP="00C20D3A">
      <w:pPr>
        <w:pStyle w:val="SingleTxtG"/>
      </w:pPr>
      <w:r>
        <w:t>“</w:t>
      </w:r>
      <w:r w:rsidR="00D674F9" w:rsidRPr="00F31284">
        <w:t>4.1.3.4</w:t>
      </w:r>
      <w:r w:rsidR="00D674F9" w:rsidRPr="00F31284">
        <w:tab/>
        <w:t xml:space="preserve">The following </w:t>
      </w:r>
      <w:proofErr w:type="spellStart"/>
      <w:r w:rsidR="00D674F9" w:rsidRPr="00F31284">
        <w:t>packagings</w:t>
      </w:r>
      <w:proofErr w:type="spellEnd"/>
      <w:r w:rsidR="00D674F9" w:rsidRPr="00F31284">
        <w:t xml:space="preserve"> shall not be used when the substances being transported are liable to become liquid during transport:</w:t>
      </w:r>
    </w:p>
    <w:p w14:paraId="77DDEEEC" w14:textId="6737FA80" w:rsidR="00D674F9" w:rsidRPr="00F31284" w:rsidRDefault="00856CB1" w:rsidP="00C20D3A">
      <w:pPr>
        <w:pStyle w:val="SingleTxtG"/>
      </w:pPr>
      <w:r>
        <w:tab/>
      </w:r>
      <w:r>
        <w:tab/>
      </w:r>
      <w:proofErr w:type="spellStart"/>
      <w:r w:rsidR="00D674F9" w:rsidRPr="00F31284">
        <w:t>Packagings</w:t>
      </w:r>
      <w:proofErr w:type="spellEnd"/>
    </w:p>
    <w:p w14:paraId="326985CB" w14:textId="71B47CDD" w:rsidR="00D674F9" w:rsidRPr="00F31284" w:rsidRDefault="00D674F9" w:rsidP="00856CB1">
      <w:pPr>
        <w:pStyle w:val="SingleTxtG"/>
        <w:tabs>
          <w:tab w:val="clear" w:pos="2835"/>
        </w:tabs>
        <w:ind w:left="5103" w:hanging="2268"/>
      </w:pPr>
      <w:r w:rsidRPr="00F31284">
        <w:t>Drums:</w:t>
      </w:r>
      <w:r w:rsidR="00856CB1">
        <w:tab/>
      </w:r>
      <w:r w:rsidRPr="00F31284">
        <w:t>1D and 1G</w:t>
      </w:r>
    </w:p>
    <w:p w14:paraId="153E916B" w14:textId="34272611" w:rsidR="00D674F9" w:rsidRPr="00F31284" w:rsidRDefault="00D674F9" w:rsidP="00856CB1">
      <w:pPr>
        <w:pStyle w:val="SingleTxtG"/>
        <w:tabs>
          <w:tab w:val="clear" w:pos="2835"/>
        </w:tabs>
        <w:ind w:left="5103" w:hanging="2268"/>
      </w:pPr>
      <w:r w:rsidRPr="00F31284">
        <w:t>Boxes:</w:t>
      </w:r>
      <w:r w:rsidRPr="00F31284">
        <w:tab/>
      </w:r>
      <w:r w:rsidRPr="00F31284">
        <w:tab/>
        <w:t>4C1, 4C2, 4D, 4F, 4G and 4H1</w:t>
      </w:r>
    </w:p>
    <w:p w14:paraId="1C5D7317" w14:textId="559ADF3B" w:rsidR="00D674F9" w:rsidRPr="00F31284" w:rsidRDefault="00D674F9" w:rsidP="00856CB1">
      <w:pPr>
        <w:pStyle w:val="SingleTxtG"/>
        <w:tabs>
          <w:tab w:val="clear" w:pos="2835"/>
        </w:tabs>
        <w:ind w:left="5103" w:hanging="2268"/>
      </w:pPr>
      <w:r w:rsidRPr="00F31284">
        <w:t>Bags:</w:t>
      </w:r>
      <w:r w:rsidRPr="00F31284">
        <w:tab/>
      </w:r>
      <w:r w:rsidRPr="00F31284">
        <w:tab/>
        <w:t>5L1, 5L2, 5L3, 5H1, 5H2, 5H3, 5H4, 5M1 and 5M2</w:t>
      </w:r>
    </w:p>
    <w:p w14:paraId="48C5D024" w14:textId="77777777" w:rsidR="002D7B68" w:rsidRDefault="00D674F9" w:rsidP="00856CB1">
      <w:pPr>
        <w:pStyle w:val="SingleTxtG"/>
        <w:tabs>
          <w:tab w:val="clear" w:pos="2835"/>
        </w:tabs>
        <w:ind w:left="5103" w:hanging="2268"/>
      </w:pPr>
      <w:r w:rsidRPr="00F31284">
        <w:t xml:space="preserve">Composite </w:t>
      </w:r>
      <w:proofErr w:type="spellStart"/>
      <w:r w:rsidRPr="00F31284">
        <w:t>packagings</w:t>
      </w:r>
      <w:proofErr w:type="spellEnd"/>
      <w:r w:rsidRPr="00F31284">
        <w:t>:</w:t>
      </w:r>
      <w:r w:rsidRPr="00F31284">
        <w:tab/>
        <w:t>6HC, 6HD2, 6HG1, 6HG2, 6HD1, 6PC, 6PD1, 6PD2, 6PG1, 6PG2 and 6PH1</w:t>
      </w:r>
    </w:p>
    <w:p w14:paraId="4814FC31" w14:textId="617C0DF8" w:rsidR="00D674F9" w:rsidRPr="002D7B68" w:rsidRDefault="002D7B68" w:rsidP="002D7B68">
      <w:pPr>
        <w:pStyle w:val="SingleTxtG"/>
      </w:pPr>
      <w:r>
        <w:tab/>
      </w:r>
      <w:r>
        <w:tab/>
        <w:t>…</w:t>
      </w:r>
      <w:r w:rsidR="00C20D3A">
        <w:t>”</w:t>
      </w:r>
    </w:p>
    <w:p w14:paraId="5B041D63" w14:textId="08C13FA7" w:rsidR="00100707" w:rsidRDefault="00CF7F92" w:rsidP="00615C58">
      <w:pPr>
        <w:pStyle w:val="SingleTxtG"/>
      </w:pPr>
      <w:r>
        <w:t>4.</w:t>
      </w:r>
      <w:r>
        <w:tab/>
      </w:r>
      <w:r w:rsidR="000513F8">
        <w:t>On the other hand</w:t>
      </w:r>
      <w:r>
        <w:t xml:space="preserve">, note </w:t>
      </w:r>
      <w:r w:rsidR="00FA073F" w:rsidRPr="00FA073F">
        <w:rPr>
          <w:vertAlign w:val="superscript"/>
        </w:rPr>
        <w:t>e</w:t>
      </w:r>
      <w:r w:rsidR="00FA073F">
        <w:t xml:space="preserve"> in</w:t>
      </w:r>
      <w:r>
        <w:t xml:space="preserve"> the packing instruction for solid substances </w:t>
      </w:r>
      <w:r w:rsidR="00856CB1">
        <w:t>(</w:t>
      </w:r>
      <w:r>
        <w:t>P002</w:t>
      </w:r>
      <w:r w:rsidR="00856CB1">
        <w:t>)</w:t>
      </w:r>
      <w:r>
        <w:t xml:space="preserve"> also specifies </w:t>
      </w:r>
      <w:proofErr w:type="spellStart"/>
      <w:r>
        <w:t>packagings</w:t>
      </w:r>
      <w:proofErr w:type="spellEnd"/>
      <w:r>
        <w:t xml:space="preserve"> that should not be used when transporting substances liable to become liquid during transport as follows and </w:t>
      </w:r>
      <w:r w:rsidR="0005096D">
        <w:t>includes a</w:t>
      </w:r>
      <w:r>
        <w:t xml:space="preserve"> reference to 4.1.3.4</w:t>
      </w:r>
      <w:r w:rsidR="0037561D">
        <w:t xml:space="preserve"> (only the rows for boxes are reproduced)</w:t>
      </w:r>
      <w:r w:rsidR="0005096D">
        <w:t>:</w:t>
      </w:r>
    </w:p>
    <w:tbl>
      <w:tblPr>
        <w:tblW w:w="4783" w:type="pct"/>
        <w:tblInd w:w="418" w:type="dxa"/>
        <w:tblCellMar>
          <w:left w:w="85" w:type="dxa"/>
          <w:right w:w="85" w:type="dxa"/>
        </w:tblCellMar>
        <w:tblLook w:val="0000" w:firstRow="0" w:lastRow="0" w:firstColumn="0" w:lastColumn="0" w:noHBand="0" w:noVBand="0"/>
      </w:tblPr>
      <w:tblGrid>
        <w:gridCol w:w="5812"/>
        <w:gridCol w:w="1276"/>
        <w:gridCol w:w="1000"/>
        <w:gridCol w:w="1117"/>
      </w:tblGrid>
      <w:tr w:rsidR="00100707" w:rsidRPr="00F31284" w14:paraId="36CE4D54" w14:textId="77777777" w:rsidTr="009F708F">
        <w:trPr>
          <w:trHeight w:val="20"/>
        </w:trPr>
        <w:tc>
          <w:tcPr>
            <w:tcW w:w="5000" w:type="pct"/>
            <w:gridSpan w:val="4"/>
            <w:tcBorders>
              <w:top w:val="single" w:sz="6" w:space="0" w:color="auto"/>
              <w:left w:val="single" w:sz="6" w:space="0" w:color="auto"/>
              <w:bottom w:val="single" w:sz="6" w:space="0" w:color="auto"/>
              <w:right w:val="single" w:sz="6" w:space="0" w:color="auto"/>
            </w:tcBorders>
          </w:tcPr>
          <w:p w14:paraId="783F7DE9" w14:textId="77777777" w:rsidR="00100707" w:rsidRPr="00F31284" w:rsidRDefault="00100707" w:rsidP="00100707">
            <w:pPr>
              <w:pStyle w:val="Pheader"/>
            </w:pPr>
            <w:r w:rsidRPr="00F31284">
              <w:t>P002</w:t>
            </w:r>
            <w:r w:rsidRPr="00F31284">
              <w:tab/>
              <w:t xml:space="preserve">PACKING INSTRUCTION (SOLIDS) </w:t>
            </w:r>
            <w:r w:rsidRPr="00F31284">
              <w:rPr>
                <w:i/>
                <w:iCs/>
              </w:rPr>
              <w:t>(cont'd)</w:t>
            </w:r>
            <w:r w:rsidRPr="00F31284">
              <w:tab/>
              <w:t>P002</w:t>
            </w:r>
          </w:p>
        </w:tc>
      </w:tr>
      <w:tr w:rsidR="00100707" w:rsidRPr="00F31284" w14:paraId="42A22533" w14:textId="77777777" w:rsidTr="009F708F">
        <w:trPr>
          <w:trHeight w:val="20"/>
        </w:trPr>
        <w:tc>
          <w:tcPr>
            <w:tcW w:w="3157" w:type="pct"/>
            <w:tcBorders>
              <w:top w:val="single" w:sz="6" w:space="0" w:color="auto"/>
              <w:left w:val="single" w:sz="6" w:space="0" w:color="auto"/>
              <w:right w:val="single" w:sz="6" w:space="0" w:color="auto"/>
            </w:tcBorders>
          </w:tcPr>
          <w:p w14:paraId="237968C2" w14:textId="77777777" w:rsidR="00100707" w:rsidRPr="00F31284" w:rsidRDefault="00100707" w:rsidP="002B4FB6">
            <w:pPr>
              <w:pStyle w:val="Pud2"/>
              <w:jc w:val="center"/>
              <w:rPr>
                <w:b/>
                <w:bCs/>
              </w:rPr>
            </w:pPr>
          </w:p>
        </w:tc>
        <w:tc>
          <w:tcPr>
            <w:tcW w:w="1843" w:type="pct"/>
            <w:gridSpan w:val="3"/>
            <w:tcBorders>
              <w:top w:val="single" w:sz="6" w:space="0" w:color="auto"/>
              <w:left w:val="single" w:sz="6" w:space="0" w:color="auto"/>
              <w:bottom w:val="single" w:sz="6" w:space="0" w:color="auto"/>
              <w:right w:val="single" w:sz="6" w:space="0" w:color="auto"/>
            </w:tcBorders>
          </w:tcPr>
          <w:p w14:paraId="03B49AC5" w14:textId="77777777" w:rsidR="00100707" w:rsidRPr="00F31284" w:rsidRDefault="00100707" w:rsidP="002B4FB6">
            <w:pPr>
              <w:pStyle w:val="Pud2"/>
              <w:jc w:val="center"/>
              <w:rPr>
                <w:b/>
                <w:bCs/>
              </w:rPr>
            </w:pPr>
            <w:r w:rsidRPr="00F31284">
              <w:rPr>
                <w:b/>
                <w:bCs/>
              </w:rPr>
              <w:t>Maximum net mass (see 4.1.3.3)</w:t>
            </w:r>
          </w:p>
        </w:tc>
      </w:tr>
      <w:tr w:rsidR="00100707" w:rsidRPr="00F31284" w14:paraId="226B7F7D" w14:textId="77777777" w:rsidTr="009F708F">
        <w:trPr>
          <w:trHeight w:val="20"/>
        </w:trPr>
        <w:tc>
          <w:tcPr>
            <w:tcW w:w="3157" w:type="pct"/>
            <w:tcBorders>
              <w:left w:val="single" w:sz="6" w:space="0" w:color="auto"/>
              <w:bottom w:val="single" w:sz="6" w:space="0" w:color="auto"/>
              <w:right w:val="single" w:sz="6" w:space="0" w:color="auto"/>
            </w:tcBorders>
          </w:tcPr>
          <w:p w14:paraId="6179E0C1" w14:textId="77777777" w:rsidR="00100707" w:rsidRPr="00F31284" w:rsidRDefault="00100707" w:rsidP="002B4FB6">
            <w:pPr>
              <w:pStyle w:val="Pud2"/>
              <w:jc w:val="center"/>
              <w:rPr>
                <w:b/>
                <w:bCs/>
              </w:rPr>
            </w:pPr>
          </w:p>
        </w:tc>
        <w:tc>
          <w:tcPr>
            <w:tcW w:w="693" w:type="pct"/>
            <w:tcBorders>
              <w:top w:val="single" w:sz="6" w:space="0" w:color="auto"/>
              <w:left w:val="single" w:sz="6" w:space="0" w:color="auto"/>
              <w:bottom w:val="single" w:sz="6" w:space="0" w:color="auto"/>
              <w:right w:val="single" w:sz="6" w:space="0" w:color="auto"/>
            </w:tcBorders>
          </w:tcPr>
          <w:p w14:paraId="1BB0340B" w14:textId="77777777" w:rsidR="00100707" w:rsidRPr="00F31284" w:rsidRDefault="00100707" w:rsidP="002B4FB6">
            <w:pPr>
              <w:pStyle w:val="Pud2"/>
              <w:jc w:val="center"/>
              <w:rPr>
                <w:b/>
                <w:bCs/>
              </w:rPr>
            </w:pPr>
            <w:r w:rsidRPr="00F31284">
              <w:rPr>
                <w:b/>
                <w:bCs/>
              </w:rPr>
              <w:t xml:space="preserve">Packing </w:t>
            </w:r>
            <w:proofErr w:type="gramStart"/>
            <w:r w:rsidRPr="00F31284">
              <w:rPr>
                <w:b/>
                <w:bCs/>
              </w:rPr>
              <w:t>group</w:t>
            </w:r>
            <w:proofErr w:type="gramEnd"/>
            <w:r w:rsidRPr="00F31284">
              <w:rPr>
                <w:b/>
                <w:bCs/>
              </w:rPr>
              <w:t xml:space="preserve"> I</w:t>
            </w:r>
          </w:p>
        </w:tc>
        <w:tc>
          <w:tcPr>
            <w:tcW w:w="543" w:type="pct"/>
            <w:tcBorders>
              <w:top w:val="single" w:sz="6" w:space="0" w:color="auto"/>
              <w:left w:val="single" w:sz="6" w:space="0" w:color="auto"/>
              <w:bottom w:val="single" w:sz="6" w:space="0" w:color="auto"/>
              <w:right w:val="single" w:sz="6" w:space="0" w:color="auto"/>
            </w:tcBorders>
          </w:tcPr>
          <w:p w14:paraId="51C93B00" w14:textId="77777777" w:rsidR="00100707" w:rsidRPr="00F31284" w:rsidRDefault="00100707" w:rsidP="002B4FB6">
            <w:pPr>
              <w:pStyle w:val="Pud2"/>
              <w:jc w:val="center"/>
              <w:rPr>
                <w:b/>
                <w:bCs/>
              </w:rPr>
            </w:pPr>
            <w:r w:rsidRPr="00F31284">
              <w:rPr>
                <w:b/>
                <w:bCs/>
              </w:rPr>
              <w:t>Packing group II</w:t>
            </w:r>
          </w:p>
        </w:tc>
        <w:tc>
          <w:tcPr>
            <w:tcW w:w="607" w:type="pct"/>
            <w:tcBorders>
              <w:top w:val="single" w:sz="6" w:space="0" w:color="auto"/>
              <w:left w:val="single" w:sz="6" w:space="0" w:color="auto"/>
              <w:bottom w:val="single" w:sz="6" w:space="0" w:color="auto"/>
              <w:right w:val="single" w:sz="6" w:space="0" w:color="auto"/>
            </w:tcBorders>
          </w:tcPr>
          <w:p w14:paraId="2FE940E6" w14:textId="77777777" w:rsidR="00100707" w:rsidRPr="00F31284" w:rsidRDefault="00100707" w:rsidP="002B4FB6">
            <w:pPr>
              <w:pStyle w:val="Pud2"/>
              <w:jc w:val="center"/>
              <w:rPr>
                <w:b/>
                <w:bCs/>
              </w:rPr>
            </w:pPr>
            <w:r w:rsidRPr="00F31284">
              <w:rPr>
                <w:b/>
                <w:bCs/>
              </w:rPr>
              <w:t xml:space="preserve">Packing </w:t>
            </w:r>
            <w:r w:rsidRPr="00F31284">
              <w:rPr>
                <w:b/>
                <w:bCs/>
              </w:rPr>
              <w:br/>
              <w:t>group III</w:t>
            </w:r>
          </w:p>
        </w:tc>
      </w:tr>
      <w:tr w:rsidR="00100707" w:rsidRPr="00F31284" w14:paraId="19E544DF" w14:textId="77777777" w:rsidTr="009F708F">
        <w:trPr>
          <w:trHeight w:val="20"/>
        </w:trPr>
        <w:tc>
          <w:tcPr>
            <w:tcW w:w="3157" w:type="pct"/>
            <w:tcBorders>
              <w:top w:val="single" w:sz="6" w:space="0" w:color="auto"/>
              <w:left w:val="single" w:sz="6" w:space="0" w:color="auto"/>
              <w:bottom w:val="single" w:sz="6" w:space="0" w:color="auto"/>
            </w:tcBorders>
          </w:tcPr>
          <w:p w14:paraId="1106A046" w14:textId="77777777" w:rsidR="00100707" w:rsidRPr="00F31284" w:rsidRDefault="00100707" w:rsidP="002B4FB6">
            <w:pPr>
              <w:pStyle w:val="Pnormal"/>
              <w:rPr>
                <w:b/>
                <w:bCs/>
              </w:rPr>
            </w:pPr>
            <w:r w:rsidRPr="00F31284">
              <w:rPr>
                <w:b/>
                <w:bCs/>
              </w:rPr>
              <w:t xml:space="preserve">Single </w:t>
            </w:r>
            <w:proofErr w:type="spellStart"/>
            <w:r w:rsidRPr="00F31284">
              <w:rPr>
                <w:b/>
                <w:bCs/>
              </w:rPr>
              <w:t>packagings</w:t>
            </w:r>
            <w:proofErr w:type="spellEnd"/>
            <w:r w:rsidRPr="00F31284">
              <w:rPr>
                <w:b/>
                <w:bCs/>
              </w:rPr>
              <w:t xml:space="preserve"> </w:t>
            </w:r>
            <w:r w:rsidRPr="00F31284">
              <w:rPr>
                <w:b/>
                <w:bCs/>
                <w:i/>
                <w:iCs/>
              </w:rPr>
              <w:t>(cont'd)</w:t>
            </w:r>
          </w:p>
        </w:tc>
        <w:tc>
          <w:tcPr>
            <w:tcW w:w="693" w:type="pct"/>
            <w:tcBorders>
              <w:top w:val="single" w:sz="6" w:space="0" w:color="auto"/>
              <w:left w:val="nil"/>
              <w:bottom w:val="single" w:sz="6" w:space="0" w:color="auto"/>
            </w:tcBorders>
          </w:tcPr>
          <w:p w14:paraId="463F6A4E" w14:textId="77777777" w:rsidR="00100707" w:rsidRPr="00F31284" w:rsidRDefault="00100707" w:rsidP="002B4FB6">
            <w:pPr>
              <w:pStyle w:val="Pnormal"/>
              <w:rPr>
                <w:b/>
                <w:bCs/>
              </w:rPr>
            </w:pPr>
          </w:p>
        </w:tc>
        <w:tc>
          <w:tcPr>
            <w:tcW w:w="543" w:type="pct"/>
            <w:tcBorders>
              <w:top w:val="single" w:sz="6" w:space="0" w:color="auto"/>
              <w:bottom w:val="single" w:sz="6" w:space="0" w:color="auto"/>
            </w:tcBorders>
          </w:tcPr>
          <w:p w14:paraId="09DE1A1E" w14:textId="77777777" w:rsidR="00100707" w:rsidRPr="00F31284" w:rsidRDefault="00100707" w:rsidP="002B4FB6">
            <w:pPr>
              <w:pStyle w:val="Pnormal"/>
              <w:rPr>
                <w:b/>
                <w:bCs/>
              </w:rPr>
            </w:pPr>
          </w:p>
        </w:tc>
        <w:tc>
          <w:tcPr>
            <w:tcW w:w="607" w:type="pct"/>
            <w:tcBorders>
              <w:top w:val="single" w:sz="6" w:space="0" w:color="auto"/>
              <w:bottom w:val="single" w:sz="6" w:space="0" w:color="auto"/>
              <w:right w:val="single" w:sz="6" w:space="0" w:color="auto"/>
            </w:tcBorders>
          </w:tcPr>
          <w:p w14:paraId="289C93F7" w14:textId="77777777" w:rsidR="00100707" w:rsidRPr="00F31284" w:rsidRDefault="00100707" w:rsidP="002B4FB6">
            <w:pPr>
              <w:pStyle w:val="Pnormal"/>
              <w:rPr>
                <w:b/>
                <w:bCs/>
              </w:rPr>
            </w:pPr>
          </w:p>
        </w:tc>
      </w:tr>
      <w:tr w:rsidR="00100707" w:rsidRPr="00F31284" w14:paraId="0DE2C840" w14:textId="77777777" w:rsidTr="009F708F">
        <w:trPr>
          <w:trHeight w:val="20"/>
        </w:trPr>
        <w:tc>
          <w:tcPr>
            <w:tcW w:w="3157" w:type="pct"/>
            <w:tcBorders>
              <w:top w:val="single" w:sz="6" w:space="0" w:color="auto"/>
              <w:left w:val="single" w:sz="6" w:space="0" w:color="auto"/>
              <w:bottom w:val="single" w:sz="6" w:space="0" w:color="auto"/>
              <w:right w:val="single" w:sz="6" w:space="0" w:color="auto"/>
            </w:tcBorders>
          </w:tcPr>
          <w:p w14:paraId="0B8FE632" w14:textId="77777777" w:rsidR="00100707" w:rsidRPr="00F31284" w:rsidRDefault="00100707" w:rsidP="002B4FB6">
            <w:pPr>
              <w:pStyle w:val="Pu4d2"/>
              <w:rPr>
                <w:b/>
                <w:bCs/>
              </w:rPr>
            </w:pPr>
            <w:r w:rsidRPr="00F31284">
              <w:rPr>
                <w:b/>
                <w:bCs/>
              </w:rPr>
              <w:t>Boxes</w:t>
            </w:r>
          </w:p>
          <w:p w14:paraId="2A7ED512" w14:textId="77777777" w:rsidR="00100707" w:rsidRPr="00F31284" w:rsidRDefault="00100707" w:rsidP="002B4FB6">
            <w:pPr>
              <w:pStyle w:val="Pb04h02ud2"/>
            </w:pPr>
            <w:r w:rsidRPr="00F31284">
              <w:t>steel (4</w:t>
            </w:r>
            <w:proofErr w:type="gramStart"/>
            <w:r w:rsidRPr="00F31284">
              <w:t>A)</w:t>
            </w:r>
            <w:r w:rsidRPr="00F31284">
              <w:rPr>
                <w:b/>
                <w:vertAlign w:val="superscript"/>
              </w:rPr>
              <w:t>e</w:t>
            </w:r>
            <w:proofErr w:type="gramEnd"/>
          </w:p>
          <w:p w14:paraId="5EC0E343" w14:textId="77777777" w:rsidR="00100707" w:rsidRPr="00F31284" w:rsidRDefault="00100707" w:rsidP="002B4FB6">
            <w:pPr>
              <w:pStyle w:val="Pb04h02ud2"/>
            </w:pPr>
            <w:r w:rsidRPr="00F31284">
              <w:t>aluminium (4</w:t>
            </w:r>
            <w:proofErr w:type="gramStart"/>
            <w:r w:rsidRPr="00F31284">
              <w:t>B)</w:t>
            </w:r>
            <w:r w:rsidRPr="00F31284">
              <w:rPr>
                <w:b/>
                <w:vertAlign w:val="superscript"/>
              </w:rPr>
              <w:t>e</w:t>
            </w:r>
            <w:proofErr w:type="gramEnd"/>
          </w:p>
          <w:p w14:paraId="28DB655F" w14:textId="77777777" w:rsidR="00100707" w:rsidRPr="00F31284" w:rsidRDefault="00100707" w:rsidP="002B4FB6">
            <w:pPr>
              <w:pStyle w:val="Pb04h02ud2"/>
            </w:pPr>
            <w:r w:rsidRPr="00F31284">
              <w:t>other metal (4</w:t>
            </w:r>
            <w:proofErr w:type="gramStart"/>
            <w:r w:rsidRPr="00F31284">
              <w:t>N)</w:t>
            </w:r>
            <w:r w:rsidRPr="00F31284">
              <w:rPr>
                <w:b/>
                <w:vertAlign w:val="superscript"/>
              </w:rPr>
              <w:t>e</w:t>
            </w:r>
            <w:proofErr w:type="gramEnd"/>
          </w:p>
          <w:p w14:paraId="03CCB3CC" w14:textId="77777777" w:rsidR="00100707" w:rsidRPr="00F31284" w:rsidRDefault="00100707" w:rsidP="002B4FB6">
            <w:pPr>
              <w:pStyle w:val="Pb04h02ud2"/>
            </w:pPr>
            <w:r w:rsidRPr="00F31284">
              <w:t>natural wood (4C</w:t>
            </w:r>
            <w:proofErr w:type="gramStart"/>
            <w:r w:rsidRPr="00F31284">
              <w:t>1)</w:t>
            </w:r>
            <w:r w:rsidRPr="00F31284">
              <w:rPr>
                <w:b/>
                <w:vertAlign w:val="superscript"/>
              </w:rPr>
              <w:t>e</w:t>
            </w:r>
            <w:proofErr w:type="gramEnd"/>
          </w:p>
          <w:p w14:paraId="5F1A5B1F" w14:textId="77777777" w:rsidR="00100707" w:rsidRPr="00F31284" w:rsidRDefault="00100707" w:rsidP="002B4FB6">
            <w:pPr>
              <w:pStyle w:val="Pb04h02ud2"/>
            </w:pPr>
            <w:r w:rsidRPr="00F31284">
              <w:t>plywood (4</w:t>
            </w:r>
            <w:proofErr w:type="gramStart"/>
            <w:r w:rsidRPr="00F31284">
              <w:t>D)</w:t>
            </w:r>
            <w:r w:rsidRPr="00F31284">
              <w:rPr>
                <w:b/>
                <w:vertAlign w:val="superscript"/>
              </w:rPr>
              <w:t>e</w:t>
            </w:r>
            <w:proofErr w:type="gramEnd"/>
          </w:p>
          <w:p w14:paraId="11268F14" w14:textId="77777777" w:rsidR="00100707" w:rsidRPr="00F31284" w:rsidRDefault="00100707" w:rsidP="002B4FB6">
            <w:pPr>
              <w:pStyle w:val="Pb04h02ud2"/>
            </w:pPr>
            <w:r w:rsidRPr="00F31284">
              <w:t>reconstituted wood (4</w:t>
            </w:r>
            <w:proofErr w:type="gramStart"/>
            <w:r w:rsidRPr="00F31284">
              <w:t>F)</w:t>
            </w:r>
            <w:r w:rsidRPr="00F31284">
              <w:rPr>
                <w:b/>
                <w:vertAlign w:val="superscript"/>
              </w:rPr>
              <w:t>e</w:t>
            </w:r>
            <w:proofErr w:type="gramEnd"/>
          </w:p>
          <w:p w14:paraId="0F4BAB70" w14:textId="77777777" w:rsidR="00100707" w:rsidRPr="00F31284" w:rsidRDefault="00100707" w:rsidP="002B4FB6">
            <w:pPr>
              <w:pStyle w:val="Pb04h02ud2"/>
            </w:pPr>
            <w:r w:rsidRPr="00F31284">
              <w:t>natural wood with sift proof walls (4C</w:t>
            </w:r>
            <w:proofErr w:type="gramStart"/>
            <w:r w:rsidRPr="00F31284">
              <w:t>2)</w:t>
            </w:r>
            <w:r w:rsidRPr="00F31284">
              <w:rPr>
                <w:b/>
                <w:vertAlign w:val="superscript"/>
              </w:rPr>
              <w:t>e</w:t>
            </w:r>
            <w:proofErr w:type="gramEnd"/>
          </w:p>
          <w:p w14:paraId="64FCB1DD" w14:textId="77777777" w:rsidR="00100707" w:rsidRPr="00F31284" w:rsidRDefault="00100707" w:rsidP="002B4FB6">
            <w:pPr>
              <w:pStyle w:val="Pb04h02ud2"/>
            </w:pPr>
            <w:r w:rsidRPr="00F31284">
              <w:t>fibreboard (4</w:t>
            </w:r>
            <w:proofErr w:type="gramStart"/>
            <w:r w:rsidRPr="00F31284">
              <w:t>G)</w:t>
            </w:r>
            <w:r w:rsidRPr="00F31284">
              <w:rPr>
                <w:b/>
                <w:vertAlign w:val="superscript"/>
              </w:rPr>
              <w:t>e</w:t>
            </w:r>
            <w:proofErr w:type="gramEnd"/>
          </w:p>
          <w:p w14:paraId="4D4064BE" w14:textId="77777777" w:rsidR="00100707" w:rsidRPr="00F31284" w:rsidRDefault="00100707" w:rsidP="002B4FB6">
            <w:pPr>
              <w:pStyle w:val="Pb04h02ud2"/>
            </w:pPr>
            <w:r w:rsidRPr="00F31284">
              <w:t>solid plastics (4H</w:t>
            </w:r>
            <w:proofErr w:type="gramStart"/>
            <w:r w:rsidRPr="00F31284">
              <w:t>2)</w:t>
            </w:r>
            <w:r w:rsidRPr="00F31284">
              <w:rPr>
                <w:b/>
                <w:vertAlign w:val="superscript"/>
              </w:rPr>
              <w:t>e</w:t>
            </w:r>
            <w:proofErr w:type="gramEnd"/>
          </w:p>
        </w:tc>
        <w:tc>
          <w:tcPr>
            <w:tcW w:w="693" w:type="pct"/>
            <w:tcBorders>
              <w:top w:val="single" w:sz="6" w:space="0" w:color="auto"/>
              <w:left w:val="single" w:sz="6" w:space="0" w:color="auto"/>
              <w:bottom w:val="single" w:sz="6" w:space="0" w:color="auto"/>
              <w:right w:val="single" w:sz="6" w:space="0" w:color="auto"/>
            </w:tcBorders>
          </w:tcPr>
          <w:p w14:paraId="3A65B7B9" w14:textId="77777777" w:rsidR="00100707" w:rsidRPr="00F31284" w:rsidRDefault="00100707" w:rsidP="002B4FB6">
            <w:pPr>
              <w:pStyle w:val="Pu4d2"/>
              <w:jc w:val="center"/>
            </w:pPr>
          </w:p>
          <w:p w14:paraId="6B4600DB" w14:textId="77777777" w:rsidR="00100707" w:rsidRPr="00F31284" w:rsidRDefault="00100707" w:rsidP="002B4FB6">
            <w:pPr>
              <w:pStyle w:val="Pud2"/>
              <w:jc w:val="center"/>
            </w:pPr>
            <w:r w:rsidRPr="00F31284">
              <w:t>Not allowed</w:t>
            </w:r>
          </w:p>
          <w:p w14:paraId="779BCACA" w14:textId="77777777" w:rsidR="00100707" w:rsidRPr="00F31284" w:rsidRDefault="00100707" w:rsidP="002B4FB6">
            <w:pPr>
              <w:pStyle w:val="Pud2"/>
              <w:jc w:val="center"/>
            </w:pPr>
            <w:r w:rsidRPr="00F31284">
              <w:t>Not allowed</w:t>
            </w:r>
          </w:p>
          <w:p w14:paraId="2EBFA3B1" w14:textId="77777777" w:rsidR="00100707" w:rsidRPr="00F31284" w:rsidRDefault="00100707" w:rsidP="002B4FB6">
            <w:pPr>
              <w:pStyle w:val="Pud2"/>
              <w:jc w:val="center"/>
            </w:pPr>
            <w:r w:rsidRPr="00F31284">
              <w:t>Not allowed</w:t>
            </w:r>
          </w:p>
          <w:p w14:paraId="08F77DF8" w14:textId="77777777" w:rsidR="00100707" w:rsidRPr="00F31284" w:rsidRDefault="00100707" w:rsidP="002B4FB6">
            <w:pPr>
              <w:pStyle w:val="Pud2"/>
              <w:jc w:val="center"/>
            </w:pPr>
            <w:r w:rsidRPr="00F31284">
              <w:t>Not allowed</w:t>
            </w:r>
          </w:p>
          <w:p w14:paraId="19A83D35" w14:textId="77777777" w:rsidR="00100707" w:rsidRPr="00F31284" w:rsidRDefault="00100707" w:rsidP="002B4FB6">
            <w:pPr>
              <w:pStyle w:val="Pud2"/>
              <w:jc w:val="center"/>
            </w:pPr>
            <w:r w:rsidRPr="00F31284">
              <w:t>Not allowed</w:t>
            </w:r>
          </w:p>
          <w:p w14:paraId="6640D0E0" w14:textId="77777777" w:rsidR="00100707" w:rsidRPr="00F31284" w:rsidRDefault="00100707" w:rsidP="002B4FB6">
            <w:pPr>
              <w:pStyle w:val="Pud2"/>
              <w:jc w:val="center"/>
            </w:pPr>
            <w:r w:rsidRPr="00F31284">
              <w:t>Not allowed</w:t>
            </w:r>
          </w:p>
          <w:p w14:paraId="5F9A0B2C" w14:textId="77777777" w:rsidR="00100707" w:rsidRPr="00F31284" w:rsidRDefault="00100707" w:rsidP="002B4FB6">
            <w:pPr>
              <w:pStyle w:val="Pud2"/>
              <w:jc w:val="center"/>
            </w:pPr>
            <w:r w:rsidRPr="00F31284">
              <w:t>Not allowed</w:t>
            </w:r>
          </w:p>
          <w:p w14:paraId="33AB831B" w14:textId="77777777" w:rsidR="00100707" w:rsidRPr="00F31284" w:rsidRDefault="00100707" w:rsidP="002B4FB6">
            <w:pPr>
              <w:pStyle w:val="Pud2"/>
              <w:jc w:val="center"/>
            </w:pPr>
            <w:r w:rsidRPr="00F31284">
              <w:t>Not allowed</w:t>
            </w:r>
          </w:p>
          <w:p w14:paraId="55D180C5" w14:textId="77777777" w:rsidR="00100707" w:rsidRPr="00F31284" w:rsidRDefault="00100707" w:rsidP="002B4FB6">
            <w:pPr>
              <w:pStyle w:val="Pud2"/>
              <w:jc w:val="center"/>
            </w:pPr>
            <w:r w:rsidRPr="00F31284">
              <w:t>Not allowed</w:t>
            </w:r>
          </w:p>
        </w:tc>
        <w:tc>
          <w:tcPr>
            <w:tcW w:w="543" w:type="pct"/>
            <w:tcBorders>
              <w:top w:val="single" w:sz="6" w:space="0" w:color="auto"/>
              <w:left w:val="single" w:sz="6" w:space="0" w:color="auto"/>
              <w:bottom w:val="single" w:sz="6" w:space="0" w:color="auto"/>
              <w:right w:val="single" w:sz="6" w:space="0" w:color="auto"/>
            </w:tcBorders>
          </w:tcPr>
          <w:p w14:paraId="6145D6DD" w14:textId="77777777" w:rsidR="00100707" w:rsidRPr="00F31284" w:rsidRDefault="00100707" w:rsidP="002B4FB6">
            <w:pPr>
              <w:pStyle w:val="Pu4d2"/>
              <w:jc w:val="center"/>
            </w:pPr>
          </w:p>
          <w:p w14:paraId="4F50B932" w14:textId="77777777" w:rsidR="00100707" w:rsidRPr="00F31284" w:rsidRDefault="00100707" w:rsidP="002B4FB6">
            <w:pPr>
              <w:pStyle w:val="Pud2"/>
              <w:jc w:val="center"/>
            </w:pPr>
            <w:r w:rsidRPr="00F31284">
              <w:t>400 kg</w:t>
            </w:r>
          </w:p>
          <w:p w14:paraId="66DD95FE" w14:textId="77777777" w:rsidR="00100707" w:rsidRPr="00F31284" w:rsidRDefault="00100707" w:rsidP="002B4FB6">
            <w:pPr>
              <w:pStyle w:val="Pud2"/>
              <w:jc w:val="center"/>
            </w:pPr>
            <w:r w:rsidRPr="00F31284">
              <w:t>400 kg</w:t>
            </w:r>
          </w:p>
          <w:p w14:paraId="5DD02184" w14:textId="77777777" w:rsidR="00100707" w:rsidRPr="00F31284" w:rsidRDefault="00100707" w:rsidP="002B4FB6">
            <w:pPr>
              <w:pStyle w:val="Pud2"/>
              <w:jc w:val="center"/>
            </w:pPr>
            <w:r w:rsidRPr="00F31284">
              <w:t>400 kg</w:t>
            </w:r>
          </w:p>
          <w:p w14:paraId="14A2A28B" w14:textId="77777777" w:rsidR="00100707" w:rsidRPr="00F31284" w:rsidRDefault="00100707" w:rsidP="002B4FB6">
            <w:pPr>
              <w:pStyle w:val="Pud2"/>
              <w:jc w:val="center"/>
            </w:pPr>
            <w:r w:rsidRPr="00F31284">
              <w:t>400 kg</w:t>
            </w:r>
          </w:p>
          <w:p w14:paraId="3E425CF4" w14:textId="77777777" w:rsidR="00100707" w:rsidRPr="00F31284" w:rsidRDefault="00100707" w:rsidP="002B4FB6">
            <w:pPr>
              <w:pStyle w:val="Pud2"/>
              <w:jc w:val="center"/>
            </w:pPr>
            <w:r w:rsidRPr="00F31284">
              <w:t>400 kg</w:t>
            </w:r>
          </w:p>
          <w:p w14:paraId="12F4C7CC" w14:textId="77777777" w:rsidR="00100707" w:rsidRPr="00F31284" w:rsidRDefault="00100707" w:rsidP="002B4FB6">
            <w:pPr>
              <w:pStyle w:val="Pud2"/>
              <w:jc w:val="center"/>
            </w:pPr>
            <w:r w:rsidRPr="00F31284">
              <w:t>400 kg</w:t>
            </w:r>
          </w:p>
          <w:p w14:paraId="53A197B4" w14:textId="77777777" w:rsidR="00100707" w:rsidRPr="00F31284" w:rsidRDefault="00100707" w:rsidP="002B4FB6">
            <w:pPr>
              <w:pStyle w:val="Pud2"/>
              <w:jc w:val="center"/>
            </w:pPr>
            <w:r w:rsidRPr="00F31284">
              <w:t>400 kg</w:t>
            </w:r>
          </w:p>
          <w:p w14:paraId="7945AFE0" w14:textId="77777777" w:rsidR="00100707" w:rsidRPr="00F31284" w:rsidRDefault="00100707" w:rsidP="002B4FB6">
            <w:pPr>
              <w:pStyle w:val="Pud2"/>
              <w:jc w:val="center"/>
            </w:pPr>
            <w:r w:rsidRPr="00F31284">
              <w:t>400 kg</w:t>
            </w:r>
          </w:p>
          <w:p w14:paraId="01791C44" w14:textId="77777777" w:rsidR="00100707" w:rsidRPr="00F31284" w:rsidRDefault="00100707" w:rsidP="002B4FB6">
            <w:pPr>
              <w:pStyle w:val="Pud2"/>
              <w:jc w:val="center"/>
            </w:pPr>
            <w:r w:rsidRPr="00F31284">
              <w:t>400 kg</w:t>
            </w:r>
          </w:p>
        </w:tc>
        <w:tc>
          <w:tcPr>
            <w:tcW w:w="607" w:type="pct"/>
            <w:tcBorders>
              <w:top w:val="single" w:sz="6" w:space="0" w:color="auto"/>
              <w:left w:val="single" w:sz="6" w:space="0" w:color="auto"/>
              <w:bottom w:val="single" w:sz="6" w:space="0" w:color="auto"/>
              <w:right w:val="single" w:sz="6" w:space="0" w:color="auto"/>
            </w:tcBorders>
          </w:tcPr>
          <w:p w14:paraId="1E3E01CC" w14:textId="77777777" w:rsidR="00100707" w:rsidRPr="00F31284" w:rsidRDefault="00100707" w:rsidP="002B4FB6">
            <w:pPr>
              <w:pStyle w:val="Pu4d2"/>
              <w:jc w:val="center"/>
            </w:pPr>
          </w:p>
          <w:p w14:paraId="4BD79F37" w14:textId="77777777" w:rsidR="00100707" w:rsidRPr="00F31284" w:rsidRDefault="00100707" w:rsidP="002B4FB6">
            <w:pPr>
              <w:pStyle w:val="Pud2"/>
              <w:jc w:val="center"/>
            </w:pPr>
            <w:r w:rsidRPr="00F31284">
              <w:t>400 kg</w:t>
            </w:r>
          </w:p>
          <w:p w14:paraId="2A03D77D" w14:textId="77777777" w:rsidR="00100707" w:rsidRPr="00F31284" w:rsidRDefault="00100707" w:rsidP="002B4FB6">
            <w:pPr>
              <w:pStyle w:val="Pud2"/>
              <w:jc w:val="center"/>
            </w:pPr>
            <w:r w:rsidRPr="00F31284">
              <w:t>400 kg</w:t>
            </w:r>
          </w:p>
          <w:p w14:paraId="706E91C0" w14:textId="77777777" w:rsidR="00100707" w:rsidRPr="00F31284" w:rsidRDefault="00100707" w:rsidP="002B4FB6">
            <w:pPr>
              <w:pStyle w:val="Pud2"/>
              <w:jc w:val="center"/>
            </w:pPr>
            <w:r w:rsidRPr="00F31284">
              <w:t>400 kg</w:t>
            </w:r>
          </w:p>
          <w:p w14:paraId="5CDA6D8E" w14:textId="77777777" w:rsidR="00100707" w:rsidRPr="00F31284" w:rsidRDefault="00100707" w:rsidP="002B4FB6">
            <w:pPr>
              <w:pStyle w:val="Pud2"/>
              <w:jc w:val="center"/>
            </w:pPr>
            <w:r w:rsidRPr="00F31284">
              <w:t>400 kg</w:t>
            </w:r>
          </w:p>
          <w:p w14:paraId="42A9D5B3" w14:textId="77777777" w:rsidR="00100707" w:rsidRPr="00F31284" w:rsidRDefault="00100707" w:rsidP="002B4FB6">
            <w:pPr>
              <w:pStyle w:val="Pud2"/>
              <w:jc w:val="center"/>
            </w:pPr>
            <w:r w:rsidRPr="00F31284">
              <w:t>400 kg</w:t>
            </w:r>
          </w:p>
          <w:p w14:paraId="08780A33" w14:textId="77777777" w:rsidR="00100707" w:rsidRPr="00F31284" w:rsidRDefault="00100707" w:rsidP="002B4FB6">
            <w:pPr>
              <w:pStyle w:val="Pud2"/>
              <w:jc w:val="center"/>
            </w:pPr>
            <w:r w:rsidRPr="00F31284">
              <w:t>400 kg</w:t>
            </w:r>
          </w:p>
          <w:p w14:paraId="002BF5A9" w14:textId="77777777" w:rsidR="00100707" w:rsidRPr="00F31284" w:rsidRDefault="00100707" w:rsidP="002B4FB6">
            <w:pPr>
              <w:pStyle w:val="Pud2"/>
              <w:jc w:val="center"/>
            </w:pPr>
            <w:r w:rsidRPr="00F31284">
              <w:t>400 kg</w:t>
            </w:r>
          </w:p>
          <w:p w14:paraId="317C118A" w14:textId="77777777" w:rsidR="00100707" w:rsidRPr="00F31284" w:rsidRDefault="00100707" w:rsidP="002B4FB6">
            <w:pPr>
              <w:pStyle w:val="Pud2"/>
              <w:jc w:val="center"/>
            </w:pPr>
            <w:r w:rsidRPr="00F31284">
              <w:t>400 kg</w:t>
            </w:r>
          </w:p>
          <w:p w14:paraId="7FB99700" w14:textId="77777777" w:rsidR="00100707" w:rsidRPr="00F31284" w:rsidRDefault="00100707" w:rsidP="002B4FB6">
            <w:pPr>
              <w:pStyle w:val="Pud2"/>
              <w:jc w:val="center"/>
            </w:pPr>
            <w:r w:rsidRPr="00F31284">
              <w:t>400 kg</w:t>
            </w:r>
          </w:p>
        </w:tc>
      </w:tr>
      <w:tr w:rsidR="00100707" w:rsidRPr="00F31284" w14:paraId="4D03261B" w14:textId="77777777" w:rsidTr="009F708F">
        <w:trPr>
          <w:trHeight w:val="20"/>
        </w:trPr>
        <w:tc>
          <w:tcPr>
            <w:tcW w:w="5000" w:type="pct"/>
            <w:gridSpan w:val="4"/>
            <w:tcBorders>
              <w:top w:val="single" w:sz="6" w:space="0" w:color="auto"/>
            </w:tcBorders>
          </w:tcPr>
          <w:p w14:paraId="5028EC6E" w14:textId="77777777" w:rsidR="00100707" w:rsidRPr="00F31284" w:rsidRDefault="00100707" w:rsidP="002B4FB6">
            <w:pPr>
              <w:pStyle w:val="Ph08"/>
              <w:rPr>
                <w:i/>
                <w:iCs/>
              </w:rPr>
            </w:pPr>
            <w:r w:rsidRPr="00F31284">
              <w:rPr>
                <w:b/>
                <w:bCs/>
                <w:vertAlign w:val="superscript"/>
              </w:rPr>
              <w:t>e</w:t>
            </w:r>
            <w:r w:rsidRPr="00F31284">
              <w:rPr>
                <w:i/>
                <w:iCs/>
              </w:rPr>
              <w:tab/>
              <w:t xml:space="preserve">These </w:t>
            </w:r>
            <w:proofErr w:type="spellStart"/>
            <w:r w:rsidRPr="00F31284">
              <w:rPr>
                <w:i/>
                <w:iCs/>
              </w:rPr>
              <w:t>packagings</w:t>
            </w:r>
            <w:proofErr w:type="spellEnd"/>
            <w:r w:rsidRPr="00F31284">
              <w:rPr>
                <w:i/>
                <w:iCs/>
              </w:rPr>
              <w:t xml:space="preserve"> shall not be used when the substances being transported may become liquid during transport (see 4.1.3.4).</w:t>
            </w:r>
          </w:p>
        </w:tc>
      </w:tr>
    </w:tbl>
    <w:p w14:paraId="51368679" w14:textId="77777777" w:rsidR="003F4EEB" w:rsidRDefault="003F4EEB" w:rsidP="00CF7F92">
      <w:pPr>
        <w:pStyle w:val="SingleTxtG"/>
      </w:pPr>
    </w:p>
    <w:p w14:paraId="4AC93BDA" w14:textId="7983D2AF" w:rsidR="00CF7F92" w:rsidRDefault="00CF7F92" w:rsidP="00CF7F92">
      <w:pPr>
        <w:pStyle w:val="SingleTxtG"/>
      </w:pPr>
      <w:r>
        <w:t>5.</w:t>
      </w:r>
      <w:r>
        <w:tab/>
      </w:r>
      <w:r w:rsidR="0037561D">
        <w:t>A</w:t>
      </w:r>
      <w:r>
        <w:t>n inconsistency between the two provisions mentioned above can be found in the section for boxes. According to packing instruction P002, boxes 4A, 4B, 4N, and 4H2 shall not be used when the substances being transported may become liquid during transport. On the other hand, the list in 4.1.3.4 does not include boxes 4A, 4B, 4N, and 4H2, which could lead to confusion for packaging users or workers.</w:t>
      </w:r>
    </w:p>
    <w:p w14:paraId="0A486A6B" w14:textId="18FD9567" w:rsidR="00CF7F92" w:rsidRDefault="00CF7F92" w:rsidP="00CF7F92">
      <w:pPr>
        <w:pStyle w:val="SingleTxtG"/>
      </w:pPr>
      <w:r>
        <w:t>6.</w:t>
      </w:r>
      <w:r>
        <w:tab/>
        <w:t xml:space="preserve">In this regard, when comparing </w:t>
      </w:r>
      <w:r w:rsidR="00294592">
        <w:t>modal</w:t>
      </w:r>
      <w:r>
        <w:t xml:space="preserve"> regulations </w:t>
      </w:r>
      <w:r w:rsidR="00294592">
        <w:t>(</w:t>
      </w:r>
      <w:r>
        <w:t xml:space="preserve">ADR, RID, and the </w:t>
      </w:r>
      <w:r w:rsidR="00A90596" w:rsidRPr="00A90596">
        <w:t>International Maritime Dangerous Goods (IMDG) Code</w:t>
      </w:r>
      <w:r>
        <w:t xml:space="preserve">, </w:t>
      </w:r>
      <w:proofErr w:type="gramStart"/>
      <w:r>
        <w:t>it is clear that boxes</w:t>
      </w:r>
      <w:proofErr w:type="gramEnd"/>
      <w:r>
        <w:t xml:space="preserve"> 4A, 4B, 4N, and 4H2 are specified in 4.1.3.4 of ADR and RID as not to be used for substances that may become liquid during transport. However, the IMDG Code, like the </w:t>
      </w:r>
      <w:r w:rsidRPr="00615C58">
        <w:rPr>
          <w:i/>
          <w:iCs/>
        </w:rPr>
        <w:t>Model Regulations</w:t>
      </w:r>
      <w:r>
        <w:t>, does not include boxes 4A, 4B, 4N, and 4H2 in 4.1.3.4.</w:t>
      </w:r>
    </w:p>
    <w:p w14:paraId="58DFFEDF" w14:textId="375966D2" w:rsidR="00CF7F92" w:rsidRDefault="00CF7F92" w:rsidP="00CF7F92">
      <w:pPr>
        <w:pStyle w:val="HChG"/>
      </w:pPr>
      <w:r>
        <w:lastRenderedPageBreak/>
        <w:tab/>
        <w:t>III.</w:t>
      </w:r>
      <w:r>
        <w:tab/>
        <w:t>Proposal</w:t>
      </w:r>
    </w:p>
    <w:p w14:paraId="24419AF6" w14:textId="75A3DFF0" w:rsidR="00CF7F92" w:rsidRDefault="00CF7F92" w:rsidP="00CF7F92">
      <w:pPr>
        <w:pStyle w:val="SingleTxtG"/>
      </w:pPr>
      <w:r>
        <w:t>7.</w:t>
      </w:r>
      <w:r>
        <w:tab/>
      </w:r>
      <w:r w:rsidR="000D4592">
        <w:t>T</w:t>
      </w:r>
      <w:r>
        <w:t xml:space="preserve">o prevent confusion and to promote </w:t>
      </w:r>
      <w:r w:rsidR="00FE6045">
        <w:t xml:space="preserve">a </w:t>
      </w:r>
      <w:r>
        <w:t>harmoni</w:t>
      </w:r>
      <w:r w:rsidR="00FE6045">
        <w:t>zed</w:t>
      </w:r>
      <w:r>
        <w:t xml:space="preserve"> application of multimodal transport regulations, </w:t>
      </w:r>
      <w:r w:rsidR="00325F9F">
        <w:t xml:space="preserve">the Republic of </w:t>
      </w:r>
      <w:r w:rsidR="00CC747F">
        <w:t>Korea</w:t>
      </w:r>
      <w:r>
        <w:t xml:space="preserve"> proposes amendments to paragraph 4.1.3.4 of the </w:t>
      </w:r>
      <w:r w:rsidRPr="00B6515D">
        <w:rPr>
          <w:i/>
          <w:iCs/>
        </w:rPr>
        <w:t>Model Regulations</w:t>
      </w:r>
      <w:r>
        <w:t xml:space="preserve"> as follows (</w:t>
      </w:r>
      <w:r w:rsidR="00B6515D">
        <w:t>n</w:t>
      </w:r>
      <w:r>
        <w:t xml:space="preserve">ew text </w:t>
      </w:r>
      <w:r w:rsidR="00325F9F">
        <w:t xml:space="preserve">is </w:t>
      </w:r>
      <w:r>
        <w:t xml:space="preserve">in </w:t>
      </w:r>
      <w:r w:rsidR="003D783D" w:rsidRPr="003D783D">
        <w:rPr>
          <w:b/>
          <w:bCs/>
          <w:u w:val="single"/>
        </w:rPr>
        <w:t xml:space="preserve">bold </w:t>
      </w:r>
      <w:r w:rsidRPr="003D783D">
        <w:rPr>
          <w:b/>
          <w:bCs/>
          <w:u w:val="single"/>
        </w:rPr>
        <w:t>underlined</w:t>
      </w:r>
      <w:r>
        <w:t>, deleted text i</w:t>
      </w:r>
      <w:r w:rsidR="00325F9F">
        <w:t>s</w:t>
      </w:r>
      <w:r>
        <w:t xml:space="preserve"> </w:t>
      </w:r>
      <w:r w:rsidR="00E912EC" w:rsidRPr="00325F9F">
        <w:t>s</w:t>
      </w:r>
      <w:r w:rsidRPr="00325F9F">
        <w:t>trikethrough</w:t>
      </w:r>
      <w:r>
        <w:t>):</w:t>
      </w:r>
    </w:p>
    <w:p w14:paraId="2EB49D74" w14:textId="73E0F554" w:rsidR="00CF7F92" w:rsidRDefault="00894CFC" w:rsidP="003D783D">
      <w:pPr>
        <w:pStyle w:val="SingleTxtG"/>
      </w:pPr>
      <w:r>
        <w:t>“</w:t>
      </w:r>
      <w:r w:rsidR="00CF7F92">
        <w:t>4.1.3.4</w:t>
      </w:r>
      <w:r w:rsidR="003D783D">
        <w:tab/>
      </w:r>
      <w:r w:rsidR="00CF7F92">
        <w:t xml:space="preserve">The following </w:t>
      </w:r>
      <w:proofErr w:type="spellStart"/>
      <w:r w:rsidR="00CF7F92">
        <w:t>packagings</w:t>
      </w:r>
      <w:proofErr w:type="spellEnd"/>
      <w:r w:rsidR="00CF7F92">
        <w:t xml:space="preserve"> shall not be used when the substances being transported are liable to become liquid during transport:</w:t>
      </w:r>
    </w:p>
    <w:p w14:paraId="62094102" w14:textId="18308E94" w:rsidR="00CF7F92" w:rsidRDefault="00CF7F92" w:rsidP="003D783D">
      <w:pPr>
        <w:pStyle w:val="SingleTxtG"/>
        <w:tabs>
          <w:tab w:val="clear" w:pos="2268"/>
          <w:tab w:val="clear" w:pos="2835"/>
        </w:tabs>
        <w:ind w:left="2268"/>
      </w:pPr>
      <w:proofErr w:type="spellStart"/>
      <w:r>
        <w:t>Packagings</w:t>
      </w:r>
      <w:proofErr w:type="spellEnd"/>
    </w:p>
    <w:p w14:paraId="180FC9B6" w14:textId="65F52902" w:rsidR="00CF7F92" w:rsidRDefault="00CF7F92" w:rsidP="003D783D">
      <w:pPr>
        <w:pStyle w:val="SingleTxtG"/>
        <w:tabs>
          <w:tab w:val="clear" w:pos="2268"/>
          <w:tab w:val="clear" w:pos="2835"/>
        </w:tabs>
        <w:ind w:left="5103" w:hanging="2268"/>
      </w:pPr>
      <w:r>
        <w:t>Drums:</w:t>
      </w:r>
      <w:r w:rsidR="003D783D">
        <w:tab/>
      </w:r>
      <w:r>
        <w:t xml:space="preserve">1D and 1G </w:t>
      </w:r>
    </w:p>
    <w:p w14:paraId="30BA18BF" w14:textId="0988863C" w:rsidR="00CF7F92" w:rsidRDefault="00CF7F92" w:rsidP="003D783D">
      <w:pPr>
        <w:pStyle w:val="SingleTxtG"/>
        <w:tabs>
          <w:tab w:val="clear" w:pos="2268"/>
          <w:tab w:val="clear" w:pos="2835"/>
        </w:tabs>
        <w:ind w:left="5103" w:hanging="2268"/>
      </w:pPr>
      <w:r>
        <w:t>Boxes:</w:t>
      </w:r>
      <w:r w:rsidR="003D783D">
        <w:tab/>
      </w:r>
      <w:r w:rsidRPr="00E912EC">
        <w:rPr>
          <w:b/>
          <w:bCs/>
          <w:u w:val="single"/>
        </w:rPr>
        <w:t>4A, 4B, 4N,</w:t>
      </w:r>
      <w:r>
        <w:t xml:space="preserve"> 4C1, 4C2, 4D, 4F, 4G, </w:t>
      </w:r>
      <w:r w:rsidRPr="00325F9F">
        <w:rPr>
          <w:strike/>
        </w:rPr>
        <w:t>and</w:t>
      </w:r>
      <w:r w:rsidRPr="00325F9F">
        <w:t xml:space="preserve"> </w:t>
      </w:r>
      <w:r>
        <w:t xml:space="preserve">4H1 </w:t>
      </w:r>
      <w:r w:rsidRPr="00894CFC">
        <w:rPr>
          <w:b/>
          <w:bCs/>
          <w:u w:val="single"/>
        </w:rPr>
        <w:t>and 4H2</w:t>
      </w:r>
      <w:r>
        <w:t xml:space="preserve"> </w:t>
      </w:r>
    </w:p>
    <w:p w14:paraId="6E5411C1" w14:textId="6C46A7A0" w:rsidR="00CF7F92" w:rsidRDefault="00CF7F92" w:rsidP="003D783D">
      <w:pPr>
        <w:pStyle w:val="SingleTxtG"/>
        <w:tabs>
          <w:tab w:val="clear" w:pos="2268"/>
          <w:tab w:val="clear" w:pos="2835"/>
        </w:tabs>
        <w:ind w:left="5103" w:hanging="2268"/>
      </w:pPr>
      <w:r>
        <w:t>Bags:</w:t>
      </w:r>
      <w:r w:rsidR="003D783D">
        <w:tab/>
      </w:r>
      <w:r>
        <w:t xml:space="preserve">5L1, 5L2, 5L3, 5H1, 5H2, 5H3, 5H4, 5M1 and 5M2 </w:t>
      </w:r>
    </w:p>
    <w:p w14:paraId="49C31C55" w14:textId="22550CE4" w:rsidR="00AF5DE1" w:rsidRDefault="00CF7F92" w:rsidP="003D783D">
      <w:pPr>
        <w:pStyle w:val="SingleTxtG"/>
        <w:tabs>
          <w:tab w:val="clear" w:pos="2268"/>
          <w:tab w:val="clear" w:pos="2835"/>
        </w:tabs>
        <w:ind w:left="5103" w:hanging="2268"/>
      </w:pPr>
      <w:r>
        <w:t xml:space="preserve">Composite </w:t>
      </w:r>
      <w:proofErr w:type="spellStart"/>
      <w:r>
        <w:t>packagings</w:t>
      </w:r>
      <w:proofErr w:type="spellEnd"/>
      <w:r>
        <w:t>:</w:t>
      </w:r>
      <w:r w:rsidR="003D783D">
        <w:tab/>
      </w:r>
      <w:r>
        <w:t>6HC, 6HD2, 6HG1, 6HG2, 6HD1, 6PC, 6PD1, 6PD2, 6PG1, 6PG2 and 6PH1</w:t>
      </w:r>
    </w:p>
    <w:p w14:paraId="620ED699" w14:textId="65CDB4E9" w:rsidR="00894CFC" w:rsidRDefault="00894CFC" w:rsidP="00894CFC">
      <w:pPr>
        <w:pStyle w:val="SingleTxtG"/>
        <w:tabs>
          <w:tab w:val="clear" w:pos="2268"/>
          <w:tab w:val="clear" w:pos="2835"/>
        </w:tabs>
        <w:ind w:left="2268"/>
      </w:pPr>
      <w:r>
        <w:t>…”</w:t>
      </w:r>
    </w:p>
    <w:p w14:paraId="01387EE2" w14:textId="6F685F4B" w:rsidR="00894CFC" w:rsidRPr="00894CFC" w:rsidRDefault="00894CFC" w:rsidP="00894CFC">
      <w:pPr>
        <w:spacing w:before="240"/>
        <w:jc w:val="center"/>
        <w:rPr>
          <w:u w:val="single"/>
        </w:rPr>
      </w:pPr>
      <w:r>
        <w:rPr>
          <w:u w:val="single"/>
        </w:rPr>
        <w:tab/>
      </w:r>
      <w:r>
        <w:rPr>
          <w:u w:val="single"/>
        </w:rPr>
        <w:tab/>
      </w:r>
      <w:r>
        <w:rPr>
          <w:u w:val="single"/>
        </w:rPr>
        <w:tab/>
      </w:r>
    </w:p>
    <w:sectPr w:rsidR="00894CFC" w:rsidRPr="00894CFC" w:rsidSect="00135307">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F0E7" w14:textId="77777777" w:rsidR="006E60EF" w:rsidRPr="00C47B2E" w:rsidRDefault="006E60EF" w:rsidP="00C47B2E">
      <w:pPr>
        <w:pStyle w:val="Footer"/>
      </w:pPr>
    </w:p>
  </w:endnote>
  <w:endnote w:type="continuationSeparator" w:id="0">
    <w:p w14:paraId="2C89A6D5" w14:textId="77777777" w:rsidR="006E60EF" w:rsidRPr="00C47B2E" w:rsidRDefault="006E60EF" w:rsidP="00C47B2E">
      <w:pPr>
        <w:pStyle w:val="Footer"/>
      </w:pPr>
    </w:p>
  </w:endnote>
  <w:endnote w:type="continuationNotice" w:id="1">
    <w:p w14:paraId="102FA8EB" w14:textId="77777777" w:rsidR="006E60EF" w:rsidRPr="00C47B2E" w:rsidRDefault="006E60E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9484" w14:textId="12AA9C2B" w:rsidR="00D94B05" w:rsidRPr="00135307" w:rsidRDefault="00135307" w:rsidP="00D85308">
    <w:pPr>
      <w:pStyle w:val="Footer"/>
      <w:tabs>
        <w:tab w:val="right" w:pos="9639"/>
      </w:tabs>
      <w:rPr>
        <w:sz w:val="18"/>
      </w:rPr>
    </w:pPr>
    <w:r w:rsidRPr="00135307">
      <w:rPr>
        <w:b/>
        <w:sz w:val="18"/>
      </w:rPr>
      <w:fldChar w:fldCharType="begin"/>
    </w:r>
    <w:r w:rsidRPr="00135307">
      <w:rPr>
        <w:b/>
        <w:sz w:val="18"/>
      </w:rPr>
      <w:instrText xml:space="preserve"> PAGE  \* MERGEFORMAT </w:instrText>
    </w:r>
    <w:r w:rsidRPr="00135307">
      <w:rPr>
        <w:b/>
        <w:sz w:val="18"/>
      </w:rPr>
      <w:fldChar w:fldCharType="separate"/>
    </w:r>
    <w:r w:rsidRPr="00135307">
      <w:rPr>
        <w:b/>
        <w:noProof/>
        <w:sz w:val="18"/>
      </w:rPr>
      <w:t>2</w:t>
    </w:r>
    <w:r w:rsidRPr="0013530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66B8" w14:textId="784FC4B9" w:rsidR="00D94B05" w:rsidRPr="00135307" w:rsidRDefault="00135307" w:rsidP="00D85308">
    <w:pPr>
      <w:pStyle w:val="Footer"/>
      <w:tabs>
        <w:tab w:val="right" w:pos="9639"/>
      </w:tabs>
      <w:rPr>
        <w:b/>
        <w:bCs/>
        <w:sz w:val="18"/>
      </w:rPr>
    </w:pPr>
    <w:r>
      <w:rPr>
        <w:bCs/>
        <w:sz w:val="18"/>
      </w:rPr>
      <w:tab/>
    </w:r>
    <w:r w:rsidRPr="00135307">
      <w:rPr>
        <w:b/>
        <w:bCs/>
        <w:sz w:val="18"/>
      </w:rPr>
      <w:fldChar w:fldCharType="begin"/>
    </w:r>
    <w:r w:rsidRPr="00135307">
      <w:rPr>
        <w:b/>
        <w:bCs/>
        <w:sz w:val="18"/>
      </w:rPr>
      <w:instrText xml:space="preserve"> PAGE  \* MERGEFORMAT </w:instrText>
    </w:r>
    <w:r w:rsidRPr="00135307">
      <w:rPr>
        <w:b/>
        <w:bCs/>
        <w:sz w:val="18"/>
      </w:rPr>
      <w:fldChar w:fldCharType="separate"/>
    </w:r>
    <w:r w:rsidRPr="00135307">
      <w:rPr>
        <w:b/>
        <w:bCs/>
        <w:noProof/>
        <w:sz w:val="18"/>
      </w:rPr>
      <w:t>3</w:t>
    </w:r>
    <w:r w:rsidRPr="0013530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6352" w14:textId="67B4E83B" w:rsidR="00014F1A" w:rsidRDefault="00014F1A" w:rsidP="00014F1A">
    <w:pPr>
      <w:pStyle w:val="Footer"/>
    </w:pPr>
    <w:r w:rsidRPr="0027112F">
      <w:rPr>
        <w:noProof/>
        <w:lang w:val="en-US"/>
      </w:rPr>
      <w:drawing>
        <wp:anchor distT="0" distB="0" distL="114300" distR="114300" simplePos="0" relativeHeight="251659264" behindDoc="0" locked="1" layoutInCell="1" allowOverlap="1" wp14:anchorId="223E026A" wp14:editId="3FEF745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B3202B5" w14:textId="5DAEB478" w:rsidR="00014F1A" w:rsidRPr="00014F1A" w:rsidRDefault="00014F1A" w:rsidP="00014F1A">
    <w:pPr>
      <w:pStyle w:val="Footer"/>
      <w:ind w:right="1134"/>
      <w:rPr>
        <w:sz w:val="20"/>
      </w:rPr>
    </w:pPr>
    <w:r>
      <w:rPr>
        <w:sz w:val="20"/>
      </w:rPr>
      <w:t>GE.24-</w:t>
    </w:r>
    <w:proofErr w:type="gramStart"/>
    <w:r>
      <w:rPr>
        <w:sz w:val="20"/>
      </w:rPr>
      <w:t>06714  (</w:t>
    </w:r>
    <w:proofErr w:type="gramEnd"/>
    <w:r>
      <w:rPr>
        <w:sz w:val="20"/>
      </w:rPr>
      <w:t>E)</w:t>
    </w:r>
    <w:r>
      <w:rPr>
        <w:noProof/>
        <w:sz w:val="20"/>
      </w:rPr>
      <w:drawing>
        <wp:anchor distT="0" distB="0" distL="114300" distR="114300" simplePos="0" relativeHeight="251660288" behindDoc="0" locked="0" layoutInCell="1" allowOverlap="1" wp14:anchorId="09A40DDC" wp14:editId="02F97C2C">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6BC78" w14:textId="77777777" w:rsidR="006E60EF" w:rsidRPr="00C47B2E" w:rsidRDefault="006E60EF" w:rsidP="00C47B2E">
      <w:pPr>
        <w:tabs>
          <w:tab w:val="right" w:pos="2155"/>
        </w:tabs>
        <w:spacing w:after="80" w:line="240" w:lineRule="auto"/>
        <w:ind w:left="680"/>
      </w:pPr>
      <w:r>
        <w:rPr>
          <w:u w:val="single"/>
        </w:rPr>
        <w:tab/>
      </w:r>
    </w:p>
  </w:footnote>
  <w:footnote w:type="continuationSeparator" w:id="0">
    <w:p w14:paraId="33674C9E" w14:textId="77777777" w:rsidR="006E60EF" w:rsidRPr="00C47B2E" w:rsidRDefault="006E60EF" w:rsidP="005E716E">
      <w:pPr>
        <w:tabs>
          <w:tab w:val="right" w:pos="2155"/>
        </w:tabs>
        <w:spacing w:after="80" w:line="240" w:lineRule="auto"/>
        <w:ind w:left="680"/>
      </w:pPr>
      <w:r>
        <w:rPr>
          <w:u w:val="single"/>
        </w:rPr>
        <w:tab/>
      </w:r>
    </w:p>
  </w:footnote>
  <w:footnote w:type="continuationNotice" w:id="1">
    <w:p w14:paraId="33CA2D4B" w14:textId="77777777" w:rsidR="006E60EF" w:rsidRPr="00C47B2E" w:rsidRDefault="006E60EF" w:rsidP="00C47B2E">
      <w:pPr>
        <w:pStyle w:val="Footer"/>
      </w:pPr>
    </w:p>
  </w:footnote>
  <w:footnote w:id="2">
    <w:p w14:paraId="27370875" w14:textId="177D969E" w:rsidR="00705410" w:rsidRPr="00705410" w:rsidRDefault="00705410">
      <w:pPr>
        <w:pStyle w:val="FootnoteText"/>
        <w:rPr>
          <w:lang w:val="fr-CH"/>
        </w:rPr>
      </w:pPr>
      <w:r>
        <w:rPr>
          <w:rStyle w:val="FootnoteReference"/>
        </w:rPr>
        <w:tab/>
      </w:r>
      <w:r w:rsidRPr="00705410">
        <w:rPr>
          <w:rStyle w:val="FootnoteReference"/>
          <w:sz w:val="20"/>
          <w:vertAlign w:val="baseline"/>
        </w:rPr>
        <w:t>*</w:t>
      </w:r>
      <w:r>
        <w:rPr>
          <w:rStyle w:val="FootnoteReference"/>
          <w:sz w:val="20"/>
          <w:vertAlign w:val="baseline"/>
        </w:rPr>
        <w:tab/>
      </w:r>
      <w:r>
        <w:t>A/78/6 (Sect. 20), table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7D54" w14:textId="0054B9DB" w:rsidR="00135307" w:rsidRPr="00135307" w:rsidRDefault="00014F1A">
    <w:pPr>
      <w:pStyle w:val="Header"/>
    </w:pPr>
    <w:r>
      <w:fldChar w:fldCharType="begin"/>
    </w:r>
    <w:r>
      <w:instrText xml:space="preserve"> TITLE  \* MERGEFORMAT </w:instrText>
    </w:r>
    <w:r>
      <w:fldChar w:fldCharType="separate"/>
    </w:r>
    <w:r w:rsidR="00135307">
      <w:t>ST/SG/AC.10/C.3/2024/43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731B" w14:textId="633D9C28" w:rsidR="00D94B05" w:rsidRPr="00135307" w:rsidRDefault="00014F1A" w:rsidP="00135307">
    <w:pPr>
      <w:pStyle w:val="Header"/>
      <w:jc w:val="right"/>
    </w:pPr>
    <w:r>
      <w:fldChar w:fldCharType="begin"/>
    </w:r>
    <w:r>
      <w:instrText xml:space="preserve"> TITLE  \* MERGEFORMAT </w:instrText>
    </w:r>
    <w:r>
      <w:fldChar w:fldCharType="separate"/>
    </w:r>
    <w:r w:rsidR="00135307">
      <w:t>ST/SG/AC.10/C.3/2024/43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5"/>
  </w:num>
  <w:num w:numId="2" w16cid:durableId="1073159890">
    <w:abstractNumId w:val="4"/>
  </w:num>
  <w:num w:numId="3" w16cid:durableId="551188904">
    <w:abstractNumId w:val="0"/>
  </w:num>
  <w:num w:numId="4" w16cid:durableId="44254624">
    <w:abstractNumId w:val="6"/>
  </w:num>
  <w:num w:numId="5" w16cid:durableId="1816027029">
    <w:abstractNumId w:val="7"/>
  </w:num>
  <w:num w:numId="6" w16cid:durableId="1836190579">
    <w:abstractNumId w:val="9"/>
  </w:num>
  <w:num w:numId="7" w16cid:durableId="634676252">
    <w:abstractNumId w:val="3"/>
  </w:num>
  <w:num w:numId="8" w16cid:durableId="1039166836">
    <w:abstractNumId w:val="1"/>
  </w:num>
  <w:num w:numId="9" w16cid:durableId="644969981">
    <w:abstractNumId w:val="8"/>
  </w:num>
  <w:num w:numId="10" w16cid:durableId="525103391">
    <w:abstractNumId w:val="1"/>
  </w:num>
  <w:num w:numId="11" w16cid:durableId="297342166">
    <w:abstractNumId w:val="8"/>
  </w:num>
  <w:num w:numId="12" w16cid:durableId="1280380300">
    <w:abstractNumId w:val="2"/>
  </w:num>
  <w:num w:numId="13" w16cid:durableId="1988699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07"/>
    <w:rsid w:val="00014F1A"/>
    <w:rsid w:val="00046E92"/>
    <w:rsid w:val="0005096D"/>
    <w:rsid w:val="000513F8"/>
    <w:rsid w:val="00063C90"/>
    <w:rsid w:val="00070000"/>
    <w:rsid w:val="000D4592"/>
    <w:rsid w:val="000F1B98"/>
    <w:rsid w:val="00100707"/>
    <w:rsid w:val="00101B98"/>
    <w:rsid w:val="00126837"/>
    <w:rsid w:val="00135307"/>
    <w:rsid w:val="001514D1"/>
    <w:rsid w:val="001573E0"/>
    <w:rsid w:val="00174593"/>
    <w:rsid w:val="001B4642"/>
    <w:rsid w:val="00247E2C"/>
    <w:rsid w:val="00294592"/>
    <w:rsid w:val="002A32CB"/>
    <w:rsid w:val="002D5B2C"/>
    <w:rsid w:val="002D6C53"/>
    <w:rsid w:val="002D7B68"/>
    <w:rsid w:val="002F5595"/>
    <w:rsid w:val="0032241C"/>
    <w:rsid w:val="00325F9F"/>
    <w:rsid w:val="00334F6A"/>
    <w:rsid w:val="00342AC8"/>
    <w:rsid w:val="00343302"/>
    <w:rsid w:val="0037561D"/>
    <w:rsid w:val="003979DE"/>
    <w:rsid w:val="003B1248"/>
    <w:rsid w:val="003B4550"/>
    <w:rsid w:val="003D2A18"/>
    <w:rsid w:val="003D783D"/>
    <w:rsid w:val="003E1724"/>
    <w:rsid w:val="003F4EEB"/>
    <w:rsid w:val="00413386"/>
    <w:rsid w:val="00421763"/>
    <w:rsid w:val="00461253"/>
    <w:rsid w:val="004858F5"/>
    <w:rsid w:val="00492680"/>
    <w:rsid w:val="004A2814"/>
    <w:rsid w:val="004C0622"/>
    <w:rsid w:val="004F73D0"/>
    <w:rsid w:val="005042C2"/>
    <w:rsid w:val="005A23D5"/>
    <w:rsid w:val="005D24ED"/>
    <w:rsid w:val="005E4A8D"/>
    <w:rsid w:val="005E716E"/>
    <w:rsid w:val="005F5239"/>
    <w:rsid w:val="00615C58"/>
    <w:rsid w:val="0062020E"/>
    <w:rsid w:val="006476E1"/>
    <w:rsid w:val="006604DF"/>
    <w:rsid w:val="00671529"/>
    <w:rsid w:val="006D1282"/>
    <w:rsid w:val="006E09B6"/>
    <w:rsid w:val="006E60EF"/>
    <w:rsid w:val="006F1EF5"/>
    <w:rsid w:val="0070489D"/>
    <w:rsid w:val="00705410"/>
    <w:rsid w:val="007200A1"/>
    <w:rsid w:val="007268F9"/>
    <w:rsid w:val="00750282"/>
    <w:rsid w:val="00764440"/>
    <w:rsid w:val="0077101B"/>
    <w:rsid w:val="007C52B0"/>
    <w:rsid w:val="007C6033"/>
    <w:rsid w:val="0081132E"/>
    <w:rsid w:val="008147C8"/>
    <w:rsid w:val="0081753A"/>
    <w:rsid w:val="008451E7"/>
    <w:rsid w:val="00856CB1"/>
    <w:rsid w:val="00857D23"/>
    <w:rsid w:val="00894CFC"/>
    <w:rsid w:val="00907025"/>
    <w:rsid w:val="009411B4"/>
    <w:rsid w:val="00946F1D"/>
    <w:rsid w:val="009A0A7F"/>
    <w:rsid w:val="009A4FFD"/>
    <w:rsid w:val="009D0139"/>
    <w:rsid w:val="009D717D"/>
    <w:rsid w:val="009F5CDC"/>
    <w:rsid w:val="009F708F"/>
    <w:rsid w:val="00A072D7"/>
    <w:rsid w:val="00A775CF"/>
    <w:rsid w:val="00A90596"/>
    <w:rsid w:val="00AD1A9C"/>
    <w:rsid w:val="00AF522F"/>
    <w:rsid w:val="00AF5DE1"/>
    <w:rsid w:val="00B06045"/>
    <w:rsid w:val="00B206DD"/>
    <w:rsid w:val="00B234FD"/>
    <w:rsid w:val="00B52EF4"/>
    <w:rsid w:val="00B6515D"/>
    <w:rsid w:val="00B777AD"/>
    <w:rsid w:val="00B95F31"/>
    <w:rsid w:val="00BD25B6"/>
    <w:rsid w:val="00C03015"/>
    <w:rsid w:val="00C0358D"/>
    <w:rsid w:val="00C20D3A"/>
    <w:rsid w:val="00C35A27"/>
    <w:rsid w:val="00C47B2E"/>
    <w:rsid w:val="00C9739A"/>
    <w:rsid w:val="00CC747F"/>
    <w:rsid w:val="00CF1C7E"/>
    <w:rsid w:val="00CF7F92"/>
    <w:rsid w:val="00D22CE6"/>
    <w:rsid w:val="00D2602F"/>
    <w:rsid w:val="00D63CD2"/>
    <w:rsid w:val="00D674F9"/>
    <w:rsid w:val="00D85308"/>
    <w:rsid w:val="00D87DC2"/>
    <w:rsid w:val="00D93887"/>
    <w:rsid w:val="00D94B05"/>
    <w:rsid w:val="00DC7379"/>
    <w:rsid w:val="00E02C2B"/>
    <w:rsid w:val="00E21C27"/>
    <w:rsid w:val="00E26BCF"/>
    <w:rsid w:val="00E52109"/>
    <w:rsid w:val="00E75317"/>
    <w:rsid w:val="00E912EC"/>
    <w:rsid w:val="00EC0CE6"/>
    <w:rsid w:val="00EC7C1D"/>
    <w:rsid w:val="00ED6C48"/>
    <w:rsid w:val="00EE3045"/>
    <w:rsid w:val="00F12EC4"/>
    <w:rsid w:val="00F26186"/>
    <w:rsid w:val="00F65F5D"/>
    <w:rsid w:val="00F86A3A"/>
    <w:rsid w:val="00FA073F"/>
    <w:rsid w:val="00FA42DA"/>
    <w:rsid w:val="00FD1589"/>
    <w:rsid w:val="00FE2AC5"/>
    <w:rsid w:val="00FE604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ED23F"/>
  <w15:docId w15:val="{F7E8AD48-4560-49BD-91F8-7B2B858A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81132E"/>
    <w:rPr>
      <w:b/>
      <w:sz w:val="28"/>
    </w:rPr>
  </w:style>
  <w:style w:type="character" w:customStyle="1" w:styleId="H1GChar">
    <w:name w:val="_ H_1_G Char"/>
    <w:link w:val="H1G"/>
    <w:locked/>
    <w:rsid w:val="0081132E"/>
    <w:rPr>
      <w:b/>
      <w:sz w:val="24"/>
    </w:rPr>
  </w:style>
  <w:style w:type="paragraph" w:customStyle="1" w:styleId="OBtxt">
    <w:name w:val="OB_txt"/>
    <w:basedOn w:val="Normal"/>
    <w:link w:val="OBtxtChar"/>
    <w:qFormat/>
    <w:rsid w:val="00D674F9"/>
    <w:pPr>
      <w:tabs>
        <w:tab w:val="left" w:pos="1418"/>
      </w:tabs>
      <w:spacing w:after="220" w:line="240" w:lineRule="auto"/>
      <w:jc w:val="both"/>
    </w:pPr>
    <w:rPr>
      <w:rFonts w:eastAsia="Times New Roman"/>
      <w:snapToGrid w:val="0"/>
      <w:sz w:val="22"/>
      <w:lang w:val="en-US" w:eastAsia="en-US"/>
    </w:rPr>
  </w:style>
  <w:style w:type="character" w:customStyle="1" w:styleId="OBtxtChar">
    <w:name w:val="OB_txt Char"/>
    <w:basedOn w:val="DefaultParagraphFont"/>
    <w:link w:val="OBtxt"/>
    <w:rsid w:val="00D674F9"/>
    <w:rPr>
      <w:rFonts w:eastAsia="Times New Roman"/>
      <w:snapToGrid w:val="0"/>
      <w:sz w:val="22"/>
      <w:lang w:val="en-US" w:eastAsia="en-US"/>
    </w:rPr>
  </w:style>
  <w:style w:type="paragraph" w:customStyle="1" w:styleId="Pheader">
    <w:name w:val="P_header"/>
    <w:basedOn w:val="Pnormal"/>
    <w:link w:val="PheaderChar"/>
    <w:qFormat/>
    <w:rsid w:val="00100707"/>
    <w:pPr>
      <w:keepNext/>
      <w:keepLines/>
      <w:tabs>
        <w:tab w:val="center" w:pos="4820"/>
        <w:tab w:val="right" w:pos="9639"/>
      </w:tabs>
    </w:pPr>
    <w:rPr>
      <w:b/>
      <w:bCs/>
    </w:rPr>
  </w:style>
  <w:style w:type="paragraph" w:customStyle="1" w:styleId="Pnormal">
    <w:name w:val="P_normal"/>
    <w:basedOn w:val="Normal"/>
    <w:link w:val="PnormalChar"/>
    <w:qFormat/>
    <w:rsid w:val="00100707"/>
    <w:pPr>
      <w:spacing w:before="80" w:after="80" w:line="240" w:lineRule="auto"/>
      <w:jc w:val="both"/>
    </w:pPr>
    <w:rPr>
      <w:rFonts w:eastAsia="Times New Roman"/>
      <w:lang w:eastAsia="en-US"/>
    </w:rPr>
  </w:style>
  <w:style w:type="character" w:customStyle="1" w:styleId="PheaderChar">
    <w:name w:val="P_header Char"/>
    <w:basedOn w:val="DefaultParagraphFont"/>
    <w:link w:val="Pheader"/>
    <w:rsid w:val="00100707"/>
    <w:rPr>
      <w:rFonts w:eastAsia="Times New Roman"/>
      <w:b/>
      <w:bCs/>
      <w:lang w:eastAsia="en-US"/>
    </w:rPr>
  </w:style>
  <w:style w:type="character" w:customStyle="1" w:styleId="PnormalChar">
    <w:name w:val="P_normal Char"/>
    <w:basedOn w:val="DefaultParagraphFont"/>
    <w:link w:val="Pnormal"/>
    <w:rsid w:val="00100707"/>
    <w:rPr>
      <w:rFonts w:eastAsia="Times New Roman"/>
      <w:lang w:eastAsia="en-US"/>
    </w:rPr>
  </w:style>
  <w:style w:type="paragraph" w:customStyle="1" w:styleId="Ph08">
    <w:name w:val="P_h0.8"/>
    <w:basedOn w:val="Pnormal"/>
    <w:link w:val="Ph08Char"/>
    <w:qFormat/>
    <w:rsid w:val="00100707"/>
    <w:pPr>
      <w:ind w:left="454" w:hanging="454"/>
    </w:pPr>
  </w:style>
  <w:style w:type="character" w:customStyle="1" w:styleId="Ph08Char">
    <w:name w:val="P_h0.8 Char"/>
    <w:basedOn w:val="PnormalChar"/>
    <w:link w:val="Ph08"/>
    <w:rsid w:val="00100707"/>
    <w:rPr>
      <w:rFonts w:eastAsia="Times New Roman"/>
      <w:lang w:eastAsia="en-US"/>
    </w:rPr>
  </w:style>
  <w:style w:type="paragraph" w:customStyle="1" w:styleId="Pb04h02ud2">
    <w:name w:val="P_b0.4_h0.2_ud2"/>
    <w:basedOn w:val="Pud2"/>
    <w:link w:val="Pb04h02ud2Char"/>
    <w:qFormat/>
    <w:rsid w:val="00100707"/>
    <w:pPr>
      <w:ind w:left="340" w:hanging="113"/>
      <w:jc w:val="left"/>
    </w:pPr>
  </w:style>
  <w:style w:type="character" w:customStyle="1" w:styleId="Pb04h02ud2Char">
    <w:name w:val="P_b0.4_h0.2_ud2 Char"/>
    <w:basedOn w:val="DefaultParagraphFont"/>
    <w:link w:val="Pb04h02ud2"/>
    <w:rsid w:val="00100707"/>
    <w:rPr>
      <w:rFonts w:eastAsia="Times New Roman"/>
      <w:lang w:eastAsia="en-US"/>
    </w:rPr>
  </w:style>
  <w:style w:type="paragraph" w:customStyle="1" w:styleId="Pu4d2">
    <w:name w:val="P_u4_d2"/>
    <w:basedOn w:val="Pnormal"/>
    <w:link w:val="Pu4d2Char"/>
    <w:qFormat/>
    <w:rsid w:val="00100707"/>
    <w:pPr>
      <w:spacing w:after="40"/>
    </w:pPr>
  </w:style>
  <w:style w:type="paragraph" w:customStyle="1" w:styleId="Pud2">
    <w:name w:val="P_ud2"/>
    <w:basedOn w:val="Pnormal"/>
    <w:link w:val="Pud2Char"/>
    <w:qFormat/>
    <w:rsid w:val="00100707"/>
    <w:pPr>
      <w:spacing w:before="40" w:after="40"/>
    </w:pPr>
  </w:style>
  <w:style w:type="character" w:customStyle="1" w:styleId="Pu4d2Char">
    <w:name w:val="P_u4_d2 Char"/>
    <w:basedOn w:val="PnormalChar"/>
    <w:link w:val="Pu4d2"/>
    <w:rsid w:val="00100707"/>
    <w:rPr>
      <w:rFonts w:eastAsia="Times New Roman"/>
      <w:lang w:eastAsia="en-US"/>
    </w:rPr>
  </w:style>
  <w:style w:type="character" w:customStyle="1" w:styleId="Pud2Char">
    <w:name w:val="P_ud2 Char"/>
    <w:basedOn w:val="PnormalChar"/>
    <w:link w:val="Pud2"/>
    <w:rsid w:val="00100707"/>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91579247">
      <w:bodyDiv w:val="1"/>
      <w:marLeft w:val="0"/>
      <w:marRight w:val="0"/>
      <w:marTop w:val="0"/>
      <w:marBottom w:val="0"/>
      <w:divBdr>
        <w:top w:val="none" w:sz="0" w:space="0" w:color="auto"/>
        <w:left w:val="none" w:sz="0" w:space="0" w:color="auto"/>
        <w:bottom w:val="none" w:sz="0" w:space="0" w:color="auto"/>
        <w:right w:val="none" w:sz="0" w:space="0" w:color="auto"/>
      </w:divBdr>
    </w:div>
    <w:div w:id="20136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erran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2.xml><?xml version="1.0" encoding="utf-8"?>
<ds:datastoreItem xmlns:ds="http://schemas.openxmlformats.org/officeDocument/2006/customXml" ds:itemID="{DFA3463F-277A-4EC7-818E-98BAA852F399}"/>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3</Pages>
  <Words>691</Words>
  <Characters>3588</Characters>
  <Application>Microsoft Office Word</Application>
  <DocSecurity>0</DocSecurity>
  <Lines>134</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ST/SG/AC.10/C.3/2024/43</dc:title>
  <dc:subject>2406714</dc:subject>
  <dc:creator>Editorial</dc:creator>
  <cp:keywords/>
  <dc:description/>
  <cp:lastModifiedBy>Pauline Anne Escalante</cp:lastModifiedBy>
  <cp:revision>2</cp:revision>
  <dcterms:created xsi:type="dcterms:W3CDTF">2024-04-12T14:33:00Z</dcterms:created>
  <dcterms:modified xsi:type="dcterms:W3CDTF">2024-04-12T14:33:00Z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