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9806F0F" w14:textId="77777777" w:rsidTr="00F01738">
        <w:trPr>
          <w:trHeight w:hRule="exact" w:val="851"/>
        </w:trPr>
        <w:tc>
          <w:tcPr>
            <w:tcW w:w="1276" w:type="dxa"/>
            <w:tcBorders>
              <w:bottom w:val="single" w:sz="4" w:space="0" w:color="auto"/>
            </w:tcBorders>
          </w:tcPr>
          <w:p w14:paraId="4AEA3467" w14:textId="77777777" w:rsidR="00132EA9" w:rsidRPr="00DB58B5" w:rsidRDefault="00132EA9" w:rsidP="00070343"/>
        </w:tc>
        <w:tc>
          <w:tcPr>
            <w:tcW w:w="2268" w:type="dxa"/>
            <w:tcBorders>
              <w:bottom w:val="single" w:sz="4" w:space="0" w:color="auto"/>
            </w:tcBorders>
            <w:vAlign w:val="bottom"/>
          </w:tcPr>
          <w:p w14:paraId="15E93CC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CD13E1" w14:textId="7E4EE04A" w:rsidR="00132EA9" w:rsidRPr="00DB58B5" w:rsidRDefault="00070343" w:rsidP="00070343">
            <w:pPr>
              <w:jc w:val="right"/>
            </w:pPr>
            <w:r w:rsidRPr="00070343">
              <w:rPr>
                <w:sz w:val="40"/>
              </w:rPr>
              <w:t>ST</w:t>
            </w:r>
            <w:r>
              <w:t>/SG/AC.10/C.3/2024/43</w:t>
            </w:r>
          </w:p>
        </w:tc>
      </w:tr>
      <w:tr w:rsidR="00132EA9" w:rsidRPr="00DB58B5" w14:paraId="65753367" w14:textId="77777777" w:rsidTr="00F01738">
        <w:trPr>
          <w:trHeight w:hRule="exact" w:val="2835"/>
        </w:trPr>
        <w:tc>
          <w:tcPr>
            <w:tcW w:w="1276" w:type="dxa"/>
            <w:tcBorders>
              <w:top w:val="single" w:sz="4" w:space="0" w:color="auto"/>
              <w:bottom w:val="single" w:sz="12" w:space="0" w:color="auto"/>
            </w:tcBorders>
          </w:tcPr>
          <w:p w14:paraId="7F3187DC" w14:textId="77777777" w:rsidR="00132EA9" w:rsidRPr="00DB58B5" w:rsidRDefault="00132EA9" w:rsidP="00F01738">
            <w:pPr>
              <w:spacing w:before="120"/>
              <w:jc w:val="center"/>
            </w:pPr>
            <w:r>
              <w:rPr>
                <w:noProof/>
                <w:lang w:eastAsia="fr-CH"/>
              </w:rPr>
              <w:drawing>
                <wp:inline distT="0" distB="0" distL="0" distR="0" wp14:anchorId="678E1B3A" wp14:editId="51B776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35F4F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E5BDAF0" w14:textId="77777777" w:rsidR="00132EA9" w:rsidRDefault="00070343" w:rsidP="00F01738">
            <w:pPr>
              <w:spacing w:before="240"/>
            </w:pPr>
            <w:r>
              <w:t>Distr. générale</w:t>
            </w:r>
          </w:p>
          <w:p w14:paraId="65676196" w14:textId="77777777" w:rsidR="00070343" w:rsidRDefault="00070343" w:rsidP="00070343">
            <w:pPr>
              <w:spacing w:line="240" w:lineRule="exact"/>
            </w:pPr>
            <w:r>
              <w:t>12 avril 2024</w:t>
            </w:r>
          </w:p>
          <w:p w14:paraId="5075365E" w14:textId="77777777" w:rsidR="00070343" w:rsidRDefault="00070343" w:rsidP="00070343">
            <w:pPr>
              <w:spacing w:line="240" w:lineRule="exact"/>
            </w:pPr>
            <w:r>
              <w:t>Français</w:t>
            </w:r>
          </w:p>
          <w:p w14:paraId="73036CE3" w14:textId="74BF3908" w:rsidR="00070343" w:rsidRPr="00DB58B5" w:rsidRDefault="00070343" w:rsidP="00070343">
            <w:pPr>
              <w:spacing w:line="240" w:lineRule="exact"/>
            </w:pPr>
            <w:r>
              <w:t>Original : anglais</w:t>
            </w:r>
          </w:p>
        </w:tc>
      </w:tr>
    </w:tbl>
    <w:p w14:paraId="3CEC4D4A" w14:textId="59893A0A" w:rsidR="00070343" w:rsidRPr="008B3730" w:rsidRDefault="00070343" w:rsidP="00070343">
      <w:pPr>
        <w:spacing w:before="120"/>
        <w:rPr>
          <w:b/>
          <w:bCs/>
          <w:sz w:val="32"/>
          <w:szCs w:val="32"/>
        </w:rPr>
      </w:pPr>
      <w:r w:rsidRPr="008B3730">
        <w:rPr>
          <w:b/>
          <w:bCs/>
          <w:sz w:val="24"/>
          <w:szCs w:val="24"/>
          <w:lang w:val="fr-FR"/>
        </w:rPr>
        <w:t xml:space="preserve">Comité d’experts du transport des marchandises dangereuses </w:t>
      </w:r>
      <w:r w:rsidR="008B3730">
        <w:rPr>
          <w:b/>
          <w:bCs/>
          <w:sz w:val="24"/>
          <w:szCs w:val="24"/>
          <w:lang w:val="fr-FR"/>
        </w:rPr>
        <w:br/>
      </w:r>
      <w:r w:rsidRPr="008B3730">
        <w:rPr>
          <w:b/>
          <w:bCs/>
          <w:sz w:val="24"/>
          <w:szCs w:val="24"/>
          <w:lang w:val="fr-FR"/>
        </w:rPr>
        <w:t xml:space="preserve">et du Système général harmonisé de classification </w:t>
      </w:r>
      <w:r w:rsidR="008B3730">
        <w:rPr>
          <w:b/>
          <w:bCs/>
          <w:sz w:val="24"/>
          <w:szCs w:val="24"/>
          <w:lang w:val="fr-FR"/>
        </w:rPr>
        <w:br/>
      </w:r>
      <w:r w:rsidRPr="008B3730">
        <w:rPr>
          <w:b/>
          <w:bCs/>
          <w:sz w:val="24"/>
          <w:szCs w:val="24"/>
          <w:lang w:val="fr-FR"/>
        </w:rPr>
        <w:t>et d’étiquetage des produits chimiques</w:t>
      </w:r>
    </w:p>
    <w:p w14:paraId="505DD9FC" w14:textId="77777777" w:rsidR="00070343" w:rsidRPr="008B3730" w:rsidRDefault="00070343" w:rsidP="00070343">
      <w:pPr>
        <w:spacing w:before="120"/>
        <w:rPr>
          <w:rFonts w:ascii="Helv" w:hAnsi="Helv" w:cs="Helv"/>
          <w:b/>
          <w:color w:val="000000"/>
        </w:rPr>
      </w:pPr>
      <w:r w:rsidRPr="008B3730">
        <w:rPr>
          <w:b/>
          <w:bCs/>
          <w:lang w:val="fr-FR"/>
        </w:rPr>
        <w:t>Sous-Comité d’experts du transport des marchandises dangereuses</w:t>
      </w:r>
    </w:p>
    <w:p w14:paraId="3B808B0A" w14:textId="77777777" w:rsidR="00070343" w:rsidRPr="008B3730" w:rsidRDefault="00070343" w:rsidP="00070343">
      <w:pPr>
        <w:spacing w:before="120"/>
        <w:rPr>
          <w:b/>
        </w:rPr>
      </w:pPr>
      <w:r w:rsidRPr="008B3730">
        <w:rPr>
          <w:b/>
          <w:bCs/>
          <w:lang w:val="fr-FR"/>
        </w:rPr>
        <w:t>Soixante-quatrième session</w:t>
      </w:r>
    </w:p>
    <w:p w14:paraId="4D62C717" w14:textId="77777777" w:rsidR="00070343" w:rsidRPr="008B3730" w:rsidRDefault="00070343" w:rsidP="00070343">
      <w:r w:rsidRPr="008B3730">
        <w:rPr>
          <w:lang w:val="fr-FR"/>
        </w:rPr>
        <w:t>Genève, 24 juin-3 juillet 2024</w:t>
      </w:r>
    </w:p>
    <w:p w14:paraId="617C89A1" w14:textId="77777777" w:rsidR="00070343" w:rsidRPr="008B3730" w:rsidRDefault="00070343" w:rsidP="00070343">
      <w:r w:rsidRPr="008B3730">
        <w:rPr>
          <w:lang w:val="fr-FR"/>
        </w:rPr>
        <w:t>Point 6 d) de l’ordre du jour provisoire</w:t>
      </w:r>
    </w:p>
    <w:p w14:paraId="01B8E23F" w14:textId="1D8B63D5" w:rsidR="00070343" w:rsidRPr="008B3730" w:rsidRDefault="00070343" w:rsidP="00070343">
      <w:pPr>
        <w:rPr>
          <w:b/>
          <w:bCs/>
        </w:rPr>
      </w:pPr>
      <w:r w:rsidRPr="008B3730">
        <w:rPr>
          <w:b/>
          <w:bCs/>
          <w:lang w:val="fr-FR"/>
        </w:rPr>
        <w:t xml:space="preserve">Propositions diverses d’amendements au Règlement type </w:t>
      </w:r>
      <w:r w:rsidR="008B3730">
        <w:rPr>
          <w:b/>
          <w:bCs/>
          <w:lang w:val="fr-FR"/>
        </w:rPr>
        <w:br/>
      </w:r>
      <w:r w:rsidRPr="008B3730">
        <w:rPr>
          <w:b/>
          <w:bCs/>
          <w:lang w:val="fr-FR"/>
        </w:rPr>
        <w:t>pour le transport des marchandises dangereuses</w:t>
      </w:r>
      <w:r w:rsidR="008B3730">
        <w:rPr>
          <w:b/>
          <w:bCs/>
          <w:lang w:val="fr-FR"/>
        </w:rPr>
        <w:t> </w:t>
      </w:r>
      <w:r w:rsidRPr="008B3730">
        <w:rPr>
          <w:b/>
          <w:bCs/>
          <w:lang w:val="fr-FR"/>
        </w:rPr>
        <w:t>:</w:t>
      </w:r>
    </w:p>
    <w:p w14:paraId="2CCC4EEC" w14:textId="77777777" w:rsidR="00070343" w:rsidRPr="008B3730" w:rsidRDefault="00070343" w:rsidP="00070343">
      <w:pPr>
        <w:rPr>
          <w:b/>
          <w:bCs/>
        </w:rPr>
      </w:pPr>
      <w:r w:rsidRPr="008B3730">
        <w:rPr>
          <w:b/>
          <w:bCs/>
          <w:lang w:val="fr-FR"/>
        </w:rPr>
        <w:t>Autres propositions diverses</w:t>
      </w:r>
    </w:p>
    <w:p w14:paraId="34FC8AE1" w14:textId="2B147DD6" w:rsidR="00070343" w:rsidRPr="004009E1" w:rsidRDefault="00070343" w:rsidP="008B3730">
      <w:pPr>
        <w:pStyle w:val="HChG"/>
      </w:pPr>
      <w:r>
        <w:rPr>
          <w:lang w:val="fr-FR"/>
        </w:rPr>
        <w:tab/>
      </w:r>
      <w:r>
        <w:rPr>
          <w:lang w:val="fr-FR"/>
        </w:rPr>
        <w:tab/>
        <w:t xml:space="preserve">Amendement au 4.1.3.4 du Règlement type : </w:t>
      </w:r>
      <w:r w:rsidR="008B3730">
        <w:rPr>
          <w:lang w:val="fr-FR"/>
        </w:rPr>
        <w:br/>
      </w:r>
      <w:r>
        <w:rPr>
          <w:lang w:val="fr-FR"/>
        </w:rPr>
        <w:t xml:space="preserve">emballages interdits pour les matières susceptibles </w:t>
      </w:r>
      <w:r w:rsidR="008B3730">
        <w:rPr>
          <w:lang w:val="fr-FR"/>
        </w:rPr>
        <w:br/>
      </w:r>
      <w:r>
        <w:rPr>
          <w:lang w:val="fr-FR"/>
        </w:rPr>
        <w:t>de se liquéfier au cours du transport</w:t>
      </w:r>
    </w:p>
    <w:p w14:paraId="5768ADBB" w14:textId="77777777" w:rsidR="00070343" w:rsidRPr="004009E1" w:rsidRDefault="00070343" w:rsidP="008B3730">
      <w:pPr>
        <w:pStyle w:val="H1G"/>
      </w:pPr>
      <w:bookmarkStart w:id="0" w:name="_Hlk531350542"/>
      <w:r>
        <w:rPr>
          <w:lang w:val="fr-FR"/>
        </w:rPr>
        <w:tab/>
      </w:r>
      <w:r>
        <w:rPr>
          <w:lang w:val="fr-FR"/>
        </w:rPr>
        <w:tab/>
        <w:t>Communication de l’expert de la République de Corée</w:t>
      </w:r>
      <w:r w:rsidRPr="008B3730">
        <w:rPr>
          <w:rStyle w:val="Appelnotedebasdep"/>
          <w:b w:val="0"/>
          <w:bCs/>
          <w:sz w:val="20"/>
          <w:vertAlign w:val="baseline"/>
          <w:lang w:val="fr-FR"/>
        </w:rPr>
        <w:footnoteReference w:customMarkFollows="1" w:id="2"/>
        <w:t>*</w:t>
      </w:r>
      <w:bookmarkEnd w:id="0"/>
    </w:p>
    <w:p w14:paraId="65DDD086" w14:textId="1ACFC94C" w:rsidR="00070343" w:rsidRPr="004009E1" w:rsidRDefault="008B3730" w:rsidP="008B3730">
      <w:pPr>
        <w:pStyle w:val="HChG"/>
      </w:pPr>
      <w:r>
        <w:rPr>
          <w:lang w:val="fr-FR"/>
        </w:rPr>
        <w:tab/>
      </w:r>
      <w:r w:rsidR="00070343">
        <w:rPr>
          <w:lang w:val="fr-FR"/>
        </w:rPr>
        <w:t>I.</w:t>
      </w:r>
      <w:r w:rsidR="00070343">
        <w:rPr>
          <w:lang w:val="fr-FR"/>
        </w:rPr>
        <w:tab/>
        <w:t>Introduction</w:t>
      </w:r>
    </w:p>
    <w:p w14:paraId="09958C9C" w14:textId="77777777" w:rsidR="00070343" w:rsidRPr="008B3730" w:rsidRDefault="00070343" w:rsidP="008B3730">
      <w:pPr>
        <w:pStyle w:val="SingleTxtG"/>
      </w:pPr>
      <w:r w:rsidRPr="008B3730">
        <w:t>1.</w:t>
      </w:r>
      <w:r w:rsidRPr="008B3730">
        <w:tab/>
        <w:t>L’instruction d’emballage P002 du 4.1.4.1 et le 4.1.3.4 du Règlement type précisent quels emballages ne doivent pas être utilisés pour des matières solides susceptibles de se liquéfier au cours du transport. Toutefois, ces dispositions présentent une incohérence qui peut être source de confusion pour les expéditeurs lorsqu’ils appliquent la réglementation.</w:t>
      </w:r>
    </w:p>
    <w:p w14:paraId="493FEDAD" w14:textId="77777777" w:rsidR="00070343" w:rsidRPr="008B3730" w:rsidRDefault="00070343" w:rsidP="008B3730">
      <w:pPr>
        <w:pStyle w:val="SingleTxtG"/>
      </w:pPr>
      <w:r w:rsidRPr="008B3730">
        <w:t>2.</w:t>
      </w:r>
      <w:r w:rsidRPr="008B3730">
        <w:tab/>
        <w:t>Dans le présent document, il est proposé de modifier le 4.1.3.4 du Règlement type de façon à prévenir toute incertitude concernant l’utilisation d’emballages pour des matières solides susceptibles de se liquéfier au cours du transport et à harmoniser le Règlement type avec les règlements applicables aux différents modes de transport.</w:t>
      </w:r>
    </w:p>
    <w:p w14:paraId="348DD7BF" w14:textId="77777777" w:rsidR="00070343" w:rsidRPr="004009E1" w:rsidRDefault="00070343" w:rsidP="00070343">
      <w:pPr>
        <w:rPr>
          <w:b/>
          <w:sz w:val="28"/>
        </w:rPr>
      </w:pPr>
      <w:r w:rsidRPr="004009E1">
        <w:br w:type="page"/>
      </w:r>
    </w:p>
    <w:p w14:paraId="409A8251" w14:textId="15B03BAE" w:rsidR="00070343" w:rsidRPr="004009E1" w:rsidRDefault="008B3730" w:rsidP="008B3730">
      <w:pPr>
        <w:pStyle w:val="HChG"/>
      </w:pPr>
      <w:r>
        <w:rPr>
          <w:lang w:val="fr-FR"/>
        </w:rPr>
        <w:lastRenderedPageBreak/>
        <w:tab/>
      </w:r>
      <w:r w:rsidR="00070343">
        <w:rPr>
          <w:lang w:val="fr-FR"/>
        </w:rPr>
        <w:t>II.</w:t>
      </w:r>
      <w:r w:rsidR="00070343">
        <w:rPr>
          <w:lang w:val="fr-FR"/>
        </w:rPr>
        <w:tab/>
        <w:t>Explication</w:t>
      </w:r>
    </w:p>
    <w:p w14:paraId="028645A8" w14:textId="77777777" w:rsidR="00070343" w:rsidRPr="004009E1" w:rsidRDefault="00070343" w:rsidP="008B3730">
      <w:pPr>
        <w:pStyle w:val="SingleTxtG"/>
        <w:keepNext/>
      </w:pPr>
      <w:r>
        <w:rPr>
          <w:lang w:val="fr-FR"/>
        </w:rPr>
        <w:t>3.</w:t>
      </w:r>
      <w:r>
        <w:rPr>
          <w:lang w:val="fr-FR"/>
        </w:rPr>
        <w:tab/>
        <w:t>Le 4.1.3.4, qui répertorie les emballages ne devant pas être utilisés pour des matières solides susceptibles de se liquéfier au cours du transport, est libellé comme suit :</w:t>
      </w:r>
    </w:p>
    <w:p w14:paraId="742AE48B" w14:textId="77777777" w:rsidR="00070343" w:rsidRPr="004009E1" w:rsidRDefault="00070343" w:rsidP="008B3730">
      <w:pPr>
        <w:pStyle w:val="SingleTxtG"/>
        <w:keepNext/>
      </w:pPr>
      <w:r>
        <w:rPr>
          <w:lang w:val="fr-FR"/>
        </w:rPr>
        <w:t>« 4.1.3.4</w:t>
      </w:r>
      <w:r>
        <w:rPr>
          <w:lang w:val="fr-FR"/>
        </w:rPr>
        <w:tab/>
        <w:t>Les emballages suivants ne doivent pas être utilisés lorsque les matières transportées sont susceptibles de se liquéfier en cours de transport :</w:t>
      </w:r>
    </w:p>
    <w:p w14:paraId="2C8E9047" w14:textId="75B8E005" w:rsidR="00070343" w:rsidRPr="004009E1" w:rsidRDefault="00070343" w:rsidP="008B3730">
      <w:pPr>
        <w:pStyle w:val="SingleTxtG"/>
        <w:ind w:left="2268"/>
      </w:pPr>
      <w:r>
        <w:rPr>
          <w:lang w:val="fr-FR"/>
        </w:rPr>
        <w:t>Emballages</w:t>
      </w:r>
    </w:p>
    <w:p w14:paraId="7441ADDC" w14:textId="77777777" w:rsidR="00070343" w:rsidRPr="004009E1" w:rsidRDefault="00070343" w:rsidP="00070343">
      <w:pPr>
        <w:pStyle w:val="SingleTxtG"/>
        <w:tabs>
          <w:tab w:val="clear" w:pos="2835"/>
        </w:tabs>
        <w:ind w:left="5103" w:hanging="2268"/>
      </w:pPr>
      <w:r>
        <w:rPr>
          <w:lang w:val="fr-FR"/>
        </w:rPr>
        <w:t>Fûts :</w:t>
      </w:r>
      <w:r>
        <w:rPr>
          <w:lang w:val="fr-FR"/>
        </w:rPr>
        <w:tab/>
        <w:t>1D et 1G</w:t>
      </w:r>
    </w:p>
    <w:p w14:paraId="16B7C85C" w14:textId="77777777" w:rsidR="00070343" w:rsidRPr="004009E1" w:rsidRDefault="00070343" w:rsidP="00070343">
      <w:pPr>
        <w:pStyle w:val="SingleTxtG"/>
        <w:tabs>
          <w:tab w:val="clear" w:pos="2835"/>
        </w:tabs>
        <w:ind w:left="5103" w:hanging="2268"/>
      </w:pPr>
      <w:r>
        <w:rPr>
          <w:lang w:val="fr-FR"/>
        </w:rPr>
        <w:t>Caisses :</w:t>
      </w:r>
      <w:r>
        <w:rPr>
          <w:lang w:val="fr-FR"/>
        </w:rPr>
        <w:tab/>
      </w:r>
      <w:r>
        <w:rPr>
          <w:lang w:val="fr-FR"/>
        </w:rPr>
        <w:tab/>
        <w:t>4C1, 4C2, 4D, 4F, 4G et 4H1</w:t>
      </w:r>
    </w:p>
    <w:p w14:paraId="238E3994" w14:textId="77777777" w:rsidR="00070343" w:rsidRPr="004009E1" w:rsidRDefault="00070343" w:rsidP="00070343">
      <w:pPr>
        <w:pStyle w:val="SingleTxtG"/>
        <w:tabs>
          <w:tab w:val="clear" w:pos="2835"/>
        </w:tabs>
        <w:ind w:left="5103" w:hanging="2268"/>
      </w:pPr>
      <w:r>
        <w:rPr>
          <w:lang w:val="fr-FR"/>
        </w:rPr>
        <w:t>Sacs :</w:t>
      </w:r>
      <w:r>
        <w:rPr>
          <w:lang w:val="fr-FR"/>
        </w:rPr>
        <w:tab/>
      </w:r>
      <w:r>
        <w:rPr>
          <w:lang w:val="fr-FR"/>
        </w:rPr>
        <w:tab/>
        <w:t>5L1, 5L2, 5L3, 5H1, 5H2, 5H3, 5H4, 5M1 et 5M2</w:t>
      </w:r>
    </w:p>
    <w:p w14:paraId="2243B989" w14:textId="77777777" w:rsidR="00070343" w:rsidRPr="004009E1" w:rsidRDefault="00070343" w:rsidP="00070343">
      <w:pPr>
        <w:pStyle w:val="SingleTxtG"/>
        <w:tabs>
          <w:tab w:val="clear" w:pos="2835"/>
        </w:tabs>
        <w:ind w:left="5103" w:hanging="2268"/>
      </w:pPr>
      <w:r>
        <w:rPr>
          <w:lang w:val="fr-FR"/>
        </w:rPr>
        <w:t>Emballages composites :</w:t>
      </w:r>
      <w:r>
        <w:rPr>
          <w:lang w:val="fr-FR"/>
        </w:rPr>
        <w:tab/>
        <w:t>6HC, 6HD2, 6HG1, 6HG2, 6HD1, 6PC, 6PD1, 6PD2, 6PG1, 6PG2 et 6PH1</w:t>
      </w:r>
    </w:p>
    <w:p w14:paraId="1B317D49" w14:textId="0FFB1BF3" w:rsidR="00070343" w:rsidRPr="004009E1" w:rsidRDefault="00070343" w:rsidP="008B3730">
      <w:pPr>
        <w:pStyle w:val="SingleTxtG"/>
        <w:ind w:left="2268"/>
      </w:pPr>
      <w:r>
        <w:rPr>
          <w:lang w:val="fr-FR"/>
        </w:rPr>
        <w:t>... ».</w:t>
      </w:r>
    </w:p>
    <w:p w14:paraId="54A01C0E" w14:textId="77777777" w:rsidR="00070343" w:rsidRPr="004009E1" w:rsidRDefault="00070343" w:rsidP="0007421E">
      <w:pPr>
        <w:pStyle w:val="SingleTxtG"/>
      </w:pPr>
      <w:r>
        <w:rPr>
          <w:lang w:val="fr-FR"/>
        </w:rPr>
        <w:t>4.</w:t>
      </w:r>
      <w:r>
        <w:rPr>
          <w:lang w:val="fr-FR"/>
        </w:rPr>
        <w:tab/>
        <w:t xml:space="preserve">La note </w:t>
      </w:r>
      <w:r>
        <w:rPr>
          <w:vertAlign w:val="superscript"/>
          <w:lang w:val="fr-FR"/>
        </w:rPr>
        <w:t>e</w:t>
      </w:r>
      <w:r>
        <w:rPr>
          <w:lang w:val="fr-FR"/>
        </w:rPr>
        <w:t xml:space="preserve"> de l’instruction d’emballage relative aux matières solides (P002), qui répertorie elle aussi les emballages ne devant pas être utilisés pour des matières susceptibles de se liquéfier au cours du transport et comprend un renvoi au 4.1.3.4, est quant à elle libellée comme suit (seules les cases qui concernent les caisses sont reproduites) :</w:t>
      </w:r>
    </w:p>
    <w:tbl>
      <w:tblPr>
        <w:tblW w:w="9639" w:type="dxa"/>
        <w:tblInd w:w="418" w:type="dxa"/>
        <w:tblLayout w:type="fixed"/>
        <w:tblCellMar>
          <w:left w:w="85" w:type="dxa"/>
          <w:right w:w="85" w:type="dxa"/>
        </w:tblCellMar>
        <w:tblLook w:val="0000" w:firstRow="0" w:lastRow="0" w:firstColumn="0" w:lastColumn="0" w:noHBand="0" w:noVBand="0"/>
      </w:tblPr>
      <w:tblGrid>
        <w:gridCol w:w="5175"/>
        <w:gridCol w:w="1455"/>
        <w:gridCol w:w="1428"/>
        <w:gridCol w:w="1581"/>
      </w:tblGrid>
      <w:tr w:rsidR="00070343" w:rsidRPr="004009E1" w14:paraId="33A1281D" w14:textId="77777777" w:rsidTr="0007421E">
        <w:trPr>
          <w:trHeight w:val="20"/>
        </w:trPr>
        <w:tc>
          <w:tcPr>
            <w:tcW w:w="5000" w:type="pct"/>
            <w:gridSpan w:val="4"/>
            <w:tcBorders>
              <w:top w:val="single" w:sz="6" w:space="0" w:color="auto"/>
              <w:left w:val="single" w:sz="6" w:space="0" w:color="auto"/>
              <w:bottom w:val="single" w:sz="6" w:space="0" w:color="auto"/>
              <w:right w:val="single" w:sz="6" w:space="0" w:color="auto"/>
            </w:tcBorders>
          </w:tcPr>
          <w:p w14:paraId="1D612A51" w14:textId="77777777" w:rsidR="00070343" w:rsidRPr="004009E1" w:rsidRDefault="00070343" w:rsidP="004810FB">
            <w:pPr>
              <w:pStyle w:val="Pheader"/>
            </w:pPr>
            <w:r>
              <w:rPr>
                <w:lang w:val="fr-FR"/>
              </w:rPr>
              <w:t>« P002</w:t>
            </w:r>
            <w:r>
              <w:rPr>
                <w:lang w:val="fr-FR"/>
              </w:rPr>
              <w:tab/>
              <w:t>INSTRUCTION D’EMBALLAGE (MATIÈRES SOLIDES) (</w:t>
            </w:r>
            <w:r>
              <w:rPr>
                <w:i/>
                <w:iCs/>
                <w:lang w:val="fr-FR"/>
              </w:rPr>
              <w:t>suite</w:t>
            </w:r>
            <w:r>
              <w:rPr>
                <w:lang w:val="fr-FR"/>
              </w:rPr>
              <w:t>)</w:t>
            </w:r>
            <w:r>
              <w:rPr>
                <w:lang w:val="fr-FR"/>
              </w:rPr>
              <w:tab/>
              <w:t>P002</w:t>
            </w:r>
          </w:p>
        </w:tc>
      </w:tr>
      <w:tr w:rsidR="00070343" w:rsidRPr="00F31284" w14:paraId="2BAFC946" w14:textId="77777777" w:rsidTr="0007421E">
        <w:trPr>
          <w:trHeight w:val="20"/>
        </w:trPr>
        <w:tc>
          <w:tcPr>
            <w:tcW w:w="2684" w:type="pct"/>
            <w:tcBorders>
              <w:top w:val="single" w:sz="6" w:space="0" w:color="auto"/>
              <w:left w:val="single" w:sz="6" w:space="0" w:color="auto"/>
              <w:right w:val="single" w:sz="6" w:space="0" w:color="auto"/>
            </w:tcBorders>
          </w:tcPr>
          <w:p w14:paraId="488CAD56" w14:textId="77777777" w:rsidR="00070343" w:rsidRPr="004009E1" w:rsidRDefault="00070343" w:rsidP="004810FB">
            <w:pPr>
              <w:pStyle w:val="Pud2"/>
              <w:jc w:val="center"/>
              <w:rPr>
                <w:b/>
                <w:bCs/>
              </w:rPr>
            </w:pPr>
          </w:p>
        </w:tc>
        <w:tc>
          <w:tcPr>
            <w:tcW w:w="2316" w:type="pct"/>
            <w:gridSpan w:val="3"/>
            <w:tcBorders>
              <w:top w:val="single" w:sz="6" w:space="0" w:color="auto"/>
              <w:left w:val="single" w:sz="6" w:space="0" w:color="auto"/>
              <w:bottom w:val="single" w:sz="6" w:space="0" w:color="auto"/>
              <w:right w:val="single" w:sz="6" w:space="0" w:color="auto"/>
            </w:tcBorders>
          </w:tcPr>
          <w:p w14:paraId="57E29D0C" w14:textId="77777777" w:rsidR="00070343" w:rsidRPr="00F31284" w:rsidRDefault="00070343" w:rsidP="004810FB">
            <w:pPr>
              <w:pStyle w:val="Pud2"/>
              <w:jc w:val="center"/>
              <w:rPr>
                <w:b/>
                <w:bCs/>
              </w:rPr>
            </w:pPr>
            <w:r>
              <w:rPr>
                <w:b/>
                <w:bCs/>
                <w:lang w:val="fr-FR"/>
              </w:rPr>
              <w:t>Masse nette maximale (voir 4.1.3.3)</w:t>
            </w:r>
          </w:p>
        </w:tc>
      </w:tr>
      <w:tr w:rsidR="0007421E" w:rsidRPr="00F31284" w14:paraId="46578EA9" w14:textId="77777777" w:rsidTr="0007421E">
        <w:trPr>
          <w:trHeight w:val="20"/>
        </w:trPr>
        <w:tc>
          <w:tcPr>
            <w:tcW w:w="2684" w:type="pct"/>
            <w:tcBorders>
              <w:left w:val="single" w:sz="6" w:space="0" w:color="auto"/>
              <w:bottom w:val="single" w:sz="6" w:space="0" w:color="auto"/>
              <w:right w:val="single" w:sz="6" w:space="0" w:color="auto"/>
            </w:tcBorders>
          </w:tcPr>
          <w:p w14:paraId="11C95C32" w14:textId="77777777" w:rsidR="00070343" w:rsidRPr="00F31284" w:rsidRDefault="00070343" w:rsidP="004810FB">
            <w:pPr>
              <w:pStyle w:val="Pud2"/>
              <w:jc w:val="center"/>
              <w:rPr>
                <w:b/>
                <w:bCs/>
              </w:rPr>
            </w:pPr>
          </w:p>
        </w:tc>
        <w:tc>
          <w:tcPr>
            <w:tcW w:w="755" w:type="pct"/>
            <w:tcBorders>
              <w:top w:val="single" w:sz="6" w:space="0" w:color="auto"/>
              <w:left w:val="single" w:sz="6" w:space="0" w:color="auto"/>
              <w:bottom w:val="single" w:sz="6" w:space="0" w:color="auto"/>
              <w:right w:val="single" w:sz="6" w:space="0" w:color="auto"/>
            </w:tcBorders>
          </w:tcPr>
          <w:p w14:paraId="74E2B4DD" w14:textId="77777777" w:rsidR="00070343" w:rsidRPr="00F31284" w:rsidRDefault="00070343" w:rsidP="004810FB">
            <w:pPr>
              <w:pStyle w:val="Pud2"/>
              <w:jc w:val="center"/>
              <w:rPr>
                <w:b/>
                <w:bCs/>
              </w:rPr>
            </w:pPr>
            <w:r>
              <w:rPr>
                <w:b/>
                <w:bCs/>
                <w:lang w:val="fr-FR"/>
              </w:rPr>
              <w:t>Groupe d’emballage I</w:t>
            </w:r>
          </w:p>
        </w:tc>
        <w:tc>
          <w:tcPr>
            <w:tcW w:w="741" w:type="pct"/>
            <w:tcBorders>
              <w:top w:val="single" w:sz="6" w:space="0" w:color="auto"/>
              <w:left w:val="single" w:sz="6" w:space="0" w:color="auto"/>
              <w:bottom w:val="single" w:sz="6" w:space="0" w:color="auto"/>
              <w:right w:val="single" w:sz="6" w:space="0" w:color="auto"/>
            </w:tcBorders>
          </w:tcPr>
          <w:p w14:paraId="38418629" w14:textId="77777777" w:rsidR="00070343" w:rsidRPr="00F31284" w:rsidRDefault="00070343" w:rsidP="004810FB">
            <w:pPr>
              <w:pStyle w:val="Pud2"/>
              <w:jc w:val="center"/>
              <w:rPr>
                <w:b/>
                <w:bCs/>
              </w:rPr>
            </w:pPr>
            <w:r>
              <w:rPr>
                <w:b/>
                <w:bCs/>
                <w:lang w:val="fr-FR"/>
              </w:rPr>
              <w:t>Groupe d’emballage II</w:t>
            </w:r>
          </w:p>
        </w:tc>
        <w:tc>
          <w:tcPr>
            <w:tcW w:w="820" w:type="pct"/>
            <w:tcBorders>
              <w:top w:val="single" w:sz="6" w:space="0" w:color="auto"/>
              <w:left w:val="single" w:sz="6" w:space="0" w:color="auto"/>
              <w:bottom w:val="single" w:sz="6" w:space="0" w:color="auto"/>
              <w:right w:val="single" w:sz="6" w:space="0" w:color="auto"/>
            </w:tcBorders>
          </w:tcPr>
          <w:p w14:paraId="44C4A0BF" w14:textId="77777777" w:rsidR="00070343" w:rsidRPr="00F31284" w:rsidRDefault="00070343" w:rsidP="004810FB">
            <w:pPr>
              <w:pStyle w:val="Pud2"/>
              <w:jc w:val="center"/>
              <w:rPr>
                <w:b/>
                <w:bCs/>
              </w:rPr>
            </w:pPr>
            <w:r>
              <w:rPr>
                <w:b/>
                <w:bCs/>
                <w:lang w:val="fr-FR"/>
              </w:rPr>
              <w:t>Groupe d’emballage III</w:t>
            </w:r>
          </w:p>
        </w:tc>
      </w:tr>
      <w:tr w:rsidR="0007421E" w:rsidRPr="00F31284" w14:paraId="50176DC3" w14:textId="77777777" w:rsidTr="0007421E">
        <w:trPr>
          <w:trHeight w:val="20"/>
        </w:trPr>
        <w:tc>
          <w:tcPr>
            <w:tcW w:w="2684" w:type="pct"/>
            <w:tcBorders>
              <w:top w:val="single" w:sz="6" w:space="0" w:color="auto"/>
              <w:left w:val="single" w:sz="6" w:space="0" w:color="auto"/>
              <w:bottom w:val="single" w:sz="6" w:space="0" w:color="auto"/>
            </w:tcBorders>
          </w:tcPr>
          <w:p w14:paraId="2808C9FB" w14:textId="77777777" w:rsidR="00070343" w:rsidRPr="00F31284" w:rsidRDefault="00070343" w:rsidP="004810FB">
            <w:pPr>
              <w:pStyle w:val="Pnormal"/>
              <w:rPr>
                <w:b/>
                <w:bCs/>
              </w:rPr>
            </w:pPr>
            <w:r>
              <w:rPr>
                <w:b/>
                <w:bCs/>
                <w:lang w:val="fr-FR"/>
              </w:rPr>
              <w:t>Emballages simples (</w:t>
            </w:r>
            <w:r>
              <w:rPr>
                <w:b/>
                <w:bCs/>
                <w:i/>
                <w:iCs/>
                <w:lang w:val="fr-FR"/>
              </w:rPr>
              <w:t>suite</w:t>
            </w:r>
            <w:r>
              <w:rPr>
                <w:b/>
                <w:bCs/>
                <w:lang w:val="fr-FR"/>
              </w:rPr>
              <w:t>)</w:t>
            </w:r>
          </w:p>
        </w:tc>
        <w:tc>
          <w:tcPr>
            <w:tcW w:w="755" w:type="pct"/>
            <w:tcBorders>
              <w:top w:val="single" w:sz="6" w:space="0" w:color="auto"/>
              <w:left w:val="nil"/>
              <w:bottom w:val="single" w:sz="6" w:space="0" w:color="auto"/>
            </w:tcBorders>
          </w:tcPr>
          <w:p w14:paraId="74395AD4" w14:textId="77777777" w:rsidR="00070343" w:rsidRPr="00F31284" w:rsidRDefault="00070343" w:rsidP="004810FB">
            <w:pPr>
              <w:pStyle w:val="Pnormal"/>
              <w:rPr>
                <w:b/>
                <w:bCs/>
              </w:rPr>
            </w:pPr>
          </w:p>
        </w:tc>
        <w:tc>
          <w:tcPr>
            <w:tcW w:w="741" w:type="pct"/>
            <w:tcBorders>
              <w:top w:val="single" w:sz="6" w:space="0" w:color="auto"/>
              <w:bottom w:val="single" w:sz="6" w:space="0" w:color="auto"/>
            </w:tcBorders>
          </w:tcPr>
          <w:p w14:paraId="575E5D24" w14:textId="77777777" w:rsidR="00070343" w:rsidRPr="00F31284" w:rsidRDefault="00070343" w:rsidP="004810FB">
            <w:pPr>
              <w:pStyle w:val="Pnormal"/>
              <w:rPr>
                <w:b/>
                <w:bCs/>
              </w:rPr>
            </w:pPr>
          </w:p>
        </w:tc>
        <w:tc>
          <w:tcPr>
            <w:tcW w:w="820" w:type="pct"/>
            <w:tcBorders>
              <w:top w:val="single" w:sz="6" w:space="0" w:color="auto"/>
              <w:bottom w:val="single" w:sz="6" w:space="0" w:color="auto"/>
              <w:right w:val="single" w:sz="6" w:space="0" w:color="auto"/>
            </w:tcBorders>
          </w:tcPr>
          <w:p w14:paraId="5A281E18" w14:textId="77777777" w:rsidR="00070343" w:rsidRPr="00F31284" w:rsidRDefault="00070343" w:rsidP="004810FB">
            <w:pPr>
              <w:pStyle w:val="Pnormal"/>
              <w:rPr>
                <w:b/>
                <w:bCs/>
              </w:rPr>
            </w:pPr>
          </w:p>
        </w:tc>
      </w:tr>
      <w:tr w:rsidR="0007421E" w:rsidRPr="00F31284" w14:paraId="61A67564" w14:textId="77777777" w:rsidTr="0007421E">
        <w:trPr>
          <w:trHeight w:val="20"/>
        </w:trPr>
        <w:tc>
          <w:tcPr>
            <w:tcW w:w="2684" w:type="pct"/>
            <w:tcBorders>
              <w:top w:val="single" w:sz="6" w:space="0" w:color="auto"/>
              <w:left w:val="single" w:sz="6" w:space="0" w:color="auto"/>
              <w:bottom w:val="single" w:sz="6" w:space="0" w:color="auto"/>
              <w:right w:val="single" w:sz="6" w:space="0" w:color="auto"/>
            </w:tcBorders>
          </w:tcPr>
          <w:p w14:paraId="2DDAB306" w14:textId="77777777" w:rsidR="00070343" w:rsidRPr="004009E1" w:rsidRDefault="00070343" w:rsidP="004810FB">
            <w:pPr>
              <w:pStyle w:val="Pu4d2"/>
              <w:rPr>
                <w:b/>
                <w:bCs/>
                <w:lang w:val="es-ES"/>
              </w:rPr>
            </w:pPr>
            <w:r w:rsidRPr="004009E1">
              <w:rPr>
                <w:b/>
                <w:bCs/>
                <w:lang w:val="es-ES"/>
              </w:rPr>
              <w:t>Caisses</w:t>
            </w:r>
          </w:p>
          <w:p w14:paraId="3A12B736" w14:textId="77777777" w:rsidR="00070343" w:rsidRPr="004009E1" w:rsidRDefault="00070343" w:rsidP="004810FB">
            <w:pPr>
              <w:pStyle w:val="Pb04h02ud2"/>
              <w:rPr>
                <w:lang w:val="es-ES"/>
              </w:rPr>
            </w:pPr>
            <w:r w:rsidRPr="004009E1">
              <w:rPr>
                <w:lang w:val="es-ES"/>
              </w:rPr>
              <w:t>en acier (4A)</w:t>
            </w:r>
            <w:r w:rsidRPr="004009E1">
              <w:rPr>
                <w:vertAlign w:val="superscript"/>
                <w:lang w:val="es-ES"/>
              </w:rPr>
              <w:t>e</w:t>
            </w:r>
          </w:p>
          <w:p w14:paraId="7B0B57C6" w14:textId="77777777" w:rsidR="00070343" w:rsidRPr="004009E1" w:rsidRDefault="00070343" w:rsidP="004810FB">
            <w:pPr>
              <w:pStyle w:val="Pb04h02ud2"/>
              <w:rPr>
                <w:lang w:val="es-ES"/>
              </w:rPr>
            </w:pPr>
            <w:r w:rsidRPr="004009E1">
              <w:rPr>
                <w:lang w:val="es-ES"/>
              </w:rPr>
              <w:t>en aluminium (4B)</w:t>
            </w:r>
            <w:r w:rsidRPr="004009E1">
              <w:rPr>
                <w:vertAlign w:val="superscript"/>
                <w:lang w:val="es-ES"/>
              </w:rPr>
              <w:t>e</w:t>
            </w:r>
          </w:p>
          <w:p w14:paraId="7D3339DE" w14:textId="77777777" w:rsidR="00070343" w:rsidRPr="004009E1" w:rsidRDefault="00070343" w:rsidP="004810FB">
            <w:pPr>
              <w:pStyle w:val="Pb04h02ud2"/>
            </w:pPr>
            <w:r>
              <w:rPr>
                <w:lang w:val="fr-FR"/>
              </w:rPr>
              <w:t>en un autre métal (4N)</w:t>
            </w:r>
            <w:r>
              <w:rPr>
                <w:vertAlign w:val="superscript"/>
                <w:lang w:val="fr-FR"/>
              </w:rPr>
              <w:t>e</w:t>
            </w:r>
          </w:p>
          <w:p w14:paraId="313FEC11" w14:textId="77777777" w:rsidR="00070343" w:rsidRPr="004009E1" w:rsidRDefault="00070343" w:rsidP="004810FB">
            <w:pPr>
              <w:pStyle w:val="Pb04h02ud2"/>
            </w:pPr>
            <w:r>
              <w:rPr>
                <w:lang w:val="fr-FR"/>
              </w:rPr>
              <w:t>en bois naturel (4C1)</w:t>
            </w:r>
            <w:r>
              <w:rPr>
                <w:vertAlign w:val="superscript"/>
                <w:lang w:val="fr-FR"/>
              </w:rPr>
              <w:t>e</w:t>
            </w:r>
          </w:p>
          <w:p w14:paraId="7C5009BC" w14:textId="77777777" w:rsidR="00070343" w:rsidRPr="004009E1" w:rsidRDefault="00070343" w:rsidP="004810FB">
            <w:pPr>
              <w:pStyle w:val="Pb04h02ud2"/>
            </w:pPr>
            <w:r>
              <w:rPr>
                <w:lang w:val="fr-FR"/>
              </w:rPr>
              <w:t>en contre-plaqué (4D)</w:t>
            </w:r>
            <w:r>
              <w:rPr>
                <w:vertAlign w:val="superscript"/>
                <w:lang w:val="fr-FR"/>
              </w:rPr>
              <w:t>e</w:t>
            </w:r>
          </w:p>
          <w:p w14:paraId="25926F07" w14:textId="77777777" w:rsidR="00070343" w:rsidRPr="004009E1" w:rsidRDefault="00070343" w:rsidP="004810FB">
            <w:pPr>
              <w:pStyle w:val="Pb04h02ud2"/>
            </w:pPr>
            <w:r>
              <w:rPr>
                <w:lang w:val="fr-FR"/>
              </w:rPr>
              <w:t>en bois reconstitué (4F)</w:t>
            </w:r>
            <w:r>
              <w:rPr>
                <w:vertAlign w:val="superscript"/>
                <w:lang w:val="fr-FR"/>
              </w:rPr>
              <w:t>e</w:t>
            </w:r>
          </w:p>
          <w:p w14:paraId="7DBA3196" w14:textId="77777777" w:rsidR="00070343" w:rsidRPr="004009E1" w:rsidRDefault="00070343" w:rsidP="004810FB">
            <w:pPr>
              <w:pStyle w:val="Pb04h02ud2"/>
            </w:pPr>
            <w:r>
              <w:rPr>
                <w:lang w:val="fr-FR"/>
              </w:rPr>
              <w:t>en bois naturel aux parois étanches aux pulvérulents (4C2)</w:t>
            </w:r>
            <w:r>
              <w:rPr>
                <w:vertAlign w:val="superscript"/>
                <w:lang w:val="fr-FR"/>
              </w:rPr>
              <w:t>e</w:t>
            </w:r>
          </w:p>
          <w:p w14:paraId="6B0D43B9" w14:textId="77777777" w:rsidR="00070343" w:rsidRPr="00F31284" w:rsidRDefault="00070343" w:rsidP="004810FB">
            <w:pPr>
              <w:pStyle w:val="Pb04h02ud2"/>
            </w:pPr>
            <w:r>
              <w:rPr>
                <w:lang w:val="fr-FR"/>
              </w:rPr>
              <w:t>en carton (4G)</w:t>
            </w:r>
            <w:r>
              <w:rPr>
                <w:vertAlign w:val="superscript"/>
                <w:lang w:val="fr-FR"/>
              </w:rPr>
              <w:t>e</w:t>
            </w:r>
          </w:p>
          <w:p w14:paraId="76EBF056" w14:textId="77777777" w:rsidR="00070343" w:rsidRPr="00F31284" w:rsidRDefault="00070343" w:rsidP="004810FB">
            <w:pPr>
              <w:pStyle w:val="Pb04h02ud2"/>
            </w:pPr>
            <w:r>
              <w:rPr>
                <w:lang w:val="fr-FR"/>
              </w:rPr>
              <w:t>en plastique rigide (4H2)</w:t>
            </w:r>
            <w:r>
              <w:rPr>
                <w:vertAlign w:val="superscript"/>
                <w:lang w:val="fr-FR"/>
              </w:rPr>
              <w:t>e</w:t>
            </w:r>
          </w:p>
        </w:tc>
        <w:tc>
          <w:tcPr>
            <w:tcW w:w="755" w:type="pct"/>
            <w:tcBorders>
              <w:top w:val="single" w:sz="6" w:space="0" w:color="auto"/>
              <w:left w:val="single" w:sz="6" w:space="0" w:color="auto"/>
              <w:bottom w:val="single" w:sz="6" w:space="0" w:color="auto"/>
              <w:right w:val="single" w:sz="6" w:space="0" w:color="auto"/>
            </w:tcBorders>
          </w:tcPr>
          <w:p w14:paraId="5470153E" w14:textId="77777777" w:rsidR="00070343" w:rsidRPr="004009E1" w:rsidRDefault="00070343" w:rsidP="004810FB">
            <w:pPr>
              <w:pStyle w:val="Pu4d2"/>
              <w:jc w:val="center"/>
            </w:pPr>
          </w:p>
          <w:p w14:paraId="6AEBCB0E" w14:textId="77777777" w:rsidR="00070343" w:rsidRPr="004009E1" w:rsidRDefault="00070343" w:rsidP="004810FB">
            <w:pPr>
              <w:pStyle w:val="Pud2"/>
              <w:jc w:val="center"/>
            </w:pPr>
            <w:r>
              <w:rPr>
                <w:lang w:val="fr-FR"/>
              </w:rPr>
              <w:t>Non autorisé</w:t>
            </w:r>
          </w:p>
          <w:p w14:paraId="72D9C8A0" w14:textId="77777777" w:rsidR="00070343" w:rsidRPr="004009E1" w:rsidRDefault="00070343" w:rsidP="004810FB">
            <w:pPr>
              <w:pStyle w:val="Pud2"/>
              <w:jc w:val="center"/>
            </w:pPr>
            <w:r>
              <w:rPr>
                <w:lang w:val="fr-FR"/>
              </w:rPr>
              <w:t>Non autorisé</w:t>
            </w:r>
          </w:p>
          <w:p w14:paraId="27F29BBC" w14:textId="77777777" w:rsidR="00070343" w:rsidRPr="004009E1" w:rsidRDefault="00070343" w:rsidP="004810FB">
            <w:pPr>
              <w:pStyle w:val="Pud2"/>
              <w:jc w:val="center"/>
            </w:pPr>
            <w:r>
              <w:rPr>
                <w:lang w:val="fr-FR"/>
              </w:rPr>
              <w:t>Non autorisé</w:t>
            </w:r>
          </w:p>
          <w:p w14:paraId="214D4DA5" w14:textId="77777777" w:rsidR="00070343" w:rsidRPr="004009E1" w:rsidRDefault="00070343" w:rsidP="004810FB">
            <w:pPr>
              <w:pStyle w:val="Pud2"/>
              <w:jc w:val="center"/>
            </w:pPr>
            <w:r>
              <w:rPr>
                <w:lang w:val="fr-FR"/>
              </w:rPr>
              <w:t>Non autorisé</w:t>
            </w:r>
          </w:p>
          <w:p w14:paraId="2DA87E52" w14:textId="77777777" w:rsidR="00070343" w:rsidRPr="004009E1" w:rsidRDefault="00070343" w:rsidP="004810FB">
            <w:pPr>
              <w:pStyle w:val="Pud2"/>
              <w:jc w:val="center"/>
            </w:pPr>
            <w:r>
              <w:rPr>
                <w:lang w:val="fr-FR"/>
              </w:rPr>
              <w:t>Non autorisé</w:t>
            </w:r>
          </w:p>
          <w:p w14:paraId="3402DF4A" w14:textId="77777777" w:rsidR="00070343" w:rsidRPr="004009E1" w:rsidRDefault="00070343" w:rsidP="004810FB">
            <w:pPr>
              <w:pStyle w:val="Pud2"/>
              <w:jc w:val="center"/>
            </w:pPr>
            <w:r>
              <w:rPr>
                <w:lang w:val="fr-FR"/>
              </w:rPr>
              <w:t>Non autorisé</w:t>
            </w:r>
          </w:p>
          <w:p w14:paraId="6D3CE901" w14:textId="77777777" w:rsidR="00070343" w:rsidRPr="004009E1" w:rsidRDefault="00070343" w:rsidP="004810FB">
            <w:pPr>
              <w:pStyle w:val="Pud2"/>
              <w:jc w:val="center"/>
            </w:pPr>
            <w:r>
              <w:rPr>
                <w:lang w:val="fr-FR"/>
              </w:rPr>
              <w:t>Non autorisé</w:t>
            </w:r>
          </w:p>
          <w:p w14:paraId="54C3C45F" w14:textId="77777777" w:rsidR="00070343" w:rsidRPr="004009E1" w:rsidRDefault="00070343" w:rsidP="004810FB">
            <w:pPr>
              <w:pStyle w:val="Pud2"/>
              <w:jc w:val="center"/>
            </w:pPr>
            <w:r>
              <w:rPr>
                <w:lang w:val="fr-FR"/>
              </w:rPr>
              <w:t>Non autorisé</w:t>
            </w:r>
          </w:p>
          <w:p w14:paraId="755157D6" w14:textId="77777777" w:rsidR="00070343" w:rsidRPr="004009E1" w:rsidRDefault="00070343" w:rsidP="004810FB">
            <w:pPr>
              <w:pStyle w:val="Pud2"/>
              <w:jc w:val="center"/>
            </w:pPr>
            <w:r>
              <w:rPr>
                <w:lang w:val="fr-FR"/>
              </w:rPr>
              <w:t>Non autorisé</w:t>
            </w:r>
          </w:p>
        </w:tc>
        <w:tc>
          <w:tcPr>
            <w:tcW w:w="741" w:type="pct"/>
            <w:tcBorders>
              <w:top w:val="single" w:sz="6" w:space="0" w:color="auto"/>
              <w:left w:val="single" w:sz="6" w:space="0" w:color="auto"/>
              <w:bottom w:val="single" w:sz="6" w:space="0" w:color="auto"/>
              <w:right w:val="single" w:sz="6" w:space="0" w:color="auto"/>
            </w:tcBorders>
          </w:tcPr>
          <w:p w14:paraId="4CA39917" w14:textId="77777777" w:rsidR="00070343" w:rsidRPr="004009E1" w:rsidRDefault="00070343" w:rsidP="004810FB">
            <w:pPr>
              <w:pStyle w:val="Pu4d2"/>
              <w:jc w:val="center"/>
            </w:pPr>
          </w:p>
          <w:p w14:paraId="3B34D402" w14:textId="77777777" w:rsidR="00070343" w:rsidRPr="00070343" w:rsidRDefault="00070343" w:rsidP="004810FB">
            <w:pPr>
              <w:pStyle w:val="Pud2"/>
              <w:jc w:val="center"/>
              <w:rPr>
                <w:lang w:val="en-US"/>
              </w:rPr>
            </w:pPr>
            <w:r w:rsidRPr="004009E1">
              <w:rPr>
                <w:lang w:val="en-US"/>
              </w:rPr>
              <w:t>400 kg</w:t>
            </w:r>
          </w:p>
          <w:p w14:paraId="74B62398" w14:textId="77777777" w:rsidR="00070343" w:rsidRPr="00070343" w:rsidRDefault="00070343" w:rsidP="004810FB">
            <w:pPr>
              <w:pStyle w:val="Pud2"/>
              <w:jc w:val="center"/>
              <w:rPr>
                <w:lang w:val="en-US"/>
              </w:rPr>
            </w:pPr>
            <w:r w:rsidRPr="004009E1">
              <w:rPr>
                <w:lang w:val="en-US"/>
              </w:rPr>
              <w:t>400 kg</w:t>
            </w:r>
          </w:p>
          <w:p w14:paraId="0A807A61" w14:textId="77777777" w:rsidR="00070343" w:rsidRPr="00070343" w:rsidRDefault="00070343" w:rsidP="004810FB">
            <w:pPr>
              <w:pStyle w:val="Pud2"/>
              <w:jc w:val="center"/>
              <w:rPr>
                <w:lang w:val="en-US"/>
              </w:rPr>
            </w:pPr>
            <w:r w:rsidRPr="004009E1">
              <w:rPr>
                <w:lang w:val="en-US"/>
              </w:rPr>
              <w:t>400 kg</w:t>
            </w:r>
          </w:p>
          <w:p w14:paraId="7DE38DF6" w14:textId="77777777" w:rsidR="00070343" w:rsidRPr="00070343" w:rsidRDefault="00070343" w:rsidP="004810FB">
            <w:pPr>
              <w:pStyle w:val="Pud2"/>
              <w:jc w:val="center"/>
              <w:rPr>
                <w:lang w:val="en-US"/>
              </w:rPr>
            </w:pPr>
            <w:r w:rsidRPr="004009E1">
              <w:rPr>
                <w:lang w:val="en-US"/>
              </w:rPr>
              <w:t>400 kg</w:t>
            </w:r>
          </w:p>
          <w:p w14:paraId="1DCA1573" w14:textId="77777777" w:rsidR="00070343" w:rsidRPr="00070343" w:rsidRDefault="00070343" w:rsidP="004810FB">
            <w:pPr>
              <w:pStyle w:val="Pud2"/>
              <w:jc w:val="center"/>
              <w:rPr>
                <w:lang w:val="en-US"/>
              </w:rPr>
            </w:pPr>
            <w:r w:rsidRPr="004009E1">
              <w:rPr>
                <w:lang w:val="en-US"/>
              </w:rPr>
              <w:t>400 kg</w:t>
            </w:r>
          </w:p>
          <w:p w14:paraId="6CA592A6" w14:textId="77777777" w:rsidR="00070343" w:rsidRPr="00070343" w:rsidRDefault="00070343" w:rsidP="004810FB">
            <w:pPr>
              <w:pStyle w:val="Pud2"/>
              <w:jc w:val="center"/>
              <w:rPr>
                <w:lang w:val="en-US"/>
              </w:rPr>
            </w:pPr>
            <w:r w:rsidRPr="004009E1">
              <w:rPr>
                <w:lang w:val="en-US"/>
              </w:rPr>
              <w:t>400 kg</w:t>
            </w:r>
          </w:p>
          <w:p w14:paraId="26F7DB26" w14:textId="77777777" w:rsidR="00070343" w:rsidRPr="00F31284" w:rsidRDefault="00070343" w:rsidP="004810FB">
            <w:pPr>
              <w:pStyle w:val="Pud2"/>
              <w:jc w:val="center"/>
            </w:pPr>
            <w:r>
              <w:rPr>
                <w:lang w:val="fr-FR"/>
              </w:rPr>
              <w:t>400 kg</w:t>
            </w:r>
          </w:p>
          <w:p w14:paraId="0D9F0990" w14:textId="77777777" w:rsidR="00070343" w:rsidRPr="00F31284" w:rsidRDefault="00070343" w:rsidP="004810FB">
            <w:pPr>
              <w:pStyle w:val="Pud2"/>
              <w:jc w:val="center"/>
            </w:pPr>
            <w:r>
              <w:rPr>
                <w:lang w:val="fr-FR"/>
              </w:rPr>
              <w:t>400 kg</w:t>
            </w:r>
          </w:p>
          <w:p w14:paraId="293E9B1A" w14:textId="77777777" w:rsidR="00070343" w:rsidRPr="00F31284" w:rsidRDefault="00070343" w:rsidP="004810FB">
            <w:pPr>
              <w:pStyle w:val="Pud2"/>
              <w:jc w:val="center"/>
            </w:pPr>
            <w:r>
              <w:rPr>
                <w:lang w:val="fr-FR"/>
              </w:rPr>
              <w:t>400 kg</w:t>
            </w:r>
          </w:p>
        </w:tc>
        <w:tc>
          <w:tcPr>
            <w:tcW w:w="820" w:type="pct"/>
            <w:tcBorders>
              <w:top w:val="single" w:sz="6" w:space="0" w:color="auto"/>
              <w:left w:val="single" w:sz="6" w:space="0" w:color="auto"/>
              <w:bottom w:val="single" w:sz="6" w:space="0" w:color="auto"/>
              <w:right w:val="single" w:sz="6" w:space="0" w:color="auto"/>
            </w:tcBorders>
          </w:tcPr>
          <w:p w14:paraId="61D0FA5A" w14:textId="77777777" w:rsidR="00070343" w:rsidRPr="00070343" w:rsidRDefault="00070343" w:rsidP="004810FB">
            <w:pPr>
              <w:pStyle w:val="Pu4d2"/>
              <w:jc w:val="center"/>
              <w:rPr>
                <w:lang w:val="en-US"/>
              </w:rPr>
            </w:pPr>
          </w:p>
          <w:p w14:paraId="29213A98" w14:textId="77777777" w:rsidR="00070343" w:rsidRPr="00070343" w:rsidRDefault="00070343" w:rsidP="004810FB">
            <w:pPr>
              <w:pStyle w:val="Pud2"/>
              <w:jc w:val="center"/>
              <w:rPr>
                <w:lang w:val="en-US"/>
              </w:rPr>
            </w:pPr>
            <w:r w:rsidRPr="004009E1">
              <w:rPr>
                <w:lang w:val="en-US"/>
              </w:rPr>
              <w:t>400 kg</w:t>
            </w:r>
          </w:p>
          <w:p w14:paraId="7AD1A245" w14:textId="77777777" w:rsidR="00070343" w:rsidRPr="00070343" w:rsidRDefault="00070343" w:rsidP="004810FB">
            <w:pPr>
              <w:pStyle w:val="Pud2"/>
              <w:jc w:val="center"/>
              <w:rPr>
                <w:lang w:val="en-US"/>
              </w:rPr>
            </w:pPr>
            <w:r w:rsidRPr="004009E1">
              <w:rPr>
                <w:lang w:val="en-US"/>
              </w:rPr>
              <w:t>400 kg</w:t>
            </w:r>
          </w:p>
          <w:p w14:paraId="574B3517" w14:textId="77777777" w:rsidR="00070343" w:rsidRPr="00070343" w:rsidRDefault="00070343" w:rsidP="004810FB">
            <w:pPr>
              <w:pStyle w:val="Pud2"/>
              <w:jc w:val="center"/>
              <w:rPr>
                <w:lang w:val="en-US"/>
              </w:rPr>
            </w:pPr>
            <w:r w:rsidRPr="004009E1">
              <w:rPr>
                <w:lang w:val="en-US"/>
              </w:rPr>
              <w:t>400 kg</w:t>
            </w:r>
          </w:p>
          <w:p w14:paraId="7B408F4A" w14:textId="77777777" w:rsidR="00070343" w:rsidRPr="00070343" w:rsidRDefault="00070343" w:rsidP="004810FB">
            <w:pPr>
              <w:pStyle w:val="Pud2"/>
              <w:jc w:val="center"/>
              <w:rPr>
                <w:lang w:val="en-US"/>
              </w:rPr>
            </w:pPr>
            <w:r w:rsidRPr="004009E1">
              <w:rPr>
                <w:lang w:val="en-US"/>
              </w:rPr>
              <w:t>400 kg</w:t>
            </w:r>
          </w:p>
          <w:p w14:paraId="76C60536" w14:textId="77777777" w:rsidR="00070343" w:rsidRPr="00070343" w:rsidRDefault="00070343" w:rsidP="004810FB">
            <w:pPr>
              <w:pStyle w:val="Pud2"/>
              <w:jc w:val="center"/>
              <w:rPr>
                <w:lang w:val="en-US"/>
              </w:rPr>
            </w:pPr>
            <w:r w:rsidRPr="004009E1">
              <w:rPr>
                <w:lang w:val="en-US"/>
              </w:rPr>
              <w:t>400 kg</w:t>
            </w:r>
          </w:p>
          <w:p w14:paraId="25C2E839" w14:textId="77777777" w:rsidR="00070343" w:rsidRPr="00070343" w:rsidRDefault="00070343" w:rsidP="004810FB">
            <w:pPr>
              <w:pStyle w:val="Pud2"/>
              <w:jc w:val="center"/>
              <w:rPr>
                <w:lang w:val="en-US"/>
              </w:rPr>
            </w:pPr>
            <w:r w:rsidRPr="004009E1">
              <w:rPr>
                <w:lang w:val="en-US"/>
              </w:rPr>
              <w:t>400 kg</w:t>
            </w:r>
          </w:p>
          <w:p w14:paraId="41539312" w14:textId="77777777" w:rsidR="00070343" w:rsidRPr="00F31284" w:rsidRDefault="00070343" w:rsidP="004810FB">
            <w:pPr>
              <w:pStyle w:val="Pud2"/>
              <w:jc w:val="center"/>
            </w:pPr>
            <w:r>
              <w:rPr>
                <w:lang w:val="fr-FR"/>
              </w:rPr>
              <w:t>400 kg</w:t>
            </w:r>
          </w:p>
          <w:p w14:paraId="3E3DF481" w14:textId="77777777" w:rsidR="00070343" w:rsidRPr="00F31284" w:rsidRDefault="00070343" w:rsidP="004810FB">
            <w:pPr>
              <w:pStyle w:val="Pud2"/>
              <w:jc w:val="center"/>
            </w:pPr>
            <w:r>
              <w:rPr>
                <w:lang w:val="fr-FR"/>
              </w:rPr>
              <w:t>400 kg</w:t>
            </w:r>
          </w:p>
          <w:p w14:paraId="69D9BFF8" w14:textId="77777777" w:rsidR="00070343" w:rsidRPr="00F31284" w:rsidRDefault="00070343" w:rsidP="004810FB">
            <w:pPr>
              <w:pStyle w:val="Pud2"/>
              <w:jc w:val="center"/>
            </w:pPr>
            <w:r>
              <w:rPr>
                <w:lang w:val="fr-FR"/>
              </w:rPr>
              <w:t>400 kg</w:t>
            </w:r>
          </w:p>
        </w:tc>
      </w:tr>
      <w:tr w:rsidR="00070343" w:rsidRPr="004009E1" w14:paraId="75E0A66C" w14:textId="77777777" w:rsidTr="0007421E">
        <w:trPr>
          <w:trHeight w:val="20"/>
        </w:trPr>
        <w:tc>
          <w:tcPr>
            <w:tcW w:w="5000" w:type="pct"/>
            <w:gridSpan w:val="4"/>
            <w:tcBorders>
              <w:top w:val="single" w:sz="6" w:space="0" w:color="auto"/>
            </w:tcBorders>
          </w:tcPr>
          <w:p w14:paraId="49F27789" w14:textId="77777777" w:rsidR="00070343" w:rsidRPr="004009E1" w:rsidRDefault="00070343" w:rsidP="004810FB">
            <w:pPr>
              <w:pStyle w:val="Ph08"/>
              <w:rPr>
                <w:i/>
                <w:iCs/>
              </w:rPr>
            </w:pPr>
            <w:r>
              <w:rPr>
                <w:b/>
                <w:bCs/>
                <w:vertAlign w:val="superscript"/>
                <w:lang w:val="fr-FR"/>
              </w:rPr>
              <w:t>e</w:t>
            </w:r>
            <w:r>
              <w:rPr>
                <w:lang w:val="fr-FR"/>
              </w:rPr>
              <w:tab/>
            </w:r>
            <w:r>
              <w:rPr>
                <w:i/>
                <w:iCs/>
                <w:lang w:val="fr-FR"/>
              </w:rPr>
              <w:t>Ces emballages ne doivent pas être utilisés pour des matières susceptibles de se liquéfier au cours du transport (voir 4.1.3.4). </w:t>
            </w:r>
            <w:r>
              <w:rPr>
                <w:lang w:val="fr-FR"/>
              </w:rPr>
              <w:t>».</w:t>
            </w:r>
          </w:p>
        </w:tc>
      </w:tr>
    </w:tbl>
    <w:p w14:paraId="093ADF1D" w14:textId="77777777" w:rsidR="00070343" w:rsidRPr="004009E1" w:rsidRDefault="00070343" w:rsidP="0007421E">
      <w:pPr>
        <w:pStyle w:val="SingleTxtG"/>
        <w:spacing w:before="120"/>
      </w:pPr>
      <w:r>
        <w:rPr>
          <w:lang w:val="fr-FR"/>
        </w:rPr>
        <w:t>5.</w:t>
      </w:r>
      <w:r>
        <w:rPr>
          <w:lang w:val="fr-FR"/>
        </w:rPr>
        <w:tab/>
        <w:t>L’incohérence entre les deux dispositions susmentionnées concerne la rubrique relative aux caisses. Selon l’instruction d’emballage P002, les caisses correspondant aux codes 4A, 4B, 4N et 4H2 ne doivent pas être utilisées pour des matières susceptibles de se liquéfier au cours du transport. Toutefois, ces codes ne figurent pas dans la liste du 4.1.3.4, ce qui peut être source de confusion pour les utilisateurs ou les professionnels du secteur.</w:t>
      </w:r>
    </w:p>
    <w:p w14:paraId="328E1515" w14:textId="77777777" w:rsidR="00070343" w:rsidRPr="004009E1" w:rsidRDefault="00070343" w:rsidP="00070343">
      <w:pPr>
        <w:pStyle w:val="SingleTxtG"/>
      </w:pPr>
      <w:r>
        <w:rPr>
          <w:lang w:val="fr-FR"/>
        </w:rPr>
        <w:t>6.</w:t>
      </w:r>
      <w:r>
        <w:rPr>
          <w:lang w:val="fr-FR"/>
        </w:rPr>
        <w:tab/>
        <w:t>À titre de comparaison avec les règlements propres aux différents modes de transport, le 4.1.3.4 de l’Accord relatif au transport international des marchandises dangereuses par route (ADR) et du Règlement concernant le transport international ferroviaire des marchandises dangereuses (RID) indique clairement que les caisses correspondant aux codes 4A, 4B, 4N et 4H2 ne doivent pas être utilisées pour des matières susceptibles de se liquéfier au cours du transport, tandis que le 4.1.3.4 du Code maritime international des marchandises dangereuses (Code IMDG), à l’instar du 4.1.3.4 du Règlement type, n’en fait pas mention.</w:t>
      </w:r>
    </w:p>
    <w:p w14:paraId="0FCB8D4A" w14:textId="32175297" w:rsidR="00070343" w:rsidRPr="004009E1" w:rsidRDefault="0007421E" w:rsidP="0007421E">
      <w:pPr>
        <w:pStyle w:val="HChG"/>
      </w:pPr>
      <w:r>
        <w:rPr>
          <w:lang w:val="fr-FR"/>
        </w:rPr>
        <w:lastRenderedPageBreak/>
        <w:tab/>
      </w:r>
      <w:r w:rsidR="00070343">
        <w:rPr>
          <w:lang w:val="fr-FR"/>
        </w:rPr>
        <w:t>III.</w:t>
      </w:r>
      <w:r w:rsidR="00070343">
        <w:rPr>
          <w:lang w:val="fr-FR"/>
        </w:rPr>
        <w:tab/>
        <w:t>Proposition</w:t>
      </w:r>
    </w:p>
    <w:p w14:paraId="0EF80E60" w14:textId="77777777" w:rsidR="00070343" w:rsidRPr="004009E1" w:rsidRDefault="00070343" w:rsidP="0007421E">
      <w:pPr>
        <w:pStyle w:val="SingleTxtG"/>
        <w:keepNext/>
      </w:pPr>
      <w:r>
        <w:rPr>
          <w:lang w:val="fr-FR"/>
        </w:rPr>
        <w:t>7.</w:t>
      </w:r>
      <w:r>
        <w:rPr>
          <w:lang w:val="fr-FR"/>
        </w:rPr>
        <w:tab/>
        <w:t xml:space="preserve">Afin de prévenir toute confusion et de favoriser l’application harmonisée de la réglementation relative au transport multimodal, la République de Corée propose de modifier comme suit le 4.1.3.4 du Règlement type (les modifications qu’il est proposé d’apporter au texte actuel figurent en caractères </w:t>
      </w:r>
      <w:r>
        <w:rPr>
          <w:b/>
          <w:bCs/>
          <w:u w:val="single"/>
          <w:lang w:val="fr-FR"/>
        </w:rPr>
        <w:t>gras et soulignés</w:t>
      </w:r>
      <w:r>
        <w:rPr>
          <w:lang w:val="fr-FR"/>
        </w:rPr>
        <w:t xml:space="preserve"> pour les ajouts et </w:t>
      </w:r>
      <w:r>
        <w:rPr>
          <w:strike/>
          <w:lang w:val="fr-FR"/>
        </w:rPr>
        <w:t xml:space="preserve">biffés </w:t>
      </w:r>
      <w:r>
        <w:rPr>
          <w:lang w:val="fr-FR"/>
        </w:rPr>
        <w:t>pour les suppressions) :</w:t>
      </w:r>
    </w:p>
    <w:p w14:paraId="5D4C3F15" w14:textId="7495D71E" w:rsidR="00070343" w:rsidRPr="004009E1" w:rsidRDefault="00070343" w:rsidP="0007421E">
      <w:pPr>
        <w:pStyle w:val="SingleTxtG"/>
        <w:keepNext/>
      </w:pPr>
      <w:r>
        <w:rPr>
          <w:lang w:val="fr-FR"/>
        </w:rPr>
        <w:t>« 4.1.3.4</w:t>
      </w:r>
      <w:r>
        <w:rPr>
          <w:lang w:val="fr-FR"/>
        </w:rPr>
        <w:tab/>
        <w:t>Les emballages suivants ne doivent pas être utilisés lorsque les matières transportées sont susceptibles de se liquéfier en cours de transport</w:t>
      </w:r>
      <w:r w:rsidR="0007421E">
        <w:rPr>
          <w:lang w:val="fr-FR"/>
        </w:rPr>
        <w:t> </w:t>
      </w:r>
      <w:r>
        <w:rPr>
          <w:lang w:val="fr-FR"/>
        </w:rPr>
        <w:t>:</w:t>
      </w:r>
    </w:p>
    <w:p w14:paraId="511CEA09" w14:textId="77777777" w:rsidR="00070343" w:rsidRPr="004009E1" w:rsidRDefault="00070343" w:rsidP="00070343">
      <w:pPr>
        <w:pStyle w:val="SingleTxtG"/>
        <w:tabs>
          <w:tab w:val="clear" w:pos="2268"/>
          <w:tab w:val="clear" w:pos="2835"/>
        </w:tabs>
        <w:ind w:left="2268"/>
      </w:pPr>
      <w:r>
        <w:rPr>
          <w:lang w:val="fr-FR"/>
        </w:rPr>
        <w:t>Emballages</w:t>
      </w:r>
    </w:p>
    <w:p w14:paraId="5D4B3A34" w14:textId="77777777" w:rsidR="00070343" w:rsidRPr="004009E1" w:rsidRDefault="00070343" w:rsidP="00070343">
      <w:pPr>
        <w:pStyle w:val="SingleTxtG"/>
        <w:tabs>
          <w:tab w:val="clear" w:pos="2268"/>
          <w:tab w:val="clear" w:pos="2835"/>
        </w:tabs>
        <w:ind w:left="5103" w:hanging="2268"/>
      </w:pPr>
      <w:r>
        <w:rPr>
          <w:lang w:val="fr-FR"/>
        </w:rPr>
        <w:t>Fûts :</w:t>
      </w:r>
      <w:r>
        <w:rPr>
          <w:lang w:val="fr-FR"/>
        </w:rPr>
        <w:tab/>
        <w:t xml:space="preserve">1D et 1G </w:t>
      </w:r>
    </w:p>
    <w:p w14:paraId="2A04BC0D" w14:textId="77777777" w:rsidR="00070343" w:rsidRPr="004009E1" w:rsidRDefault="00070343" w:rsidP="00070343">
      <w:pPr>
        <w:pStyle w:val="SingleTxtG"/>
        <w:tabs>
          <w:tab w:val="clear" w:pos="2268"/>
          <w:tab w:val="clear" w:pos="2835"/>
        </w:tabs>
        <w:ind w:left="5103" w:hanging="2268"/>
      </w:pPr>
      <w:r>
        <w:rPr>
          <w:lang w:val="fr-FR"/>
        </w:rPr>
        <w:t>Caisses :</w:t>
      </w:r>
      <w:r>
        <w:rPr>
          <w:lang w:val="fr-FR"/>
        </w:rPr>
        <w:tab/>
      </w:r>
      <w:r>
        <w:rPr>
          <w:b/>
          <w:bCs/>
          <w:u w:val="single"/>
          <w:lang w:val="fr-FR"/>
        </w:rPr>
        <w:t>4A, 4B, 4N,</w:t>
      </w:r>
      <w:r>
        <w:rPr>
          <w:u w:val="single"/>
          <w:lang w:val="fr-FR"/>
        </w:rPr>
        <w:t xml:space="preserve"> </w:t>
      </w:r>
      <w:r>
        <w:rPr>
          <w:lang w:val="fr-FR"/>
        </w:rPr>
        <w:t xml:space="preserve">4C1, 4C2, 4D, 4F, 4G </w:t>
      </w:r>
      <w:r>
        <w:rPr>
          <w:strike/>
          <w:lang w:val="fr-FR"/>
        </w:rPr>
        <w:t xml:space="preserve">et </w:t>
      </w:r>
      <w:r>
        <w:rPr>
          <w:lang w:val="fr-FR"/>
        </w:rPr>
        <w:t>4H1</w:t>
      </w:r>
      <w:r>
        <w:rPr>
          <w:u w:val="single"/>
          <w:lang w:val="fr-FR"/>
        </w:rPr>
        <w:t xml:space="preserve"> </w:t>
      </w:r>
      <w:r>
        <w:rPr>
          <w:b/>
          <w:bCs/>
          <w:u w:val="single"/>
          <w:lang w:val="fr-FR"/>
        </w:rPr>
        <w:t>et 4H2</w:t>
      </w:r>
      <w:r>
        <w:rPr>
          <w:lang w:val="fr-FR"/>
        </w:rPr>
        <w:t xml:space="preserve"> </w:t>
      </w:r>
    </w:p>
    <w:p w14:paraId="12AF0C6D" w14:textId="77777777" w:rsidR="00070343" w:rsidRPr="004009E1" w:rsidRDefault="00070343" w:rsidP="00070343">
      <w:pPr>
        <w:pStyle w:val="SingleTxtG"/>
        <w:tabs>
          <w:tab w:val="clear" w:pos="2268"/>
          <w:tab w:val="clear" w:pos="2835"/>
        </w:tabs>
        <w:ind w:left="5103" w:hanging="2268"/>
      </w:pPr>
      <w:r>
        <w:rPr>
          <w:lang w:val="fr-FR"/>
        </w:rPr>
        <w:t>Sacs :</w:t>
      </w:r>
      <w:r>
        <w:rPr>
          <w:lang w:val="fr-FR"/>
        </w:rPr>
        <w:tab/>
        <w:t xml:space="preserve">5L1, 5L2, 5L3, 5H1, 5H2, 5H3, 5H4, 5M1 et 5M2 </w:t>
      </w:r>
    </w:p>
    <w:p w14:paraId="607C72EF" w14:textId="77777777" w:rsidR="00070343" w:rsidRPr="004009E1" w:rsidRDefault="00070343" w:rsidP="00070343">
      <w:pPr>
        <w:pStyle w:val="SingleTxtG"/>
        <w:tabs>
          <w:tab w:val="clear" w:pos="2268"/>
          <w:tab w:val="clear" w:pos="2835"/>
        </w:tabs>
        <w:ind w:left="5103" w:hanging="2268"/>
      </w:pPr>
      <w:r>
        <w:rPr>
          <w:lang w:val="fr-FR"/>
        </w:rPr>
        <w:t>Emballages composites :</w:t>
      </w:r>
      <w:r>
        <w:rPr>
          <w:lang w:val="fr-FR"/>
        </w:rPr>
        <w:tab/>
        <w:t>6HC, 6HD2, 6HG1, 6HG2, 6HD1, 6PC, 6PD1, 6PD2, 6PG1, 6PG2 et 6PH1</w:t>
      </w:r>
    </w:p>
    <w:p w14:paraId="215223A7" w14:textId="77777777" w:rsidR="00070343" w:rsidRDefault="00070343" w:rsidP="00070343">
      <w:pPr>
        <w:pStyle w:val="SingleTxtG"/>
        <w:tabs>
          <w:tab w:val="clear" w:pos="2268"/>
          <w:tab w:val="clear" w:pos="2835"/>
        </w:tabs>
        <w:ind w:left="2268"/>
        <w:rPr>
          <w:lang w:val="fr-FR"/>
        </w:rPr>
      </w:pPr>
      <w:r>
        <w:rPr>
          <w:lang w:val="fr-FR"/>
        </w:rPr>
        <w:t>... ».</w:t>
      </w:r>
    </w:p>
    <w:p w14:paraId="4B955491" w14:textId="1E208CD6" w:rsidR="0007421E" w:rsidRPr="0007421E" w:rsidRDefault="0007421E" w:rsidP="0007421E">
      <w:pPr>
        <w:pStyle w:val="SingleTxtG"/>
        <w:spacing w:before="240" w:after="0"/>
        <w:jc w:val="center"/>
        <w:rPr>
          <w:u w:val="single"/>
        </w:rPr>
      </w:pPr>
      <w:r>
        <w:rPr>
          <w:u w:val="single"/>
        </w:rPr>
        <w:tab/>
      </w:r>
      <w:r>
        <w:rPr>
          <w:u w:val="single"/>
        </w:rPr>
        <w:tab/>
      </w:r>
      <w:r>
        <w:rPr>
          <w:u w:val="single"/>
        </w:rPr>
        <w:tab/>
      </w:r>
    </w:p>
    <w:sectPr w:rsidR="0007421E" w:rsidRPr="0007421E" w:rsidSect="000703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A65EC" w14:textId="77777777" w:rsidR="009D2A4B" w:rsidRDefault="009D2A4B" w:rsidP="00F95C08">
      <w:pPr>
        <w:spacing w:line="240" w:lineRule="auto"/>
      </w:pPr>
    </w:p>
  </w:endnote>
  <w:endnote w:type="continuationSeparator" w:id="0">
    <w:p w14:paraId="77F38AC5" w14:textId="77777777" w:rsidR="009D2A4B" w:rsidRPr="00AC3823" w:rsidRDefault="009D2A4B" w:rsidP="00AC3823">
      <w:pPr>
        <w:pStyle w:val="Pieddepage"/>
      </w:pPr>
    </w:p>
  </w:endnote>
  <w:endnote w:type="continuationNotice" w:id="1">
    <w:p w14:paraId="3AB61F6A" w14:textId="77777777" w:rsidR="009D2A4B" w:rsidRDefault="009D2A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9B59E" w14:textId="31EC4BD3" w:rsidR="00070343" w:rsidRPr="00070343" w:rsidRDefault="00070343" w:rsidP="00070343">
    <w:pPr>
      <w:pStyle w:val="Pieddepage"/>
      <w:tabs>
        <w:tab w:val="right" w:pos="9638"/>
      </w:tabs>
    </w:pPr>
    <w:r w:rsidRPr="00070343">
      <w:rPr>
        <w:b/>
        <w:sz w:val="18"/>
      </w:rPr>
      <w:fldChar w:fldCharType="begin"/>
    </w:r>
    <w:r w:rsidRPr="00070343">
      <w:rPr>
        <w:b/>
        <w:sz w:val="18"/>
      </w:rPr>
      <w:instrText xml:space="preserve"> PAGE  \* MERGEFORMAT </w:instrText>
    </w:r>
    <w:r w:rsidRPr="00070343">
      <w:rPr>
        <w:b/>
        <w:sz w:val="18"/>
      </w:rPr>
      <w:fldChar w:fldCharType="separate"/>
    </w:r>
    <w:r w:rsidRPr="00070343">
      <w:rPr>
        <w:b/>
        <w:noProof/>
        <w:sz w:val="18"/>
      </w:rPr>
      <w:t>2</w:t>
    </w:r>
    <w:r w:rsidRPr="00070343">
      <w:rPr>
        <w:b/>
        <w:sz w:val="18"/>
      </w:rPr>
      <w:fldChar w:fldCharType="end"/>
    </w:r>
    <w:r>
      <w:rPr>
        <w:b/>
        <w:sz w:val="18"/>
      </w:rPr>
      <w:tab/>
    </w:r>
    <w:r>
      <w:t>GE.24-06714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5B3FA" w14:textId="1A6FC2BD" w:rsidR="00070343" w:rsidRPr="00070343" w:rsidRDefault="00070343" w:rsidP="00070343">
    <w:pPr>
      <w:pStyle w:val="Pieddepage"/>
      <w:tabs>
        <w:tab w:val="right" w:pos="9638"/>
      </w:tabs>
      <w:rPr>
        <w:b/>
        <w:sz w:val="18"/>
      </w:rPr>
    </w:pPr>
    <w:r>
      <w:t>GE.24-06714</w:t>
    </w:r>
    <w:r>
      <w:tab/>
    </w:r>
    <w:r w:rsidRPr="00070343">
      <w:rPr>
        <w:b/>
        <w:sz w:val="18"/>
      </w:rPr>
      <w:fldChar w:fldCharType="begin"/>
    </w:r>
    <w:r w:rsidRPr="00070343">
      <w:rPr>
        <w:b/>
        <w:sz w:val="18"/>
      </w:rPr>
      <w:instrText xml:space="preserve"> PAGE  \* MERGEFORMAT </w:instrText>
    </w:r>
    <w:r w:rsidRPr="00070343">
      <w:rPr>
        <w:b/>
        <w:sz w:val="18"/>
      </w:rPr>
      <w:fldChar w:fldCharType="separate"/>
    </w:r>
    <w:r w:rsidRPr="00070343">
      <w:rPr>
        <w:b/>
        <w:noProof/>
        <w:sz w:val="18"/>
      </w:rPr>
      <w:t>3</w:t>
    </w:r>
    <w:r w:rsidRPr="000703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472E4" w14:textId="7F7972F6" w:rsidR="0068456F" w:rsidRPr="00070343" w:rsidRDefault="00070343" w:rsidP="00070343">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783ADBD" wp14:editId="40BCC46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24-06714  (F)</w:t>
    </w:r>
    <w:r>
      <w:rPr>
        <w:noProof/>
        <w:sz w:val="20"/>
      </w:rPr>
      <w:drawing>
        <wp:anchor distT="0" distB="0" distL="114300" distR="114300" simplePos="0" relativeHeight="251660288" behindDoc="0" locked="0" layoutInCell="1" allowOverlap="1" wp14:anchorId="3456F93E" wp14:editId="209E5A23">
          <wp:simplePos x="0" y="0"/>
          <wp:positionH relativeFrom="margin">
            <wp:posOffset>5489575</wp:posOffset>
          </wp:positionH>
          <wp:positionV relativeFrom="margin">
            <wp:posOffset>8891905</wp:posOffset>
          </wp:positionV>
          <wp:extent cx="628650" cy="628650"/>
          <wp:effectExtent l="0" t="0" r="0" b="0"/>
          <wp:wrapNone/>
          <wp:docPr id="17011153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230424    230424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DD39C" w14:textId="77777777" w:rsidR="009D2A4B" w:rsidRPr="00AC3823" w:rsidRDefault="009D2A4B" w:rsidP="00AC3823">
      <w:pPr>
        <w:pStyle w:val="Pieddepage"/>
        <w:tabs>
          <w:tab w:val="right" w:pos="2155"/>
        </w:tabs>
        <w:spacing w:after="80" w:line="240" w:lineRule="atLeast"/>
        <w:ind w:left="680"/>
        <w:rPr>
          <w:u w:val="single"/>
        </w:rPr>
      </w:pPr>
      <w:r>
        <w:rPr>
          <w:u w:val="single"/>
        </w:rPr>
        <w:tab/>
      </w:r>
    </w:p>
  </w:footnote>
  <w:footnote w:type="continuationSeparator" w:id="0">
    <w:p w14:paraId="2456315B" w14:textId="77777777" w:rsidR="009D2A4B" w:rsidRPr="00AC3823" w:rsidRDefault="009D2A4B" w:rsidP="00AC3823">
      <w:pPr>
        <w:pStyle w:val="Pieddepage"/>
        <w:tabs>
          <w:tab w:val="right" w:pos="2155"/>
        </w:tabs>
        <w:spacing w:after="80" w:line="240" w:lineRule="atLeast"/>
        <w:ind w:left="680"/>
        <w:rPr>
          <w:u w:val="single"/>
        </w:rPr>
      </w:pPr>
      <w:r>
        <w:rPr>
          <w:u w:val="single"/>
        </w:rPr>
        <w:tab/>
      </w:r>
    </w:p>
  </w:footnote>
  <w:footnote w:type="continuationNotice" w:id="1">
    <w:p w14:paraId="171EDB9F" w14:textId="77777777" w:rsidR="009D2A4B" w:rsidRPr="00AC3823" w:rsidRDefault="009D2A4B">
      <w:pPr>
        <w:spacing w:line="240" w:lineRule="auto"/>
        <w:rPr>
          <w:sz w:val="2"/>
          <w:szCs w:val="2"/>
        </w:rPr>
      </w:pPr>
    </w:p>
  </w:footnote>
  <w:footnote w:id="2">
    <w:p w14:paraId="7C61027B" w14:textId="77777777" w:rsidR="00070343" w:rsidRPr="00705410" w:rsidRDefault="00070343" w:rsidP="00070343">
      <w:pPr>
        <w:pStyle w:val="Notedebasdepage"/>
      </w:pPr>
      <w:r>
        <w:rPr>
          <w:lang w:val="fr-FR"/>
        </w:rPr>
        <w:tab/>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DF980" w14:textId="63BFBC09" w:rsidR="00070343" w:rsidRPr="00070343" w:rsidRDefault="00070343">
    <w:pPr>
      <w:pStyle w:val="En-tte"/>
    </w:pPr>
    <w:fldSimple w:instr=" TITLE  \* MERGEFORMAT ">
      <w:r w:rsidR="00602C68">
        <w:t>ST/SG/AC.10/C.3/2024/43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49FC0" w14:textId="2DFFA866" w:rsidR="00070343" w:rsidRPr="00070343" w:rsidRDefault="00070343" w:rsidP="00070343">
    <w:pPr>
      <w:pStyle w:val="En-tte"/>
      <w:jc w:val="right"/>
    </w:pPr>
    <w:fldSimple w:instr=" TITLE  \* MERGEFORMAT ">
      <w:r w:rsidR="00602C68">
        <w:t>ST/SG/AC.10/C.3/2024/43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52416797">
    <w:abstractNumId w:val="12"/>
  </w:num>
  <w:num w:numId="2" w16cid:durableId="2045254466">
    <w:abstractNumId w:val="11"/>
  </w:num>
  <w:num w:numId="3" w16cid:durableId="1018696887">
    <w:abstractNumId w:val="10"/>
  </w:num>
  <w:num w:numId="4" w16cid:durableId="1702046062">
    <w:abstractNumId w:val="8"/>
  </w:num>
  <w:num w:numId="5" w16cid:durableId="1399591680">
    <w:abstractNumId w:val="3"/>
  </w:num>
  <w:num w:numId="6" w16cid:durableId="396821848">
    <w:abstractNumId w:val="2"/>
  </w:num>
  <w:num w:numId="7" w16cid:durableId="894388210">
    <w:abstractNumId w:val="1"/>
  </w:num>
  <w:num w:numId="8" w16cid:durableId="619074175">
    <w:abstractNumId w:val="0"/>
  </w:num>
  <w:num w:numId="9" w16cid:durableId="457533870">
    <w:abstractNumId w:val="9"/>
  </w:num>
  <w:num w:numId="10" w16cid:durableId="503712038">
    <w:abstractNumId w:val="7"/>
  </w:num>
  <w:num w:numId="11" w16cid:durableId="1250773428">
    <w:abstractNumId w:val="6"/>
  </w:num>
  <w:num w:numId="12" w16cid:durableId="192883498">
    <w:abstractNumId w:val="5"/>
  </w:num>
  <w:num w:numId="13" w16cid:durableId="286350106">
    <w:abstractNumId w:val="4"/>
  </w:num>
  <w:num w:numId="14" w16cid:durableId="1532255793">
    <w:abstractNumId w:val="12"/>
  </w:num>
  <w:num w:numId="15" w16cid:durableId="572393401">
    <w:abstractNumId w:val="11"/>
  </w:num>
  <w:num w:numId="16" w16cid:durableId="821849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4B"/>
    <w:rsid w:val="00017F94"/>
    <w:rsid w:val="00023842"/>
    <w:rsid w:val="000305D3"/>
    <w:rsid w:val="000334F9"/>
    <w:rsid w:val="00070343"/>
    <w:rsid w:val="0007421E"/>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02C68"/>
    <w:rsid w:val="0068456F"/>
    <w:rsid w:val="006D4CD1"/>
    <w:rsid w:val="0071601D"/>
    <w:rsid w:val="007A62E6"/>
    <w:rsid w:val="0080684C"/>
    <w:rsid w:val="008123E0"/>
    <w:rsid w:val="00871C75"/>
    <w:rsid w:val="008776DC"/>
    <w:rsid w:val="008B3730"/>
    <w:rsid w:val="008B40CD"/>
    <w:rsid w:val="009705C8"/>
    <w:rsid w:val="009C1CF4"/>
    <w:rsid w:val="009D2A4B"/>
    <w:rsid w:val="00A30353"/>
    <w:rsid w:val="00A81281"/>
    <w:rsid w:val="00A949D9"/>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6A54E"/>
  <w15:docId w15:val="{8312B46E-018E-4952-9D97-7D93431F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070343"/>
    <w:rPr>
      <w:rFonts w:ascii="Times New Roman" w:eastAsiaTheme="minorHAnsi" w:hAnsi="Times New Roman" w:cs="Times New Roman"/>
      <w:b/>
      <w:sz w:val="28"/>
      <w:szCs w:val="20"/>
      <w:lang w:eastAsia="en-US"/>
    </w:rPr>
  </w:style>
  <w:style w:type="character" w:customStyle="1" w:styleId="H1GChar">
    <w:name w:val="_ H_1_G Char"/>
    <w:link w:val="H1G"/>
    <w:locked/>
    <w:rsid w:val="00070343"/>
    <w:rPr>
      <w:rFonts w:ascii="Times New Roman" w:eastAsiaTheme="minorHAnsi" w:hAnsi="Times New Roman" w:cs="Times New Roman"/>
      <w:b/>
      <w:sz w:val="24"/>
      <w:szCs w:val="20"/>
      <w:lang w:eastAsia="en-US"/>
    </w:rPr>
  </w:style>
  <w:style w:type="paragraph" w:customStyle="1" w:styleId="Pheader">
    <w:name w:val="P_header"/>
    <w:basedOn w:val="Pnormal"/>
    <w:link w:val="PheaderChar"/>
    <w:qFormat/>
    <w:rsid w:val="00070343"/>
    <w:pPr>
      <w:keepNext/>
      <w:keepLines/>
      <w:tabs>
        <w:tab w:val="center" w:pos="4820"/>
        <w:tab w:val="right" w:pos="9639"/>
      </w:tabs>
    </w:pPr>
    <w:rPr>
      <w:b/>
      <w:bCs/>
    </w:rPr>
  </w:style>
  <w:style w:type="paragraph" w:customStyle="1" w:styleId="Pnormal">
    <w:name w:val="P_normal"/>
    <w:basedOn w:val="Normal"/>
    <w:link w:val="PnormalChar"/>
    <w:qFormat/>
    <w:rsid w:val="00070343"/>
    <w:pPr>
      <w:spacing w:before="80" w:after="80" w:line="240" w:lineRule="auto"/>
      <w:jc w:val="both"/>
    </w:pPr>
    <w:rPr>
      <w:rFonts w:eastAsia="Times New Roman"/>
    </w:rPr>
  </w:style>
  <w:style w:type="character" w:customStyle="1" w:styleId="PheaderChar">
    <w:name w:val="P_header Char"/>
    <w:basedOn w:val="Policepardfaut"/>
    <w:link w:val="Pheader"/>
    <w:rsid w:val="00070343"/>
    <w:rPr>
      <w:rFonts w:ascii="Times New Roman" w:hAnsi="Times New Roman" w:cs="Times New Roman"/>
      <w:b/>
      <w:bCs/>
      <w:sz w:val="20"/>
      <w:szCs w:val="20"/>
      <w:lang w:eastAsia="en-US"/>
    </w:rPr>
  </w:style>
  <w:style w:type="character" w:customStyle="1" w:styleId="PnormalChar">
    <w:name w:val="P_normal Char"/>
    <w:basedOn w:val="Policepardfaut"/>
    <w:link w:val="Pnormal"/>
    <w:rsid w:val="00070343"/>
    <w:rPr>
      <w:rFonts w:ascii="Times New Roman" w:hAnsi="Times New Roman" w:cs="Times New Roman"/>
      <w:sz w:val="20"/>
      <w:szCs w:val="20"/>
      <w:lang w:eastAsia="en-US"/>
    </w:rPr>
  </w:style>
  <w:style w:type="paragraph" w:customStyle="1" w:styleId="Ph08">
    <w:name w:val="P_h0.8"/>
    <w:basedOn w:val="Pnormal"/>
    <w:link w:val="Ph08Char"/>
    <w:qFormat/>
    <w:rsid w:val="00070343"/>
    <w:pPr>
      <w:ind w:left="454" w:hanging="454"/>
    </w:pPr>
  </w:style>
  <w:style w:type="character" w:customStyle="1" w:styleId="Ph08Char">
    <w:name w:val="P_h0.8 Char"/>
    <w:basedOn w:val="PnormalChar"/>
    <w:link w:val="Ph08"/>
    <w:rsid w:val="00070343"/>
    <w:rPr>
      <w:rFonts w:ascii="Times New Roman" w:hAnsi="Times New Roman" w:cs="Times New Roman"/>
      <w:sz w:val="20"/>
      <w:szCs w:val="20"/>
      <w:lang w:eastAsia="en-US"/>
    </w:rPr>
  </w:style>
  <w:style w:type="paragraph" w:customStyle="1" w:styleId="Pb04h02ud2">
    <w:name w:val="P_b0.4_h0.2_ud2"/>
    <w:basedOn w:val="Pud2"/>
    <w:link w:val="Pb04h02ud2Char"/>
    <w:qFormat/>
    <w:rsid w:val="00070343"/>
    <w:pPr>
      <w:ind w:left="340" w:hanging="113"/>
      <w:jc w:val="left"/>
    </w:pPr>
  </w:style>
  <w:style w:type="character" w:customStyle="1" w:styleId="Pb04h02ud2Char">
    <w:name w:val="P_b0.4_h0.2_ud2 Char"/>
    <w:basedOn w:val="Policepardfaut"/>
    <w:link w:val="Pb04h02ud2"/>
    <w:rsid w:val="00070343"/>
    <w:rPr>
      <w:rFonts w:ascii="Times New Roman" w:hAnsi="Times New Roman" w:cs="Times New Roman"/>
      <w:sz w:val="20"/>
      <w:szCs w:val="20"/>
      <w:lang w:eastAsia="en-US"/>
    </w:rPr>
  </w:style>
  <w:style w:type="paragraph" w:customStyle="1" w:styleId="Pu4d2">
    <w:name w:val="P_u4_d2"/>
    <w:basedOn w:val="Pnormal"/>
    <w:link w:val="Pu4d2Char"/>
    <w:qFormat/>
    <w:rsid w:val="00070343"/>
    <w:pPr>
      <w:spacing w:after="40"/>
    </w:pPr>
  </w:style>
  <w:style w:type="paragraph" w:customStyle="1" w:styleId="Pud2">
    <w:name w:val="P_ud2"/>
    <w:basedOn w:val="Pnormal"/>
    <w:link w:val="Pud2Char"/>
    <w:qFormat/>
    <w:rsid w:val="00070343"/>
    <w:pPr>
      <w:spacing w:before="40" w:after="40"/>
    </w:pPr>
  </w:style>
  <w:style w:type="character" w:customStyle="1" w:styleId="Pu4d2Char">
    <w:name w:val="P_u4_d2 Char"/>
    <w:basedOn w:val="PnormalChar"/>
    <w:link w:val="Pu4d2"/>
    <w:rsid w:val="00070343"/>
    <w:rPr>
      <w:rFonts w:ascii="Times New Roman" w:hAnsi="Times New Roman" w:cs="Times New Roman"/>
      <w:sz w:val="20"/>
      <w:szCs w:val="20"/>
      <w:lang w:eastAsia="en-US"/>
    </w:rPr>
  </w:style>
  <w:style w:type="character" w:customStyle="1" w:styleId="Pud2Char">
    <w:name w:val="P_ud2 Char"/>
    <w:basedOn w:val="PnormalChar"/>
    <w:link w:val="Pud2"/>
    <w:rsid w:val="00070343"/>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3F3ED-F2AD-48F3-AF10-CAA1B0252B1F}"/>
</file>

<file path=customXml/itemProps2.xml><?xml version="1.0" encoding="utf-8"?>
<ds:datastoreItem xmlns:ds="http://schemas.openxmlformats.org/officeDocument/2006/customXml" ds:itemID="{E2793CED-D379-41ED-8E78-596A78AFE11E}"/>
</file>

<file path=docProps/app.xml><?xml version="1.0" encoding="utf-8"?>
<Properties xmlns="http://schemas.openxmlformats.org/officeDocument/2006/extended-properties" xmlns:vt="http://schemas.openxmlformats.org/officeDocument/2006/docPropsVTypes">
  <Template>ST.dotm</Template>
  <TotalTime>0</TotalTime>
  <Pages>3</Pages>
  <Words>791</Words>
  <Characters>4243</Characters>
  <Application>Microsoft Office Word</Application>
  <DocSecurity>0</DocSecurity>
  <Lines>136</Lines>
  <Paragraphs>84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ST/SG/AC.10/C.3/2024/43</dc:title>
  <dc:subject/>
  <dc:creator>Christine CHAUTAGNAT</dc:creator>
  <cp:keywords/>
  <cp:lastModifiedBy>Christine Chautagnat</cp:lastModifiedBy>
  <cp:revision>3</cp:revision>
  <cp:lastPrinted>2024-04-23T11:49:00Z</cp:lastPrinted>
  <dcterms:created xsi:type="dcterms:W3CDTF">2024-04-23T11:49:00Z</dcterms:created>
  <dcterms:modified xsi:type="dcterms:W3CDTF">2024-04-23T11:49:00Z</dcterms:modified>
</cp:coreProperties>
</file>