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C598B8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93840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FBDB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D5CAF" w14:textId="3201291D" w:rsidR="00896D33" w:rsidRDefault="00896D33" w:rsidP="00896D33">
            <w:pPr>
              <w:jc w:val="right"/>
            </w:pPr>
            <w:r w:rsidRPr="00896D33">
              <w:rPr>
                <w:sz w:val="40"/>
              </w:rPr>
              <w:t>ST</w:t>
            </w:r>
            <w:r>
              <w:t>/SG/AC.10/C.3/2024/24−</w:t>
            </w:r>
            <w:r w:rsidRPr="00896D33">
              <w:rPr>
                <w:sz w:val="40"/>
              </w:rPr>
              <w:t>ST</w:t>
            </w:r>
            <w:r>
              <w:t>/SG/AC.10/C.4/2024/5</w:t>
            </w:r>
          </w:p>
        </w:tc>
      </w:tr>
      <w:tr w:rsidR="00E52109" w14:paraId="5D43FE1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4B824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514CE5" wp14:editId="1DFFC7B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D2BB5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FF76B5" w14:textId="77777777" w:rsidR="00D94B05" w:rsidRDefault="00896D33" w:rsidP="00896D33">
            <w:pPr>
              <w:spacing w:before="240" w:line="240" w:lineRule="exact"/>
            </w:pPr>
            <w:r>
              <w:t>Distr.: General</w:t>
            </w:r>
          </w:p>
          <w:p w14:paraId="5AE8044D" w14:textId="57308BCD" w:rsidR="00896D33" w:rsidRDefault="00EB76F7" w:rsidP="00896D33">
            <w:pPr>
              <w:spacing w:line="240" w:lineRule="exact"/>
            </w:pPr>
            <w:r>
              <w:t>5</w:t>
            </w:r>
            <w:r w:rsidR="00896D33" w:rsidRPr="00EB76F7">
              <w:t xml:space="preserve"> </w:t>
            </w:r>
            <w:r w:rsidR="002B2D1E" w:rsidRPr="00EB76F7">
              <w:t xml:space="preserve">April </w:t>
            </w:r>
            <w:r w:rsidR="00896D33" w:rsidRPr="00EB76F7">
              <w:t>2024</w:t>
            </w:r>
          </w:p>
          <w:p w14:paraId="396BB1A4" w14:textId="77777777" w:rsidR="00896D33" w:rsidRDefault="00896D33" w:rsidP="00896D33">
            <w:pPr>
              <w:spacing w:line="240" w:lineRule="exact"/>
            </w:pPr>
          </w:p>
          <w:p w14:paraId="30699348" w14:textId="738AA79B" w:rsidR="00896D33" w:rsidRDefault="00896D33" w:rsidP="00896D33">
            <w:pPr>
              <w:spacing w:line="240" w:lineRule="exact"/>
            </w:pPr>
            <w:r>
              <w:t>Original: English</w:t>
            </w:r>
          </w:p>
        </w:tc>
      </w:tr>
    </w:tbl>
    <w:p w14:paraId="4E6C5FB7" w14:textId="77777777" w:rsidR="00896D33" w:rsidRPr="006500BA" w:rsidRDefault="00896D33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896D33" w:rsidRPr="00302456" w14:paraId="1855547A" w14:textId="77777777" w:rsidTr="00846F7F">
        <w:tc>
          <w:tcPr>
            <w:tcW w:w="4644" w:type="dxa"/>
            <w:shd w:val="clear" w:color="auto" w:fill="auto"/>
          </w:tcPr>
          <w:p w14:paraId="2EA0C92C" w14:textId="77777777" w:rsidR="00896D33" w:rsidRPr="00302456" w:rsidRDefault="00896D33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14:paraId="695260B8" w14:textId="77777777" w:rsidR="00896D33" w:rsidRPr="00302456" w:rsidRDefault="00896D33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896D33" w:rsidRPr="00AA64CE" w14:paraId="32FE081B" w14:textId="77777777" w:rsidTr="00846F7F">
        <w:tc>
          <w:tcPr>
            <w:tcW w:w="4644" w:type="dxa"/>
            <w:shd w:val="clear" w:color="auto" w:fill="auto"/>
          </w:tcPr>
          <w:p w14:paraId="1C9699CC" w14:textId="0EDCE059" w:rsidR="00896D33" w:rsidRPr="00AA64CE" w:rsidRDefault="00E8596C" w:rsidP="00846F7F">
            <w:pPr>
              <w:spacing w:before="120"/>
              <w:rPr>
                <w:b/>
              </w:rPr>
            </w:pPr>
            <w:r>
              <w:rPr>
                <w:b/>
              </w:rPr>
              <w:t>Sixty-fourth</w:t>
            </w:r>
            <w:r w:rsidR="00896D33" w:rsidRPr="00E8596C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14:paraId="5896F9E7" w14:textId="215AAA85" w:rsidR="00896D33" w:rsidRPr="00AA64CE" w:rsidRDefault="00193EFB" w:rsidP="00846F7F">
            <w:pPr>
              <w:spacing w:before="120"/>
              <w:rPr>
                <w:b/>
              </w:rPr>
            </w:pPr>
            <w:r w:rsidRPr="00AA64CE">
              <w:rPr>
                <w:b/>
              </w:rPr>
              <w:t xml:space="preserve">Forty-sixth </w:t>
            </w:r>
            <w:r w:rsidR="00896D33" w:rsidRPr="00AA64CE">
              <w:rPr>
                <w:b/>
              </w:rPr>
              <w:t>session</w:t>
            </w:r>
          </w:p>
        </w:tc>
      </w:tr>
      <w:tr w:rsidR="00896D33" w:rsidRPr="00AA64CE" w14:paraId="25CEC567" w14:textId="77777777" w:rsidTr="00846F7F">
        <w:tc>
          <w:tcPr>
            <w:tcW w:w="4644" w:type="dxa"/>
            <w:shd w:val="clear" w:color="auto" w:fill="auto"/>
          </w:tcPr>
          <w:p w14:paraId="5689D0F2" w14:textId="560738E4" w:rsidR="00896D33" w:rsidRPr="00AA64CE" w:rsidRDefault="00896D33" w:rsidP="00846F7F">
            <w:pPr>
              <w:rPr>
                <w:b/>
              </w:rPr>
            </w:pPr>
            <w:r w:rsidRPr="00AA64CE">
              <w:t xml:space="preserve">Geneva, </w:t>
            </w:r>
            <w:r w:rsidR="00AA64CE">
              <w:t>24 June-3 July 2024</w:t>
            </w:r>
            <w:r w:rsidRPr="00AA64CE"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0021A54A" w14:textId="32F59CFF" w:rsidR="00896D33" w:rsidRPr="00AA64CE" w:rsidRDefault="00896D33" w:rsidP="00846F7F">
            <w:pPr>
              <w:rPr>
                <w:b/>
              </w:rPr>
            </w:pPr>
            <w:r w:rsidRPr="00AA64CE">
              <w:t xml:space="preserve">Geneva, </w:t>
            </w:r>
            <w:r w:rsidR="00193EFB" w:rsidRPr="00AA64CE">
              <w:t>3-5 July 2024</w:t>
            </w:r>
          </w:p>
        </w:tc>
      </w:tr>
      <w:tr w:rsidR="00896D33" w:rsidRPr="00E8596C" w14:paraId="0E84A6BE" w14:textId="77777777" w:rsidTr="00846F7F">
        <w:tc>
          <w:tcPr>
            <w:tcW w:w="4644" w:type="dxa"/>
            <w:shd w:val="clear" w:color="auto" w:fill="auto"/>
          </w:tcPr>
          <w:p w14:paraId="0877B8C5" w14:textId="68BBB90C" w:rsidR="00896D33" w:rsidRPr="00AA64CE" w:rsidRDefault="00896D33" w:rsidP="00846F7F">
            <w:r w:rsidRPr="00AA64CE">
              <w:t xml:space="preserve">Item </w:t>
            </w:r>
            <w:r w:rsidR="00050701">
              <w:t>10</w:t>
            </w:r>
            <w:r w:rsidR="00050701" w:rsidRPr="00AA64CE">
              <w:t xml:space="preserve"> </w:t>
            </w:r>
            <w:r w:rsidR="00A23C48">
              <w:t xml:space="preserve">(c) </w:t>
            </w:r>
            <w:r w:rsidRPr="00AA64CE">
              <w:t>of the provisional agenda</w:t>
            </w:r>
          </w:p>
        </w:tc>
        <w:tc>
          <w:tcPr>
            <w:tcW w:w="5103" w:type="dxa"/>
            <w:shd w:val="clear" w:color="auto" w:fill="auto"/>
          </w:tcPr>
          <w:p w14:paraId="73F80FD7" w14:textId="626EB427" w:rsidR="00896D33" w:rsidRPr="00E8596C" w:rsidRDefault="00896D33" w:rsidP="00846F7F">
            <w:r w:rsidRPr="00AA64CE">
              <w:t xml:space="preserve">Item </w:t>
            </w:r>
            <w:r w:rsidR="00193EFB" w:rsidRPr="00AA64CE">
              <w:t xml:space="preserve">2 (j) </w:t>
            </w:r>
            <w:r w:rsidRPr="00AA64CE">
              <w:t>of the provisional agenda</w:t>
            </w:r>
          </w:p>
        </w:tc>
      </w:tr>
      <w:tr w:rsidR="00896D33" w:rsidRPr="00E8596C" w14:paraId="3E15038E" w14:textId="77777777" w:rsidTr="00846F7F">
        <w:tc>
          <w:tcPr>
            <w:tcW w:w="4644" w:type="dxa"/>
            <w:shd w:val="clear" w:color="auto" w:fill="auto"/>
          </w:tcPr>
          <w:p w14:paraId="11FD6F6A" w14:textId="33980C3E" w:rsidR="00896D33" w:rsidRPr="00E8596C" w:rsidRDefault="00AA64CE" w:rsidP="00846F7F">
            <w:pPr>
              <w:rPr>
                <w:b/>
              </w:rPr>
            </w:pPr>
            <w:r w:rsidRPr="00AA64CE">
              <w:rPr>
                <w:b/>
              </w:rPr>
              <w:t xml:space="preserve">Issues relating to the Globally Harmonized System </w:t>
            </w:r>
            <w:r>
              <w:rPr>
                <w:b/>
              </w:rPr>
              <w:br/>
            </w:r>
            <w:r w:rsidRPr="00AA64CE">
              <w:rPr>
                <w:b/>
              </w:rPr>
              <w:t>of Classification and Labelling of Chemicals</w:t>
            </w:r>
            <w:r>
              <w:rPr>
                <w:b/>
              </w:rPr>
              <w:t>: Miscellaneous</w:t>
            </w:r>
          </w:p>
        </w:tc>
        <w:tc>
          <w:tcPr>
            <w:tcW w:w="5103" w:type="dxa"/>
            <w:shd w:val="clear" w:color="auto" w:fill="auto"/>
          </w:tcPr>
          <w:p w14:paraId="084FAA4F" w14:textId="77777777" w:rsidR="00EB76F7" w:rsidRDefault="00E8596C" w:rsidP="00846F7F">
            <w:pPr>
              <w:rPr>
                <w:b/>
              </w:rPr>
            </w:pPr>
            <w:r w:rsidRPr="00E8596C">
              <w:rPr>
                <w:b/>
              </w:rPr>
              <w:t>Work on the Globally Harmonized System of Classification and Labelling of Chemicals:</w:t>
            </w:r>
          </w:p>
          <w:p w14:paraId="42A7E550" w14:textId="45B8DE50" w:rsidR="00896D33" w:rsidRPr="00E8596C" w:rsidRDefault="00EB76F7" w:rsidP="00846F7F">
            <w:pPr>
              <w:rPr>
                <w:b/>
              </w:rPr>
            </w:pPr>
            <w:r>
              <w:rPr>
                <w:b/>
              </w:rPr>
              <w:t>O</w:t>
            </w:r>
            <w:r w:rsidR="00E8596C" w:rsidRPr="00E8596C">
              <w:rPr>
                <w:b/>
              </w:rPr>
              <w:t>ther matters</w:t>
            </w:r>
          </w:p>
        </w:tc>
      </w:tr>
    </w:tbl>
    <w:p w14:paraId="47364217" w14:textId="77777777" w:rsidR="00896D33" w:rsidRPr="0077101B" w:rsidRDefault="00896D33" w:rsidP="00E26BCF"/>
    <w:p w14:paraId="4635901F" w14:textId="038EF531" w:rsidR="00736E18" w:rsidRPr="00B3577B" w:rsidRDefault="00736E18" w:rsidP="00736E18">
      <w:pPr>
        <w:pStyle w:val="HChG"/>
        <w:jc w:val="both"/>
      </w:pPr>
      <w:r>
        <w:rPr>
          <w:lang w:val="en-AU"/>
        </w:rPr>
        <w:tab/>
      </w:r>
      <w:r>
        <w:rPr>
          <w:lang w:val="en-AU"/>
        </w:rPr>
        <w:tab/>
        <w:t xml:space="preserve">Consideration of </w:t>
      </w:r>
      <w:r w:rsidR="00FF2DEE">
        <w:rPr>
          <w:lang w:val="en-AU"/>
        </w:rPr>
        <w:t>n</w:t>
      </w:r>
      <w:r>
        <w:rPr>
          <w:lang w:val="en-AU"/>
        </w:rPr>
        <w:t xml:space="preserve">itrocellulose mixtures in </w:t>
      </w:r>
      <w:r w:rsidR="00FF2DEE">
        <w:rPr>
          <w:lang w:val="en-AU"/>
        </w:rPr>
        <w:t>c</w:t>
      </w:r>
      <w:r>
        <w:rPr>
          <w:lang w:val="en-AU"/>
        </w:rPr>
        <w:t>hapter 2.17 (</w:t>
      </w:r>
      <w:r w:rsidR="00FF2DEE">
        <w:rPr>
          <w:lang w:val="en-AU"/>
        </w:rPr>
        <w:t xml:space="preserve">Desensitized </w:t>
      </w:r>
      <w:r w:rsidRPr="00ED01CA">
        <w:rPr>
          <w:lang w:val="en-AU"/>
        </w:rPr>
        <w:t>e</w:t>
      </w:r>
      <w:r>
        <w:rPr>
          <w:lang w:val="en-AU"/>
        </w:rPr>
        <w:t xml:space="preserve">xplosives) of the </w:t>
      </w:r>
      <w:r w:rsidR="00FF2DEE">
        <w:rPr>
          <w:lang w:val="en-AU"/>
        </w:rPr>
        <w:t>Globally Harmonized System</w:t>
      </w:r>
      <w:r>
        <w:rPr>
          <w:lang w:val="en-AU"/>
        </w:rPr>
        <w:t xml:space="preserve">, Section 51 of the </w:t>
      </w:r>
      <w:r w:rsidR="00FF2DEE">
        <w:rPr>
          <w:lang w:val="en-AU"/>
        </w:rPr>
        <w:t>Manual of Tests and Criteria</w:t>
      </w:r>
      <w:r>
        <w:rPr>
          <w:lang w:val="en-AU"/>
        </w:rPr>
        <w:t xml:space="preserve"> and </w:t>
      </w:r>
      <w:r w:rsidR="00FF2DEE">
        <w:rPr>
          <w:lang w:val="en-AU"/>
        </w:rPr>
        <w:t>s</w:t>
      </w:r>
      <w:r>
        <w:rPr>
          <w:lang w:val="en-AU"/>
        </w:rPr>
        <w:t xml:space="preserve">pecial </w:t>
      </w:r>
      <w:r w:rsidR="00FF2DEE">
        <w:rPr>
          <w:lang w:val="en-AU"/>
        </w:rPr>
        <w:t>p</w:t>
      </w:r>
      <w:r>
        <w:rPr>
          <w:lang w:val="en-AU"/>
        </w:rPr>
        <w:t xml:space="preserve">rovision 393 of the </w:t>
      </w:r>
      <w:r w:rsidR="00FF2DEE">
        <w:rPr>
          <w:lang w:val="en-AU"/>
        </w:rPr>
        <w:t>Model Regulations</w:t>
      </w:r>
    </w:p>
    <w:p w14:paraId="0FE6DA32" w14:textId="638329AB" w:rsidR="00736E18" w:rsidRDefault="00736E18" w:rsidP="000865B2">
      <w:pPr>
        <w:pStyle w:val="H1G"/>
      </w:pPr>
      <w:r>
        <w:rPr>
          <w:lang w:val="en-AU"/>
        </w:rPr>
        <w:tab/>
      </w:r>
      <w:r>
        <w:rPr>
          <w:lang w:val="en-AU"/>
        </w:rPr>
        <w:tab/>
      </w:r>
      <w:r>
        <w:t>Transmitted by the Australasian Explosives Industry Safety Group Inc. (AEISG)</w:t>
      </w:r>
      <w:r w:rsidR="00FF2DEE" w:rsidRPr="00736E18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264D56FB" w14:textId="2F5CA66B" w:rsidR="00736E18" w:rsidRPr="007628D5" w:rsidRDefault="00736E18" w:rsidP="00736E18">
      <w:pPr>
        <w:pStyle w:val="HChG"/>
      </w:pPr>
      <w:r>
        <w:tab/>
      </w:r>
      <w:r w:rsidR="00E25BCA">
        <w:t>I.</w:t>
      </w:r>
      <w:r w:rsidR="00E25BCA">
        <w:tab/>
      </w:r>
      <w:r>
        <w:t>Background</w:t>
      </w:r>
    </w:p>
    <w:p w14:paraId="000E921C" w14:textId="11FE35FD" w:rsidR="00736E18" w:rsidRPr="000C44C9" w:rsidRDefault="00FF2DEE" w:rsidP="000865B2">
      <w:pPr>
        <w:pStyle w:val="SingleTxtG"/>
      </w:pPr>
      <w:r w:rsidRPr="000865B2">
        <w:t>1.</w:t>
      </w:r>
      <w:r w:rsidRPr="000865B2">
        <w:tab/>
      </w:r>
      <w:r w:rsidR="00736E18" w:rsidRPr="000865B2">
        <w:t>At its forty-third session, the Sub-Committee of Experts on the Globally Harmonised System of Classification and Labelling of Chemicals (GHS</w:t>
      </w:r>
      <w:r w:rsidR="003C5D89">
        <w:t xml:space="preserve"> Sub-Committee</w:t>
      </w:r>
      <w:r w:rsidR="00736E18" w:rsidRPr="000865B2">
        <w:t xml:space="preserve">) adopted changes to </w:t>
      </w:r>
      <w:r w:rsidR="00E86562">
        <w:t>c</w:t>
      </w:r>
      <w:r w:rsidR="00736E18" w:rsidRPr="000865B2">
        <w:t>hapter 2.17 (Desensiti</w:t>
      </w:r>
      <w:r w:rsidR="00E86562">
        <w:t>z</w:t>
      </w:r>
      <w:r w:rsidR="00736E18" w:rsidRPr="000865B2">
        <w:t xml:space="preserve">ed explosives) of the GHS as proposed in document ST/SG/AC.10/C.4/2022/10 from Germany and </w:t>
      </w:r>
      <w:r w:rsidR="00E86562" w:rsidRPr="002D35E1">
        <w:t>the United States</w:t>
      </w:r>
      <w:r w:rsidR="00E86562">
        <w:t xml:space="preserve"> of America </w:t>
      </w:r>
      <w:r w:rsidR="00736E18" w:rsidRPr="000865B2">
        <w:t xml:space="preserve">with amendments as outlined in </w:t>
      </w:r>
      <w:r w:rsidR="00E86562">
        <w:t xml:space="preserve">informal </w:t>
      </w:r>
      <w:r w:rsidR="00736E18" w:rsidRPr="000865B2">
        <w:t xml:space="preserve">document INF.35 from Germany, </w:t>
      </w:r>
      <w:r w:rsidR="00E86562">
        <w:t>the United States of America</w:t>
      </w:r>
      <w:r w:rsidR="00E86562" w:rsidRPr="000865B2">
        <w:t xml:space="preserve"> </w:t>
      </w:r>
      <w:r w:rsidR="00736E18" w:rsidRPr="000865B2">
        <w:t xml:space="preserve">and </w:t>
      </w:r>
      <w:r w:rsidR="00E86562">
        <w:t>the United Kingdom</w:t>
      </w:r>
      <w:r w:rsidR="00736E18" w:rsidRPr="000865B2">
        <w:t xml:space="preserve">. The GHS Sub-Committee adopted </w:t>
      </w:r>
      <w:r w:rsidR="00736E18" w:rsidRPr="000C44C9">
        <w:t xml:space="preserve">some additional consequential editorial corrections as outlined in </w:t>
      </w:r>
      <w:r w:rsidR="00AA0C0A">
        <w:t>a</w:t>
      </w:r>
      <w:r w:rsidR="00736E18" w:rsidRPr="000C44C9">
        <w:t xml:space="preserve">nnex I of the </w:t>
      </w:r>
      <w:r w:rsidR="00E86562">
        <w:t>r</w:t>
      </w:r>
      <w:r w:rsidR="00E86562" w:rsidRPr="000C44C9">
        <w:t xml:space="preserve">eport </w:t>
      </w:r>
      <w:r w:rsidR="00AA2FDC">
        <w:t xml:space="preserve">on its forty-third </w:t>
      </w:r>
      <w:r w:rsidR="00736E18" w:rsidRPr="000C44C9">
        <w:t>session (ST/SG/AC.10/C.4/86).</w:t>
      </w:r>
      <w:r w:rsidR="005D7E45">
        <w:t xml:space="preserve"> The GHS Sub-Committee also </w:t>
      </w:r>
      <w:r w:rsidR="005D7E45" w:rsidRPr="008D57D8">
        <w:t xml:space="preserve">took note of the relevant discussions by the Sub-Committee </w:t>
      </w:r>
      <w:r w:rsidR="005D7E45">
        <w:t xml:space="preserve">of Experts on the Transport of Dangerous Goods (TDG Sub-Committee) on this topic, </w:t>
      </w:r>
      <w:r w:rsidR="005D7E45" w:rsidRPr="008D57D8">
        <w:t xml:space="preserve">including the </w:t>
      </w:r>
      <w:r w:rsidR="005D7E45">
        <w:t>adoption of the amendments to section 51 of the Manual of Tests and Criteria (see the report of the TDG Sub-Committee on its sixty-first session, ST/SG/AC.10/C.3/122, paragraph 70 and annex II).</w:t>
      </w:r>
    </w:p>
    <w:p w14:paraId="4A07F51E" w14:textId="5ECF8065" w:rsidR="00736E18" w:rsidRPr="000865B2" w:rsidRDefault="00FF2DEE" w:rsidP="000865B2">
      <w:pPr>
        <w:pStyle w:val="SingleTxtG"/>
      </w:pPr>
      <w:r w:rsidRPr="000865B2">
        <w:t>2.</w:t>
      </w:r>
      <w:r w:rsidRPr="000865B2">
        <w:tab/>
      </w:r>
      <w:r w:rsidR="00736E18" w:rsidRPr="003C6A4B">
        <w:t>While AEISG supported the proposed changes, it raised a number of issues of potential confusion or unintended consequences</w:t>
      </w:r>
      <w:r w:rsidR="00C2798F" w:rsidRPr="003C6A4B">
        <w:t>,</w:t>
      </w:r>
      <w:r w:rsidR="005D7E45" w:rsidRPr="003C6A4B">
        <w:t xml:space="preserve"> </w:t>
      </w:r>
      <w:r w:rsidR="0071256F" w:rsidRPr="000865B2">
        <w:t xml:space="preserve">as detailed in </w:t>
      </w:r>
      <w:r w:rsidR="004E5553">
        <w:t xml:space="preserve">informal document </w:t>
      </w:r>
      <w:r w:rsidR="00736E18" w:rsidRPr="003C6A4B">
        <w:t>INF.12</w:t>
      </w:r>
      <w:r w:rsidR="005D7E45" w:rsidRPr="000865B2">
        <w:t xml:space="preserve"> (GHS Sub-Committee, </w:t>
      </w:r>
      <w:r w:rsidR="0071256F" w:rsidRPr="000865B2">
        <w:t>forty-third session</w:t>
      </w:r>
      <w:r w:rsidR="00736E18" w:rsidRPr="003C6A4B">
        <w:t>)</w:t>
      </w:r>
      <w:r w:rsidR="00E217E6">
        <w:t xml:space="preserve"> </w:t>
      </w:r>
      <w:r w:rsidR="005D7E45" w:rsidRPr="003C6A4B">
        <w:t xml:space="preserve">- INF.20 (TDG Sub-Committee, </w:t>
      </w:r>
      <w:r w:rsidR="00C2798F" w:rsidRPr="003C6A4B">
        <w:t>sixty-first session)</w:t>
      </w:r>
      <w:r w:rsidR="00775DFF">
        <w:t>.</w:t>
      </w:r>
      <w:r w:rsidR="00736E18" w:rsidRPr="000C44C9">
        <w:t xml:space="preserve"> </w:t>
      </w:r>
      <w:r w:rsidR="00775DFF">
        <w:t>AEISG</w:t>
      </w:r>
      <w:r w:rsidR="0071256F">
        <w:t xml:space="preserve"> </w:t>
      </w:r>
      <w:r w:rsidR="005D7E45">
        <w:t xml:space="preserve">took note of </w:t>
      </w:r>
      <w:r w:rsidR="008E538B">
        <w:t xml:space="preserve">the </w:t>
      </w:r>
      <w:r w:rsidR="00736E18" w:rsidRPr="000865B2">
        <w:t>invitation by the Chair</w:t>
      </w:r>
      <w:r w:rsidR="00FE2502">
        <w:t>person</w:t>
      </w:r>
      <w:r w:rsidR="00736E18" w:rsidRPr="000865B2">
        <w:t xml:space="preserve"> of the Explosives Working </w:t>
      </w:r>
      <w:r w:rsidR="00736E18" w:rsidRPr="000865B2">
        <w:lastRenderedPageBreak/>
        <w:t xml:space="preserve">Group to address </w:t>
      </w:r>
      <w:r w:rsidR="008E538B">
        <w:t>the</w:t>
      </w:r>
      <w:r w:rsidR="00C2798F">
        <w:t>m</w:t>
      </w:r>
      <w:r w:rsidR="008E538B">
        <w:t xml:space="preserve"> </w:t>
      </w:r>
      <w:r w:rsidR="00736E18" w:rsidRPr="000865B2">
        <w:t>in the following (current) biennium</w:t>
      </w:r>
      <w:r w:rsidR="008E538B">
        <w:t xml:space="preserve"> (see </w:t>
      </w:r>
      <w:r w:rsidR="008E538B" w:rsidRPr="000C44C9">
        <w:t>ST/SG/AC.10/C.4/86</w:t>
      </w:r>
      <w:r w:rsidR="008E538B">
        <w:t>, paragraphs 28 and 29)</w:t>
      </w:r>
      <w:r w:rsidR="00736E18" w:rsidRPr="000865B2">
        <w:t>.</w:t>
      </w:r>
    </w:p>
    <w:p w14:paraId="2E535B8A" w14:textId="7317C457" w:rsidR="00736E18" w:rsidRPr="000865B2" w:rsidRDefault="00FF2DEE" w:rsidP="000865B2">
      <w:pPr>
        <w:pStyle w:val="SingleTxtG"/>
      </w:pPr>
      <w:r w:rsidRPr="000865B2">
        <w:t>3.</w:t>
      </w:r>
      <w:r w:rsidRPr="000865B2">
        <w:tab/>
      </w:r>
      <w:r w:rsidR="00736E18" w:rsidRPr="000865B2">
        <w:t xml:space="preserve">At the sixty-second session of the TDG Sub-Committee and the forty-fourth session of the GHS Sub-Committee, AEISG </w:t>
      </w:r>
      <w:r w:rsidR="00C2798F">
        <w:t>addressed</w:t>
      </w:r>
      <w:r w:rsidR="00C2798F" w:rsidRPr="000865B2">
        <w:t xml:space="preserve"> </w:t>
      </w:r>
      <w:r w:rsidR="00736E18" w:rsidRPr="000865B2">
        <w:t xml:space="preserve">these issues in </w:t>
      </w:r>
      <w:r w:rsidR="00E43857">
        <w:t xml:space="preserve">document </w:t>
      </w:r>
      <w:r w:rsidR="00736E18" w:rsidRPr="000865B2">
        <w:t xml:space="preserve">ST/SG/AC.10/C.3/2023/17–ST/SG/AC.10/C.4/2023/3 which offered three proposals for consideration by the </w:t>
      </w:r>
      <w:r w:rsidR="00E43857">
        <w:t>s</w:t>
      </w:r>
      <w:r w:rsidR="00E43857" w:rsidRPr="000865B2">
        <w:t>ub</w:t>
      </w:r>
      <w:r w:rsidR="00736E18" w:rsidRPr="000865B2">
        <w:t>-</w:t>
      </w:r>
      <w:r w:rsidR="00E43857">
        <w:t>c</w:t>
      </w:r>
      <w:r w:rsidR="00E43857" w:rsidRPr="000865B2">
        <w:t>ommittees</w:t>
      </w:r>
      <w:r w:rsidR="00736E18" w:rsidRPr="000865B2">
        <w:t>.</w:t>
      </w:r>
    </w:p>
    <w:p w14:paraId="4EEB83DD" w14:textId="000DE858" w:rsidR="00736E18" w:rsidRPr="000865B2" w:rsidRDefault="00FF2DEE" w:rsidP="000865B2">
      <w:pPr>
        <w:pStyle w:val="SingleTxtG"/>
      </w:pPr>
      <w:r w:rsidRPr="000865B2">
        <w:t>4.</w:t>
      </w:r>
      <w:r w:rsidRPr="000865B2">
        <w:tab/>
      </w:r>
      <w:r w:rsidR="00736E18" w:rsidRPr="000865B2">
        <w:t xml:space="preserve">The AEISG proposals were discussed by the Explosives Working Group (EWG) during the sixty-second session of the TDG Sub-Committee. As noted in </w:t>
      </w:r>
      <w:r w:rsidR="00AB5D6E">
        <w:t>its</w:t>
      </w:r>
      <w:r w:rsidR="00AB5D6E" w:rsidRPr="000865B2">
        <w:t xml:space="preserve"> </w:t>
      </w:r>
      <w:r w:rsidR="00736E18" w:rsidRPr="000865B2">
        <w:t>report</w:t>
      </w:r>
      <w:r w:rsidR="00D16CD9">
        <w:t>,</w:t>
      </w:r>
      <w:r w:rsidR="00736E18" w:rsidRPr="000865B2">
        <w:t xml:space="preserve"> the EWG recommended acceptance of the AEISG proposal to delete the note to paragraph 2.17.2.3 of </w:t>
      </w:r>
      <w:r w:rsidR="002B17EC">
        <w:t>c</w:t>
      </w:r>
      <w:r w:rsidR="00736E18" w:rsidRPr="000865B2">
        <w:t xml:space="preserve">hapter 2.17 of the GHS </w:t>
      </w:r>
      <w:r w:rsidR="00D74A76">
        <w:t>on</w:t>
      </w:r>
      <w:r w:rsidR="00736E18" w:rsidRPr="000865B2">
        <w:t xml:space="preserve"> the exemption of nitrocellulose mixtures from sensitivity testing</w:t>
      </w:r>
      <w:r w:rsidR="00ED23C5">
        <w:t xml:space="preserve"> </w:t>
      </w:r>
      <w:r w:rsidR="00ED23C5" w:rsidRPr="004D4EE4">
        <w:t>(</w:t>
      </w:r>
      <w:r w:rsidR="00ED23C5">
        <w:t xml:space="preserve">see informal document </w:t>
      </w:r>
      <w:r w:rsidR="00ED23C5" w:rsidRPr="004D4EE4">
        <w:t>INF.47</w:t>
      </w:r>
      <w:r w:rsidR="00ED23C5">
        <w:t xml:space="preserve"> from that session, section 11 and amendment 3 in Annex 2 to that document</w:t>
      </w:r>
      <w:r w:rsidR="00ED23C5" w:rsidRPr="004D4EE4">
        <w:t>)</w:t>
      </w:r>
      <w:r w:rsidR="00736E18" w:rsidRPr="000865B2">
        <w:t>.</w:t>
      </w:r>
    </w:p>
    <w:p w14:paraId="3C2EA11C" w14:textId="377A536D" w:rsidR="00736E18" w:rsidRPr="000865B2" w:rsidRDefault="00FF2DEE" w:rsidP="000865B2">
      <w:pPr>
        <w:pStyle w:val="SingleTxtG"/>
      </w:pPr>
      <w:r w:rsidRPr="000865B2">
        <w:t>5.</w:t>
      </w:r>
      <w:r w:rsidRPr="000865B2">
        <w:tab/>
      </w:r>
      <w:r w:rsidR="00134B32" w:rsidRPr="000865B2">
        <w:t xml:space="preserve">The EWG recommendation was subsequently referred to the GHS Sub-Committee at its forty-fourth session for its consideration (see </w:t>
      </w:r>
      <w:r w:rsidR="00C0211C">
        <w:t xml:space="preserve">informal document </w:t>
      </w:r>
      <w:r w:rsidR="00134B32" w:rsidRPr="000865B2">
        <w:t>INF.22, item 3</w:t>
      </w:r>
      <w:r w:rsidR="002A2772" w:rsidRPr="000865B2">
        <w:t>)</w:t>
      </w:r>
      <w:r w:rsidR="00134B32" w:rsidRPr="000865B2">
        <w:t>.</w:t>
      </w:r>
      <w:r w:rsidR="002A2772" w:rsidRPr="00AA64CE">
        <w:t xml:space="preserve"> </w:t>
      </w:r>
      <w:r w:rsidR="00736E18" w:rsidRPr="000865B2">
        <w:t>The issue was discussed by the GHS Sub-Committee but left unresolved. AEISG indicated that it would revise its proposal for a following session of the GHS taking into accounts comments made (</w:t>
      </w:r>
      <w:r w:rsidR="00EF5701">
        <w:t>see</w:t>
      </w:r>
      <w:r w:rsidR="0028423F" w:rsidRPr="00AA64CE">
        <w:t xml:space="preserve"> report of the GHS Sub-Committee on its</w:t>
      </w:r>
      <w:r w:rsidR="00D72BB6" w:rsidRPr="00AA64CE">
        <w:t xml:space="preserve"> </w:t>
      </w:r>
      <w:r w:rsidR="00D72BB6" w:rsidRPr="000865B2">
        <w:t>forty-fourth session</w:t>
      </w:r>
      <w:r w:rsidR="0028423F" w:rsidRPr="00AA64CE">
        <w:t xml:space="preserve">, </w:t>
      </w:r>
      <w:r w:rsidR="00736E18" w:rsidRPr="000865B2">
        <w:t>ST/SG/AC.10/C.4/88</w:t>
      </w:r>
      <w:r w:rsidR="0028423F" w:rsidRPr="00AA64CE">
        <w:t>, paragraph</w:t>
      </w:r>
      <w:r w:rsidR="00D72BB6" w:rsidRPr="00AA64CE">
        <w:t>s 10 and 11).</w:t>
      </w:r>
    </w:p>
    <w:p w14:paraId="40F0D2C2" w14:textId="6A6E7973" w:rsidR="00736E18" w:rsidRPr="000865B2" w:rsidRDefault="00736E18" w:rsidP="00E84062">
      <w:pPr>
        <w:pStyle w:val="HChG"/>
        <w:rPr>
          <w:b w:val="0"/>
        </w:rPr>
      </w:pPr>
      <w:r>
        <w:tab/>
      </w:r>
      <w:r w:rsidR="00E25BCA">
        <w:t>II.</w:t>
      </w:r>
      <w:r w:rsidR="00E25BCA">
        <w:tab/>
      </w:r>
      <w:r w:rsidRPr="000865B2">
        <w:t xml:space="preserve">Exemption of </w:t>
      </w:r>
      <w:r w:rsidR="0028423F" w:rsidRPr="002D35E1">
        <w:t>n</w:t>
      </w:r>
      <w:r w:rsidRPr="000865B2">
        <w:t xml:space="preserve">itrocellulose mixtures from </w:t>
      </w:r>
      <w:r w:rsidR="0028423F" w:rsidRPr="002D35E1">
        <w:t>s</w:t>
      </w:r>
      <w:r w:rsidRPr="000865B2">
        <w:t xml:space="preserve">ensitivity </w:t>
      </w:r>
      <w:r w:rsidR="0028423F" w:rsidRPr="002D35E1">
        <w:t>t</w:t>
      </w:r>
      <w:r w:rsidRPr="000865B2">
        <w:t>esting</w:t>
      </w:r>
    </w:p>
    <w:p w14:paraId="71D237E3" w14:textId="341BE8DF" w:rsidR="00736E18" w:rsidRPr="000C44C9" w:rsidRDefault="001732A9" w:rsidP="000865B2">
      <w:pPr>
        <w:pStyle w:val="SingleTxtG"/>
      </w:pPr>
      <w:r>
        <w:t>6.</w:t>
      </w:r>
      <w:r w:rsidR="00FF2DEE" w:rsidRPr="000C44C9">
        <w:tab/>
      </w:r>
      <w:r w:rsidR="00736E18" w:rsidRPr="000C44C9">
        <w:t xml:space="preserve">A significant reason for the recent review of </w:t>
      </w:r>
      <w:r w:rsidR="00776223">
        <w:t>c</w:t>
      </w:r>
      <w:r w:rsidR="00736E18" w:rsidRPr="000C44C9">
        <w:t xml:space="preserve">hapter 2.17 of the GHS led by the expert from Germany was to ensure that products were not included in </w:t>
      </w:r>
      <w:r w:rsidR="00776223">
        <w:t>the</w:t>
      </w:r>
      <w:r w:rsidR="00776223" w:rsidRPr="000C44C9">
        <w:t xml:space="preserve"> </w:t>
      </w:r>
      <w:r w:rsidR="00776223">
        <w:t>c</w:t>
      </w:r>
      <w:r w:rsidR="00736E18" w:rsidRPr="000C44C9">
        <w:t xml:space="preserve">lass of </w:t>
      </w:r>
      <w:r w:rsidR="00776223">
        <w:t>d</w:t>
      </w:r>
      <w:r w:rsidR="00736E18" w:rsidRPr="000C44C9">
        <w:t>esensiti</w:t>
      </w:r>
      <w:r w:rsidR="00776223">
        <w:t>z</w:t>
      </w:r>
      <w:r w:rsidR="00736E18" w:rsidRPr="000C44C9">
        <w:t>ed explosives if they were overly sensitive or thermally unstable.</w:t>
      </w:r>
    </w:p>
    <w:p w14:paraId="28B6F062" w14:textId="31702AD0" w:rsidR="00736E18" w:rsidRPr="000C44C9" w:rsidRDefault="001732A9" w:rsidP="000865B2">
      <w:pPr>
        <w:pStyle w:val="SingleTxtG"/>
      </w:pPr>
      <w:r>
        <w:t>7.</w:t>
      </w:r>
      <w:r w:rsidR="00FF2DEE" w:rsidRPr="000C44C9">
        <w:tab/>
      </w:r>
      <w:r w:rsidR="00736E18" w:rsidRPr="000C44C9">
        <w:t>To address this requirement a new criterion was included as para</w:t>
      </w:r>
      <w:r w:rsidR="00776223">
        <w:t>graph</w:t>
      </w:r>
      <w:r w:rsidR="00736E18" w:rsidRPr="000C44C9">
        <w:t xml:space="preserve"> 2.17.2.2</w:t>
      </w:r>
      <w:r w:rsidR="00776223">
        <w:t> </w:t>
      </w:r>
      <w:r w:rsidR="00736E18" w:rsidRPr="000C44C9">
        <w:t>(b)</w:t>
      </w:r>
      <w:r w:rsidR="00776223">
        <w:t> </w:t>
      </w:r>
      <w:r w:rsidR="00736E18" w:rsidRPr="000C44C9">
        <w:t xml:space="preserve">(ii) of the GHS requiring substances and mixtures to be </w:t>
      </w:r>
      <w:r w:rsidR="00776223">
        <w:t>“</w:t>
      </w:r>
      <w:r w:rsidR="00736E18" w:rsidRPr="000C44C9">
        <w:t xml:space="preserve">… not too sensitive or thermally unstable in accordance with test series 3 of the </w:t>
      </w:r>
      <w:r w:rsidR="00736E18" w:rsidRPr="000865B2">
        <w:t>Manual of Tests and Criteria;</w:t>
      </w:r>
      <w:r w:rsidR="00776223">
        <w:t>”</w:t>
      </w:r>
      <w:r w:rsidR="00736E18" w:rsidRPr="000C44C9">
        <w:t>. However, a note was also added to para</w:t>
      </w:r>
      <w:r w:rsidR="00776223">
        <w:t>graph</w:t>
      </w:r>
      <w:r w:rsidR="00736E18" w:rsidRPr="000C44C9">
        <w:t xml:space="preserve"> 2.17.2.3 of the GHS which exempts nitrocellulose mixtures, containing no explosives other than nitrocellulose, from this criterion.</w:t>
      </w:r>
    </w:p>
    <w:p w14:paraId="0D30AF41" w14:textId="12A306EF" w:rsidR="00736E18" w:rsidRPr="000C44C9" w:rsidRDefault="001732A9" w:rsidP="000865B2">
      <w:pPr>
        <w:pStyle w:val="SingleTxtG"/>
      </w:pPr>
      <w:r>
        <w:t>8.</w:t>
      </w:r>
      <w:r w:rsidR="00FF2DEE" w:rsidRPr="000C44C9">
        <w:tab/>
      </w:r>
      <w:r w:rsidR="00736E18" w:rsidRPr="000C44C9">
        <w:t xml:space="preserve">Further, a note 2 to </w:t>
      </w:r>
      <w:r w:rsidR="00776223">
        <w:t>d</w:t>
      </w:r>
      <w:r w:rsidR="00736E18" w:rsidRPr="000C44C9">
        <w:t xml:space="preserve">ecision logic 2.17.1 contained within paragraph 2.17.4.1 of the GHS also indicates that </w:t>
      </w:r>
      <w:r w:rsidR="0049727D">
        <w:t>t</w:t>
      </w:r>
      <w:r w:rsidR="00736E18" w:rsidRPr="000C44C9">
        <w:t xml:space="preserve">est </w:t>
      </w:r>
      <w:r w:rsidR="0049727D">
        <w:t>s</w:t>
      </w:r>
      <w:r w:rsidR="00736E18" w:rsidRPr="000C44C9">
        <w:t xml:space="preserve">eries 3 is not applicable to nitrocellulose mixtures containing no explosives other than nitrocellulose. This exemption is also reflected in </w:t>
      </w:r>
      <w:r w:rsidR="0049727D">
        <w:t>s</w:t>
      </w:r>
      <w:r w:rsidR="00736E18" w:rsidRPr="000C44C9">
        <w:t xml:space="preserve">ection 51 of the </w:t>
      </w:r>
      <w:r w:rsidR="00261454">
        <w:t>Manual of Tests and Criteria</w:t>
      </w:r>
      <w:r w:rsidR="00261454" w:rsidRPr="000C44C9">
        <w:t xml:space="preserve"> </w:t>
      </w:r>
      <w:r w:rsidR="00736E18" w:rsidRPr="000C44C9">
        <w:t xml:space="preserve">(refer </w:t>
      </w:r>
      <w:r w:rsidR="00261454">
        <w:t xml:space="preserve">to sub-paragraphs </w:t>
      </w:r>
      <w:r w:rsidR="00736E18" w:rsidRPr="000C44C9">
        <w:t>51.3.2</w:t>
      </w:r>
      <w:r w:rsidR="00261454">
        <w:t xml:space="preserve"> </w:t>
      </w:r>
      <w:r w:rsidR="00736E18" w:rsidRPr="000C44C9">
        <w:t>(a) and (c)).</w:t>
      </w:r>
    </w:p>
    <w:p w14:paraId="1FC00750" w14:textId="1E58AAF3" w:rsidR="00736E18" w:rsidRPr="000C44C9" w:rsidRDefault="001732A9" w:rsidP="000865B2">
      <w:pPr>
        <w:pStyle w:val="SingleTxtG"/>
      </w:pPr>
      <w:r>
        <w:t>9.</w:t>
      </w:r>
      <w:r w:rsidR="00FF2DEE" w:rsidRPr="000C44C9">
        <w:tab/>
      </w:r>
      <w:r w:rsidR="00736E18" w:rsidRPr="000C44C9">
        <w:t xml:space="preserve">Special </w:t>
      </w:r>
      <w:r w:rsidR="00261454">
        <w:t>p</w:t>
      </w:r>
      <w:r w:rsidR="00736E18" w:rsidRPr="000C44C9">
        <w:t xml:space="preserve">rovision 393 contained in </w:t>
      </w:r>
      <w:r w:rsidR="00261454">
        <w:t>c</w:t>
      </w:r>
      <w:r w:rsidR="00736E18" w:rsidRPr="000C44C9">
        <w:t xml:space="preserve">hapter 3.3 of the Model Regulations is applied to nitrocellulose entries of Class 1 in </w:t>
      </w:r>
      <w:r w:rsidR="0033379E">
        <w:t>c</w:t>
      </w:r>
      <w:r w:rsidR="00736E18" w:rsidRPr="000C44C9">
        <w:t xml:space="preserve">hapter 3.2 of the </w:t>
      </w:r>
      <w:r w:rsidR="0033379E">
        <w:t>Model Regulations</w:t>
      </w:r>
      <w:r w:rsidR="0033379E" w:rsidRPr="000C44C9">
        <w:t xml:space="preserve"> </w:t>
      </w:r>
      <w:r w:rsidR="00736E18" w:rsidRPr="000C44C9">
        <w:t xml:space="preserve">(i.e., UN </w:t>
      </w:r>
      <w:r w:rsidR="0033379E">
        <w:t xml:space="preserve">Nos. </w:t>
      </w:r>
      <w:r w:rsidR="00736E18" w:rsidRPr="000C44C9">
        <w:t>0340, 0341, 0342, 0343). This provision exempts these entries from the thermal stability test 3(c).</w:t>
      </w:r>
    </w:p>
    <w:p w14:paraId="24E55278" w14:textId="752CE5DF" w:rsidR="00736E18" w:rsidRPr="000C44C9" w:rsidRDefault="001732A9" w:rsidP="000865B2">
      <w:pPr>
        <w:pStyle w:val="SingleTxtG"/>
      </w:pPr>
      <w:r>
        <w:t>10.</w:t>
      </w:r>
      <w:r w:rsidR="00FF2DEE" w:rsidRPr="000C44C9">
        <w:tab/>
      </w:r>
      <w:r w:rsidR="00736E18" w:rsidRPr="000C44C9">
        <w:t xml:space="preserve">Test </w:t>
      </w:r>
      <w:r w:rsidR="00B51E1E">
        <w:t>s</w:t>
      </w:r>
      <w:r w:rsidR="00736E18" w:rsidRPr="000C44C9">
        <w:t xml:space="preserve">eries 3 of the </w:t>
      </w:r>
      <w:r w:rsidR="0033379E">
        <w:t>Manual of Tests and Criteria</w:t>
      </w:r>
      <w:r w:rsidR="0033379E" w:rsidRPr="000C44C9">
        <w:t xml:space="preserve"> </w:t>
      </w:r>
      <w:r w:rsidR="00736E18" w:rsidRPr="000C44C9">
        <w:t xml:space="preserve">includes mechanical sensitivity testing (impact, shock, friction) and thermal stability testing. The nitrocellulose contained within nitrocellulose mixtures is subjected to stability testing in accordance with </w:t>
      </w:r>
      <w:r w:rsidR="007A780C">
        <w:t>a</w:t>
      </w:r>
      <w:r w:rsidR="00736E18" w:rsidRPr="000C44C9">
        <w:t>ppendix</w:t>
      </w:r>
      <w:r w:rsidR="00270F8F">
        <w:t> </w:t>
      </w:r>
      <w:r w:rsidR="00736E18" w:rsidRPr="000C44C9">
        <w:t xml:space="preserve">10 of the </w:t>
      </w:r>
      <w:r w:rsidR="007A780C">
        <w:t>Manual of Tests and Criteria</w:t>
      </w:r>
      <w:r w:rsidR="007A780C" w:rsidRPr="000C44C9">
        <w:t xml:space="preserve"> </w:t>
      </w:r>
      <w:r w:rsidR="00736E18" w:rsidRPr="000C44C9">
        <w:t xml:space="preserve">(refer </w:t>
      </w:r>
      <w:r w:rsidR="007A780C">
        <w:t xml:space="preserve">to </w:t>
      </w:r>
      <w:r w:rsidR="00736E18" w:rsidRPr="000C44C9">
        <w:t xml:space="preserve">paragraph 2.17.2.3 of the GHS) and hence could reasonably be exempted from the thermal stability testing of </w:t>
      </w:r>
      <w:r w:rsidR="007A780C">
        <w:t>t</w:t>
      </w:r>
      <w:r w:rsidR="00736E18" w:rsidRPr="000C44C9">
        <w:t xml:space="preserve">est </w:t>
      </w:r>
      <w:r w:rsidR="007A780C">
        <w:t>s</w:t>
      </w:r>
      <w:r w:rsidR="00736E18" w:rsidRPr="000C44C9">
        <w:t>eries 3. However, it is unclear why nitrocellulose mixtures (i.e., nitrocellulose with any other plasticiser/phlegmatizer) would not need to be subjected to both mechanical sensitivity and thermal stability tests.</w:t>
      </w:r>
    </w:p>
    <w:p w14:paraId="0C99873C" w14:textId="2E267B4B" w:rsidR="00736E18" w:rsidRPr="000C44C9" w:rsidRDefault="001732A9" w:rsidP="000865B2">
      <w:pPr>
        <w:pStyle w:val="SingleTxtG"/>
      </w:pPr>
      <w:r>
        <w:t>11.</w:t>
      </w:r>
      <w:r w:rsidR="00FF2DEE" w:rsidRPr="000C44C9">
        <w:tab/>
      </w:r>
      <w:r w:rsidR="00736E18" w:rsidRPr="000C44C9">
        <w:t>It would appear that the addition of any potentially incompatible plastici</w:t>
      </w:r>
      <w:r w:rsidR="007A780C">
        <w:t>z</w:t>
      </w:r>
      <w:r w:rsidR="00736E18" w:rsidRPr="000C44C9">
        <w:t>er/ phlegmatizer to nitrocellulose could adversely impact its mechanical sensitivity and/or its thermal stability. Hence, while the nitrocellulose contained within the nitrocellulose mixture could reasonably be exempted from the thermal stability test 3</w:t>
      </w:r>
      <w:r w:rsidR="00BD2D63">
        <w:t> </w:t>
      </w:r>
      <w:r w:rsidR="00736E18" w:rsidRPr="000C44C9">
        <w:t xml:space="preserve">(c), the resultant nitrocellulose mixture should be subjected to </w:t>
      </w:r>
      <w:r w:rsidR="00BD2D63">
        <w:t>t</w:t>
      </w:r>
      <w:r w:rsidR="00736E18" w:rsidRPr="000C44C9">
        <w:t xml:space="preserve">est </w:t>
      </w:r>
      <w:r w:rsidR="00BD2D63">
        <w:t>s</w:t>
      </w:r>
      <w:r w:rsidR="00736E18" w:rsidRPr="000C44C9">
        <w:t>eries 3 (including 3</w:t>
      </w:r>
      <w:r w:rsidR="00BD2D63">
        <w:t> </w:t>
      </w:r>
      <w:r w:rsidR="00736E18" w:rsidRPr="000C44C9">
        <w:t>(c)) to ensure safety in the classification process.</w:t>
      </w:r>
    </w:p>
    <w:p w14:paraId="78E5C0C4" w14:textId="30C3490E" w:rsidR="00736E18" w:rsidRPr="000C44C9" w:rsidRDefault="001732A9" w:rsidP="000865B2">
      <w:pPr>
        <w:pStyle w:val="SingleTxtG"/>
      </w:pPr>
      <w:r>
        <w:t>12.</w:t>
      </w:r>
      <w:r w:rsidR="00FF2DEE" w:rsidRPr="000C44C9">
        <w:tab/>
      </w:r>
      <w:r w:rsidR="00736E18" w:rsidRPr="000C44C9">
        <w:t xml:space="preserve">Without further clarification as to the appropriateness of the current wording of the </w:t>
      </w:r>
      <w:r w:rsidR="00BD2D63">
        <w:t>n</w:t>
      </w:r>
      <w:r w:rsidR="00736E18" w:rsidRPr="000C44C9">
        <w:t>ote to para</w:t>
      </w:r>
      <w:r w:rsidR="00BD2D63">
        <w:t>graph</w:t>
      </w:r>
      <w:r w:rsidR="00736E18" w:rsidRPr="000C44C9">
        <w:t xml:space="preserve"> 2.17.2.3 of the GHS</w:t>
      </w:r>
      <w:r w:rsidR="00370593">
        <w:t xml:space="preserve">; </w:t>
      </w:r>
      <w:r w:rsidR="00736E18" w:rsidRPr="000C44C9">
        <w:t xml:space="preserve">note 2 to </w:t>
      </w:r>
      <w:r w:rsidR="00BD2D63">
        <w:t>d</w:t>
      </w:r>
      <w:r w:rsidR="00736E18" w:rsidRPr="000C44C9">
        <w:t>ecision logic 2.17.1 of the GHS</w:t>
      </w:r>
      <w:r w:rsidR="00370593">
        <w:t>;</w:t>
      </w:r>
      <w:r w:rsidR="00736E18" w:rsidRPr="000C44C9">
        <w:t xml:space="preserve"> </w:t>
      </w:r>
      <w:r w:rsidR="00BD2D63">
        <w:t>s</w:t>
      </w:r>
      <w:r w:rsidR="00736E18" w:rsidRPr="000C44C9">
        <w:t>ection</w:t>
      </w:r>
      <w:r w:rsidR="00B44FDE">
        <w:t> </w:t>
      </w:r>
      <w:r w:rsidR="00BD2D63">
        <w:t xml:space="preserve">51, sub-paragraphs </w:t>
      </w:r>
      <w:r w:rsidR="00736E18" w:rsidRPr="000C44C9">
        <w:t>51.3.2 (a) and</w:t>
      </w:r>
      <w:r w:rsidR="00F914A7">
        <w:t xml:space="preserve"> </w:t>
      </w:r>
      <w:r w:rsidR="00736E18" w:rsidRPr="000C44C9">
        <w:t xml:space="preserve">(c) of the </w:t>
      </w:r>
      <w:r w:rsidR="00BD2D63">
        <w:t>Manual of Tests and Criteria</w:t>
      </w:r>
      <w:r w:rsidR="00370593">
        <w:t>;</w:t>
      </w:r>
      <w:r w:rsidR="00BD2D63" w:rsidRPr="000C44C9">
        <w:t xml:space="preserve"> </w:t>
      </w:r>
      <w:r w:rsidR="00736E18" w:rsidRPr="000C44C9">
        <w:t xml:space="preserve">and </w:t>
      </w:r>
      <w:r w:rsidR="00BD2D63">
        <w:t>s</w:t>
      </w:r>
      <w:r w:rsidR="00736E18" w:rsidRPr="000C44C9">
        <w:t xml:space="preserve">pecial </w:t>
      </w:r>
      <w:r w:rsidR="00BD2D63">
        <w:t>p</w:t>
      </w:r>
      <w:r w:rsidR="00736E18" w:rsidRPr="000C44C9">
        <w:t xml:space="preserve">rovision 393 of the </w:t>
      </w:r>
      <w:r w:rsidR="00BD2D63">
        <w:t>Model Regulations</w:t>
      </w:r>
      <w:r w:rsidR="00736E18" w:rsidRPr="000C44C9">
        <w:t xml:space="preserve">, it is proposed to delete or amend these exemptions to remove </w:t>
      </w:r>
      <w:r w:rsidR="00736E18" w:rsidRPr="000C44C9">
        <w:lastRenderedPageBreak/>
        <w:t>this apparent anomaly to ensure all products are appropriately subjected to relevant sensitivity testing.</w:t>
      </w:r>
    </w:p>
    <w:p w14:paraId="21211358" w14:textId="5E964155" w:rsidR="00736E18" w:rsidRPr="000C44C9" w:rsidRDefault="001732A9" w:rsidP="000865B2">
      <w:pPr>
        <w:pStyle w:val="SingleTxtG"/>
      </w:pPr>
      <w:r>
        <w:t>13.</w:t>
      </w:r>
      <w:r w:rsidR="00FF2DEE" w:rsidRPr="000C44C9">
        <w:tab/>
      </w:r>
      <w:r w:rsidR="00736E18" w:rsidRPr="000C44C9">
        <w:t xml:space="preserve">Given that </w:t>
      </w:r>
      <w:r w:rsidR="00BD2D63">
        <w:t>s</w:t>
      </w:r>
      <w:r w:rsidR="00736E18" w:rsidRPr="000C44C9">
        <w:t xml:space="preserve">pecial </w:t>
      </w:r>
      <w:r w:rsidR="00BD2D63">
        <w:t>p</w:t>
      </w:r>
      <w:r w:rsidR="00736E18" w:rsidRPr="000C44C9">
        <w:t xml:space="preserve">rovision 393 of the </w:t>
      </w:r>
      <w:r w:rsidR="00BD2D63">
        <w:t>Model Regulations</w:t>
      </w:r>
      <w:r w:rsidR="00BD2D63" w:rsidRPr="000C44C9">
        <w:t xml:space="preserve"> </w:t>
      </w:r>
      <w:r w:rsidR="00736E18" w:rsidRPr="000C44C9">
        <w:t xml:space="preserve">is applied to nitrocellulose mixtures of Class 1 to ensure stability of the nitrocellulose in those mixtures, AEISG questions whether it should also be applied to UN </w:t>
      </w:r>
      <w:r w:rsidR="00BD2D63">
        <w:t xml:space="preserve">Nos. </w:t>
      </w:r>
      <w:r w:rsidR="00736E18" w:rsidRPr="000C44C9">
        <w:t xml:space="preserve">0160, 0161 and 0509 for POWDER, SMOKELESS in </w:t>
      </w:r>
      <w:r w:rsidR="00BD2D63">
        <w:t>c</w:t>
      </w:r>
      <w:r w:rsidR="00736E18" w:rsidRPr="000C44C9">
        <w:t xml:space="preserve">hapter 3.2 of the </w:t>
      </w:r>
      <w:r w:rsidR="00BD2D63">
        <w:t xml:space="preserve">Model Regulations </w:t>
      </w:r>
      <w:r w:rsidR="00736E18" w:rsidRPr="000C44C9">
        <w:t>to ensure stability of the nitrocellulose contained therein.</w:t>
      </w:r>
    </w:p>
    <w:p w14:paraId="695B24DF" w14:textId="7038DCB9" w:rsidR="00736E18" w:rsidRPr="00397855" w:rsidRDefault="006C069F" w:rsidP="006C069F">
      <w:pPr>
        <w:pStyle w:val="HChG"/>
      </w:pPr>
      <w:r>
        <w:tab/>
        <w:t>II</w:t>
      </w:r>
      <w:r w:rsidR="00532CE1">
        <w:t>I</w:t>
      </w:r>
      <w:r>
        <w:t>.</w:t>
      </w:r>
      <w:r>
        <w:tab/>
      </w:r>
      <w:r w:rsidR="00736E18" w:rsidRPr="00397855">
        <w:t>Proposals</w:t>
      </w:r>
    </w:p>
    <w:p w14:paraId="71404C8F" w14:textId="12D916FB" w:rsidR="000E7310" w:rsidRPr="000C44C9" w:rsidRDefault="001732A9" w:rsidP="00DE6620">
      <w:pPr>
        <w:pStyle w:val="SingleTxtG"/>
      </w:pPr>
      <w:r>
        <w:t>14</w:t>
      </w:r>
      <w:r w:rsidR="00736E18" w:rsidRPr="000C44C9">
        <w:t>.</w:t>
      </w:r>
      <w:r w:rsidR="00614822">
        <w:tab/>
      </w:r>
      <w:r w:rsidR="00317E2F">
        <w:t>Proposed a</w:t>
      </w:r>
      <w:r w:rsidR="00614822">
        <w:t xml:space="preserve">mendments </w:t>
      </w:r>
      <w:r w:rsidR="000E7310">
        <w:t>to</w:t>
      </w:r>
      <w:r w:rsidR="00614822">
        <w:t xml:space="preserve"> </w:t>
      </w:r>
      <w:r w:rsidR="00C54282">
        <w:t>c</w:t>
      </w:r>
      <w:r w:rsidR="00DE6620">
        <w:t xml:space="preserve">hapter 2.17 of the </w:t>
      </w:r>
      <w:r w:rsidR="00614822">
        <w:t>GHS:</w:t>
      </w:r>
    </w:p>
    <w:p w14:paraId="3C72F89A" w14:textId="19055EF5" w:rsidR="00736E18" w:rsidRPr="000C44C9" w:rsidRDefault="00614822" w:rsidP="000865B2">
      <w:pPr>
        <w:pStyle w:val="SingleTxtG"/>
      </w:pPr>
      <w:r>
        <w:tab/>
        <w:t>2.17.2.3</w:t>
      </w:r>
      <w:r>
        <w:tab/>
        <w:t>D</w:t>
      </w:r>
      <w:r w:rsidR="00736E18" w:rsidRPr="000C44C9">
        <w:t xml:space="preserve">elete the </w:t>
      </w:r>
      <w:r w:rsidR="0029628E">
        <w:t>n</w:t>
      </w:r>
      <w:r w:rsidR="00736E18" w:rsidRPr="000C44C9">
        <w:t>ote as follows:</w:t>
      </w:r>
    </w:p>
    <w:p w14:paraId="21B80317" w14:textId="18CE352C" w:rsidR="00736E18" w:rsidRPr="000C44C9" w:rsidRDefault="00DE6620" w:rsidP="000865B2">
      <w:pPr>
        <w:pStyle w:val="SingleTxtG"/>
        <w:ind w:left="1701"/>
        <w:rPr>
          <w:strike/>
        </w:rPr>
      </w:pPr>
      <w:r>
        <w:rPr>
          <w:i/>
          <w:iCs/>
          <w:strike/>
        </w:rPr>
        <w:t>“</w:t>
      </w:r>
      <w:r w:rsidR="00736E18" w:rsidRPr="000865B2">
        <w:rPr>
          <w:b/>
          <w:bCs/>
          <w:i/>
          <w:iCs/>
          <w:strike/>
        </w:rPr>
        <w:t>NOTE</w:t>
      </w:r>
      <w:r w:rsidR="00736E18" w:rsidRPr="000865B2">
        <w:rPr>
          <w:i/>
          <w:iCs/>
          <w:strike/>
        </w:rPr>
        <w:t>: Nitrocellulose mixtures containing no explosives other than nitrocellulose, do not need to meet the criterion of 2.17.2.2(b)(ii).</w:t>
      </w:r>
      <w:r>
        <w:rPr>
          <w:i/>
          <w:iCs/>
          <w:strike/>
        </w:rPr>
        <w:t>”</w:t>
      </w:r>
    </w:p>
    <w:p w14:paraId="2B5B4659" w14:textId="342FEF0F" w:rsidR="00736E18" w:rsidRPr="000C44C9" w:rsidRDefault="00DE6620" w:rsidP="000865B2">
      <w:pPr>
        <w:pStyle w:val="SingleTxtG"/>
      </w:pPr>
      <w:r>
        <w:tab/>
      </w:r>
      <w:r w:rsidR="003C4786">
        <w:t>2.17.4.1, d</w:t>
      </w:r>
      <w:r w:rsidR="00736E18" w:rsidRPr="000C44C9">
        <w:t>ecision logic 2.17.1</w:t>
      </w:r>
      <w:r w:rsidR="00874132">
        <w:t xml:space="preserve">: </w:t>
      </w:r>
      <w:r w:rsidR="009F69F3">
        <w:tab/>
      </w:r>
      <w:r w:rsidR="00E166A7">
        <w:t xml:space="preserve">delete </w:t>
      </w:r>
      <w:r w:rsidR="003C4786">
        <w:t>foot</w:t>
      </w:r>
      <w:r w:rsidR="00E166A7">
        <w:t>note 2</w:t>
      </w:r>
      <w:r>
        <w:t xml:space="preserve">, </w:t>
      </w:r>
      <w:r w:rsidR="00736E18" w:rsidRPr="000C44C9">
        <w:t>as follows:</w:t>
      </w:r>
    </w:p>
    <w:p w14:paraId="67A698A0" w14:textId="556037BA" w:rsidR="00736E18" w:rsidRPr="000C44C9" w:rsidRDefault="00E166A7" w:rsidP="000865B2">
      <w:pPr>
        <w:pStyle w:val="SingleTxtG"/>
        <w:ind w:left="1701"/>
        <w:rPr>
          <w:strike/>
        </w:rPr>
      </w:pPr>
      <w:r>
        <w:t>“</w:t>
      </w:r>
      <w:r w:rsidR="003C4786" w:rsidRPr="000865B2">
        <w:rPr>
          <w:strike/>
          <w:vertAlign w:val="superscript"/>
        </w:rPr>
        <w:t>2</w:t>
      </w:r>
      <w:r w:rsidR="003C4786" w:rsidRPr="000865B2">
        <w:rPr>
          <w:strike/>
        </w:rPr>
        <w:t xml:space="preserve"> </w:t>
      </w:r>
      <w:r w:rsidR="00736E18" w:rsidRPr="000865B2">
        <w:rPr>
          <w:i/>
          <w:iCs/>
          <w:strike/>
        </w:rPr>
        <w:t xml:space="preserve">Test </w:t>
      </w:r>
      <w:r w:rsidR="003C4786">
        <w:rPr>
          <w:i/>
          <w:iCs/>
          <w:strike/>
        </w:rPr>
        <w:t>s</w:t>
      </w:r>
      <w:r w:rsidR="00736E18" w:rsidRPr="000865B2">
        <w:rPr>
          <w:i/>
          <w:iCs/>
          <w:strike/>
        </w:rPr>
        <w:t>eries 3 is not applicable to nitrocellulose mixtures containing no explosives other than nitrocellulose</w:t>
      </w:r>
      <w:r w:rsidR="00874132">
        <w:rPr>
          <w:i/>
          <w:iCs/>
          <w:strike/>
        </w:rPr>
        <w:t>.</w:t>
      </w:r>
      <w:r w:rsidRPr="00445D7D">
        <w:t>”</w:t>
      </w:r>
    </w:p>
    <w:p w14:paraId="3406B59E" w14:textId="3A8AA756" w:rsidR="00E166A7" w:rsidRDefault="001732A9" w:rsidP="000C44C9">
      <w:pPr>
        <w:pStyle w:val="SingleTxtG"/>
      </w:pPr>
      <w:r>
        <w:t>15</w:t>
      </w:r>
      <w:r w:rsidR="00E166A7">
        <w:t>.</w:t>
      </w:r>
      <w:r w:rsidR="00E166A7">
        <w:tab/>
        <w:t xml:space="preserve">Proposed amendments </w:t>
      </w:r>
      <w:r w:rsidR="00317E2F">
        <w:t xml:space="preserve">to </w:t>
      </w:r>
      <w:r w:rsidR="00DE6620">
        <w:t xml:space="preserve">section 51, paragraph 51.3.2 of </w:t>
      </w:r>
      <w:r w:rsidR="00317E2F">
        <w:t>the Manual of Tests and Criteria</w:t>
      </w:r>
      <w:r w:rsidR="00DE6620">
        <w:t>:</w:t>
      </w:r>
    </w:p>
    <w:p w14:paraId="7D3A1939" w14:textId="0BB20456" w:rsidR="00736E18" w:rsidRDefault="00DE6620" w:rsidP="00DE6620">
      <w:pPr>
        <w:pStyle w:val="SingleTxtG"/>
        <w:ind w:left="1701" w:hanging="567"/>
      </w:pPr>
      <w:r>
        <w:tab/>
      </w:r>
      <w:r w:rsidR="00317E2F">
        <w:t>D</w:t>
      </w:r>
      <w:r w:rsidR="00736E18" w:rsidRPr="000C44C9">
        <w:t xml:space="preserve">elete </w:t>
      </w:r>
      <w:r w:rsidR="00317E2F">
        <w:t xml:space="preserve">sub-paragraphs </w:t>
      </w:r>
      <w:r w:rsidR="00736E18" w:rsidRPr="000C44C9">
        <w:t>51.3.2</w:t>
      </w:r>
      <w:r w:rsidR="00013178">
        <w:t> </w:t>
      </w:r>
      <w:r w:rsidR="00736E18" w:rsidRPr="000C44C9">
        <w:t>(a) and (c)</w:t>
      </w:r>
      <w:r w:rsidR="00436346">
        <w:t>, as follows,</w:t>
      </w:r>
      <w:r w:rsidR="00736E18" w:rsidRPr="000C44C9">
        <w:t xml:space="preserve"> </w:t>
      </w:r>
      <w:r w:rsidR="00317E2F">
        <w:t xml:space="preserve">and renumber </w:t>
      </w:r>
      <w:r w:rsidR="00104598">
        <w:t>remaining sub-</w:t>
      </w:r>
      <w:r w:rsidR="000E7310">
        <w:t xml:space="preserve">paragraphs </w:t>
      </w:r>
      <w:r w:rsidR="00736E18" w:rsidRPr="000C44C9">
        <w:t>accordingly</w:t>
      </w:r>
      <w:r w:rsidR="00436346">
        <w:t>:</w:t>
      </w:r>
    </w:p>
    <w:p w14:paraId="4BF2D6F1" w14:textId="41D17532" w:rsidR="001059FC" w:rsidRDefault="001059FC" w:rsidP="001059FC">
      <w:pPr>
        <w:pStyle w:val="SingleTxtG"/>
        <w:tabs>
          <w:tab w:val="clear" w:pos="1701"/>
        </w:tabs>
        <w:ind w:left="2127" w:hanging="426"/>
        <w:rPr>
          <w:strike/>
        </w:rPr>
      </w:pPr>
      <w:r w:rsidRPr="00497205">
        <w:t>“</w:t>
      </w:r>
      <w:r w:rsidRPr="000865B2">
        <w:rPr>
          <w:strike/>
        </w:rPr>
        <w:t xml:space="preserve">(a) </w:t>
      </w:r>
      <w:r w:rsidRPr="000865B2">
        <w:rPr>
          <w:strike/>
        </w:rPr>
        <w:tab/>
        <w:t>Test series 3 may be waived if the explosive itself (i.e. before being phlegmatized) is not too sensitive or thermally unstable in accordance with test series 3;</w:t>
      </w:r>
      <w:r w:rsidRPr="00497205">
        <w:t>”</w:t>
      </w:r>
    </w:p>
    <w:p w14:paraId="157CD554" w14:textId="7494DE1B" w:rsidR="00E341F6" w:rsidRPr="000865B2" w:rsidRDefault="00E341F6" w:rsidP="000865B2">
      <w:pPr>
        <w:pStyle w:val="SingleTxtG"/>
        <w:tabs>
          <w:tab w:val="clear" w:pos="1701"/>
        </w:tabs>
        <w:ind w:left="2127" w:hanging="426"/>
        <w:rPr>
          <w:strike/>
        </w:rPr>
      </w:pPr>
      <w:r w:rsidRPr="00497205">
        <w:t>“</w:t>
      </w:r>
      <w:r>
        <w:rPr>
          <w:strike/>
        </w:rPr>
        <w:t>(c)</w:t>
      </w:r>
      <w:r>
        <w:rPr>
          <w:strike/>
        </w:rPr>
        <w:tab/>
      </w:r>
      <w:r w:rsidR="00436346" w:rsidRPr="00436346">
        <w:rPr>
          <w:strike/>
        </w:rPr>
        <w:t>Test series 3 is not applicable to nitrocellulose mixtures containing no explosives other than nitrocellulose, for which the stability of the nitrocellulose has been established in accordance with appendix 10;</w:t>
      </w:r>
      <w:r w:rsidR="00436346" w:rsidRPr="00497205">
        <w:t>”</w:t>
      </w:r>
    </w:p>
    <w:p w14:paraId="68C2CC2E" w14:textId="43A3128B" w:rsidR="000E7310" w:rsidRPr="000C44C9" w:rsidRDefault="001732A9" w:rsidP="000865B2">
      <w:pPr>
        <w:pStyle w:val="SingleTxtG"/>
      </w:pPr>
      <w:r>
        <w:t>16</w:t>
      </w:r>
      <w:r w:rsidR="000E7310">
        <w:t>.</w:t>
      </w:r>
      <w:r w:rsidR="000E7310">
        <w:tab/>
        <w:t xml:space="preserve">Proposed amendments to </w:t>
      </w:r>
      <w:r w:rsidR="00222026">
        <w:t>chapter</w:t>
      </w:r>
      <w:r w:rsidR="00B57E39">
        <w:t>s</w:t>
      </w:r>
      <w:r w:rsidR="00222026">
        <w:t xml:space="preserve"> </w:t>
      </w:r>
      <w:r w:rsidR="00B57E39">
        <w:t xml:space="preserve">3.2 and </w:t>
      </w:r>
      <w:r w:rsidR="00222026">
        <w:t xml:space="preserve">3.3 of </w:t>
      </w:r>
      <w:r w:rsidR="000E7310">
        <w:t>the Model Regulations</w:t>
      </w:r>
      <w:r w:rsidR="00EE605E">
        <w:t>:</w:t>
      </w:r>
    </w:p>
    <w:p w14:paraId="38E69D83" w14:textId="0C867BBE" w:rsidR="00736E18" w:rsidRPr="000C44C9" w:rsidRDefault="00FF2DEE" w:rsidP="000865B2">
      <w:pPr>
        <w:pStyle w:val="SingleTxtG"/>
      </w:pPr>
      <w:r w:rsidRPr="000C44C9">
        <w:tab/>
      </w:r>
      <w:r w:rsidR="004D274F">
        <w:t xml:space="preserve">Chapter 3.3, </w:t>
      </w:r>
      <w:r w:rsidR="001732A9">
        <w:t xml:space="preserve">amend </w:t>
      </w:r>
      <w:r w:rsidR="00B05CD9">
        <w:t xml:space="preserve">special provision 393 </w:t>
      </w:r>
      <w:r w:rsidR="00736E18" w:rsidRPr="000C44C9">
        <w:t>as follows</w:t>
      </w:r>
      <w:r w:rsidR="00217CE2">
        <w:t xml:space="preserve"> (new text is </w:t>
      </w:r>
      <w:r w:rsidR="00217CE2" w:rsidRPr="000865B2">
        <w:rPr>
          <w:u w:val="single"/>
        </w:rPr>
        <w:t>underlined</w:t>
      </w:r>
      <w:r w:rsidR="00217CE2">
        <w:t>)</w:t>
      </w:r>
      <w:r w:rsidR="00736E18" w:rsidRPr="000C44C9">
        <w:t>:</w:t>
      </w:r>
    </w:p>
    <w:p w14:paraId="02358389" w14:textId="7833987B" w:rsidR="00736E18" w:rsidRPr="000C44C9" w:rsidRDefault="00EE605E" w:rsidP="000865B2">
      <w:pPr>
        <w:pStyle w:val="SingleTxtG"/>
        <w:ind w:left="1701"/>
      </w:pPr>
      <w:r w:rsidRPr="000865B2">
        <w:t>“</w:t>
      </w:r>
      <w:r w:rsidR="00736E18" w:rsidRPr="003C4C6F">
        <w:t xml:space="preserve">393  The nitrocellulose shall meet the criteria of the Bergmann-Junk test or methyl violet paper test in the </w:t>
      </w:r>
      <w:r w:rsidR="00736E18" w:rsidRPr="000865B2">
        <w:rPr>
          <w:i/>
          <w:iCs/>
        </w:rPr>
        <w:t>Manual of Tests and Criteria</w:t>
      </w:r>
      <w:r w:rsidR="00736E18" w:rsidRPr="003C4C6F">
        <w:t>, appendix 10. Tests of type 3</w:t>
      </w:r>
      <w:r w:rsidR="00217CE2" w:rsidRPr="000865B2">
        <w:t> </w:t>
      </w:r>
      <w:r w:rsidR="00736E18" w:rsidRPr="003C4C6F">
        <w:t xml:space="preserve">(c) need not be applied </w:t>
      </w:r>
      <w:r w:rsidR="00736E18" w:rsidRPr="000865B2">
        <w:rPr>
          <w:u w:val="single"/>
        </w:rPr>
        <w:t>to the nitrocellulose. However nitrocellulose mixtures containing plasticisers, pigments, etc. should still undergo type 3(c) testing.</w:t>
      </w:r>
      <w:r w:rsidRPr="003C4C6F">
        <w:t>”</w:t>
      </w:r>
    </w:p>
    <w:p w14:paraId="761DE0E3" w14:textId="6E6D9C3E" w:rsidR="001732A9" w:rsidRDefault="00B05CD9" w:rsidP="000865B2">
      <w:pPr>
        <w:pStyle w:val="SingleTxtG"/>
        <w:ind w:left="1701"/>
      </w:pPr>
      <w:r>
        <w:t>Chapter 3.2</w:t>
      </w:r>
    </w:p>
    <w:p w14:paraId="64240DB4" w14:textId="1CCC95BA" w:rsidR="00AF5DE1" w:rsidRDefault="00B05CD9" w:rsidP="000865B2">
      <w:pPr>
        <w:pStyle w:val="SingleTxtG"/>
        <w:ind w:left="1701"/>
      </w:pPr>
      <w:r>
        <w:t xml:space="preserve">In the </w:t>
      </w:r>
      <w:r w:rsidR="008460F8">
        <w:t>L</w:t>
      </w:r>
      <w:r>
        <w:t xml:space="preserve">ist of </w:t>
      </w:r>
      <w:r w:rsidR="008460F8">
        <w:t>D</w:t>
      </w:r>
      <w:r>
        <w:t xml:space="preserve">angerous </w:t>
      </w:r>
      <w:r w:rsidR="008460F8">
        <w:t>G</w:t>
      </w:r>
      <w:r>
        <w:t>oods, a</w:t>
      </w:r>
      <w:r w:rsidR="001732A9">
        <w:t>ssign special provision</w:t>
      </w:r>
      <w:r w:rsidR="00736E18">
        <w:t xml:space="preserve"> </w:t>
      </w:r>
      <w:r w:rsidR="00736E18" w:rsidRPr="00C35B62">
        <w:t xml:space="preserve">393 </w:t>
      </w:r>
      <w:r w:rsidR="001732A9" w:rsidRPr="00C35B62">
        <w:t>in column (</w:t>
      </w:r>
      <w:r w:rsidR="00684F1F" w:rsidRPr="000865B2">
        <w:t>6</w:t>
      </w:r>
      <w:r w:rsidR="001732A9" w:rsidRPr="00C35B62">
        <w:t xml:space="preserve">) </w:t>
      </w:r>
      <w:r w:rsidR="00736E18" w:rsidRPr="00C35B62">
        <w:t>to</w:t>
      </w:r>
      <w:r w:rsidR="00736E18">
        <w:t xml:space="preserve"> UN</w:t>
      </w:r>
      <w:r w:rsidR="00684F1F">
        <w:t> </w:t>
      </w:r>
      <w:r w:rsidR="001732A9">
        <w:t>Nos.</w:t>
      </w:r>
      <w:r w:rsidR="00684F1F">
        <w:t> </w:t>
      </w:r>
      <w:r w:rsidR="00736E18">
        <w:t>0160, 0161 and 0509 for POWDER, SMOKELESS</w:t>
      </w:r>
      <w:r w:rsidR="000C44C9">
        <w:t>.</w:t>
      </w:r>
    </w:p>
    <w:p w14:paraId="49D0C32A" w14:textId="6FC78054" w:rsidR="000C44C9" w:rsidRPr="000865B2" w:rsidRDefault="000C44C9" w:rsidP="000865B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44C9" w:rsidRPr="000865B2" w:rsidSect="00896D3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DE37" w14:textId="77777777" w:rsidR="00B8443F" w:rsidRPr="00C47B2E" w:rsidRDefault="00B8443F" w:rsidP="00C47B2E">
      <w:pPr>
        <w:pStyle w:val="Footer"/>
      </w:pPr>
    </w:p>
  </w:endnote>
  <w:endnote w:type="continuationSeparator" w:id="0">
    <w:p w14:paraId="30CFEBC7" w14:textId="77777777" w:rsidR="00B8443F" w:rsidRPr="00C47B2E" w:rsidRDefault="00B8443F" w:rsidP="00C47B2E">
      <w:pPr>
        <w:pStyle w:val="Footer"/>
      </w:pPr>
    </w:p>
  </w:endnote>
  <w:endnote w:type="continuationNotice" w:id="1">
    <w:p w14:paraId="749FEE23" w14:textId="77777777" w:rsidR="00B8443F" w:rsidRPr="00C47B2E" w:rsidRDefault="00B8443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EF71" w14:textId="0A42220F" w:rsidR="00D94B05" w:rsidRPr="00896D33" w:rsidRDefault="00896D33" w:rsidP="00896D33">
    <w:pPr>
      <w:pStyle w:val="Footer"/>
      <w:tabs>
        <w:tab w:val="right" w:pos="9598"/>
        <w:tab w:val="right" w:pos="9638"/>
      </w:tabs>
      <w:rPr>
        <w:sz w:val="18"/>
      </w:rPr>
    </w:pPr>
    <w:r w:rsidRPr="00896D33">
      <w:rPr>
        <w:b/>
        <w:sz w:val="18"/>
      </w:rPr>
      <w:fldChar w:fldCharType="begin"/>
    </w:r>
    <w:r w:rsidRPr="00896D33">
      <w:rPr>
        <w:b/>
        <w:sz w:val="18"/>
      </w:rPr>
      <w:instrText xml:space="preserve"> PAGE  \* MERGEFORMAT </w:instrText>
    </w:r>
    <w:r w:rsidRPr="00896D33">
      <w:rPr>
        <w:b/>
        <w:sz w:val="18"/>
      </w:rPr>
      <w:fldChar w:fldCharType="separate"/>
    </w:r>
    <w:r w:rsidRPr="00896D33">
      <w:rPr>
        <w:b/>
        <w:noProof/>
        <w:sz w:val="18"/>
      </w:rPr>
      <w:t>2</w:t>
    </w:r>
    <w:r w:rsidRPr="00896D3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D44C" w14:textId="222CA99E" w:rsidR="00D94B05" w:rsidRPr="00896D33" w:rsidRDefault="000C44C9" w:rsidP="00896D33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="00896D33">
      <w:rPr>
        <w:b/>
        <w:sz w:val="18"/>
      </w:rPr>
      <w:tab/>
    </w:r>
    <w:r w:rsidR="00896D33" w:rsidRPr="00896D33">
      <w:rPr>
        <w:sz w:val="18"/>
      </w:rPr>
      <w:fldChar w:fldCharType="begin"/>
    </w:r>
    <w:r w:rsidR="00896D33" w:rsidRPr="00896D33">
      <w:rPr>
        <w:sz w:val="18"/>
      </w:rPr>
      <w:instrText xml:space="preserve"> PAGE  \* MERGEFORMAT </w:instrText>
    </w:r>
    <w:r w:rsidR="00896D33" w:rsidRPr="00896D33">
      <w:rPr>
        <w:sz w:val="18"/>
      </w:rPr>
      <w:fldChar w:fldCharType="separate"/>
    </w:r>
    <w:r w:rsidR="00896D33" w:rsidRPr="00896D33">
      <w:rPr>
        <w:noProof/>
        <w:sz w:val="18"/>
      </w:rPr>
      <w:t>3</w:t>
    </w:r>
    <w:r w:rsidR="00896D33" w:rsidRPr="00896D3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05F3" w14:textId="2F441564" w:rsidR="00881641" w:rsidRDefault="00881641" w:rsidP="0088164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1F56ABA" wp14:editId="1F0C53C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725C8" w14:textId="45ABAECC" w:rsidR="00881641" w:rsidRPr="00881641" w:rsidRDefault="00881641" w:rsidP="00881641">
    <w:pPr>
      <w:pStyle w:val="Footer"/>
      <w:ind w:right="1134"/>
      <w:rPr>
        <w:sz w:val="20"/>
      </w:rPr>
    </w:pPr>
    <w:r>
      <w:rPr>
        <w:sz w:val="20"/>
      </w:rPr>
      <w:t>GE.24-06252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34D75D5" wp14:editId="29B7526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5719" w14:textId="77777777" w:rsidR="00B8443F" w:rsidRPr="00C47B2E" w:rsidRDefault="00B8443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FD065A6" w14:textId="77777777" w:rsidR="00B8443F" w:rsidRPr="00C47B2E" w:rsidRDefault="00B8443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464BBA6" w14:textId="77777777" w:rsidR="00B8443F" w:rsidRPr="00C47B2E" w:rsidRDefault="00B8443F" w:rsidP="00C47B2E">
      <w:pPr>
        <w:pStyle w:val="Footer"/>
      </w:pPr>
    </w:p>
  </w:footnote>
  <w:footnote w:id="2">
    <w:p w14:paraId="1B2ADEA4" w14:textId="68DD55C3" w:rsidR="00FF2DEE" w:rsidRPr="00255143" w:rsidRDefault="00FF2DEE" w:rsidP="003907CE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736E1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55143">
        <w:t>A/78/6 (Sect. 20), table 20.5</w:t>
      </w:r>
      <w:r w:rsidR="00E82061" w:rsidRPr="002551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D59F" w14:textId="72D1B98E" w:rsidR="00896D33" w:rsidRPr="00896D33" w:rsidRDefault="00A23C4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96D33">
      <w:t>ST/SG/AC.10/C.3/2024/24</w:t>
    </w:r>
    <w:r>
      <w:fldChar w:fldCharType="end"/>
    </w:r>
    <w:r w:rsidR="00896D33">
      <w:br/>
    </w:r>
    <w:r>
      <w:fldChar w:fldCharType="begin"/>
    </w:r>
    <w:r>
      <w:instrText xml:space="preserve"> KEYWORDS  \* MERGEFORMAT </w:instrText>
    </w:r>
    <w:r>
      <w:fldChar w:fldCharType="separate"/>
    </w:r>
    <w:r w:rsidR="00896D33">
      <w:t>ST/SG/AC.10/C.4/2024/5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55B7" w14:textId="215D5E10" w:rsidR="00D94B05" w:rsidRPr="00896D33" w:rsidRDefault="00A23C48" w:rsidP="00896D3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96D33">
      <w:t>ST/SG/AC.10/C.3/2024/24</w:t>
    </w:r>
    <w:r>
      <w:fldChar w:fldCharType="end"/>
    </w:r>
    <w:r w:rsidR="00896D33">
      <w:br/>
    </w:r>
    <w:r>
      <w:fldChar w:fldCharType="begin"/>
    </w:r>
    <w:r>
      <w:instrText xml:space="preserve"> KEYWORDS  \* MERGEFORMAT </w:instrText>
    </w:r>
    <w:r>
      <w:fldChar w:fldCharType="separate"/>
    </w:r>
    <w:r w:rsidR="00896D33">
      <w:t>ST/SG/AC.10/C.4/2024/5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A1B86"/>
    <w:multiLevelType w:val="hybridMultilevel"/>
    <w:tmpl w:val="FEE09B18"/>
    <w:lvl w:ilvl="0" w:tplc="64E039FA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0B6"/>
    <w:multiLevelType w:val="hybridMultilevel"/>
    <w:tmpl w:val="78BE9CEA"/>
    <w:lvl w:ilvl="0" w:tplc="C8CE2D34">
      <w:start w:val="4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6" w:hanging="360"/>
      </w:pPr>
    </w:lvl>
    <w:lvl w:ilvl="2" w:tplc="0C09001B" w:tentative="1">
      <w:start w:val="1"/>
      <w:numFmt w:val="lowerRoman"/>
      <w:lvlText w:val="%3."/>
      <w:lvlJc w:val="right"/>
      <w:pPr>
        <w:ind w:left="3216" w:hanging="180"/>
      </w:pPr>
    </w:lvl>
    <w:lvl w:ilvl="3" w:tplc="0C09000F" w:tentative="1">
      <w:start w:val="1"/>
      <w:numFmt w:val="decimal"/>
      <w:lvlText w:val="%4."/>
      <w:lvlJc w:val="left"/>
      <w:pPr>
        <w:ind w:left="3936" w:hanging="360"/>
      </w:pPr>
    </w:lvl>
    <w:lvl w:ilvl="4" w:tplc="0C090019" w:tentative="1">
      <w:start w:val="1"/>
      <w:numFmt w:val="lowerLetter"/>
      <w:lvlText w:val="%5."/>
      <w:lvlJc w:val="left"/>
      <w:pPr>
        <w:ind w:left="4656" w:hanging="360"/>
      </w:pPr>
    </w:lvl>
    <w:lvl w:ilvl="5" w:tplc="0C09001B" w:tentative="1">
      <w:start w:val="1"/>
      <w:numFmt w:val="lowerRoman"/>
      <w:lvlText w:val="%6."/>
      <w:lvlJc w:val="right"/>
      <w:pPr>
        <w:ind w:left="5376" w:hanging="180"/>
      </w:pPr>
    </w:lvl>
    <w:lvl w:ilvl="6" w:tplc="0C09000F" w:tentative="1">
      <w:start w:val="1"/>
      <w:numFmt w:val="decimal"/>
      <w:lvlText w:val="%7."/>
      <w:lvlJc w:val="left"/>
      <w:pPr>
        <w:ind w:left="6096" w:hanging="360"/>
      </w:pPr>
    </w:lvl>
    <w:lvl w:ilvl="7" w:tplc="0C090019" w:tentative="1">
      <w:start w:val="1"/>
      <w:numFmt w:val="lowerLetter"/>
      <w:lvlText w:val="%8."/>
      <w:lvlJc w:val="left"/>
      <w:pPr>
        <w:ind w:left="6816" w:hanging="360"/>
      </w:pPr>
    </w:lvl>
    <w:lvl w:ilvl="8" w:tplc="0C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D3005"/>
    <w:multiLevelType w:val="hybridMultilevel"/>
    <w:tmpl w:val="F79000BA"/>
    <w:lvl w:ilvl="0" w:tplc="3A1CB3F4">
      <w:start w:val="1"/>
      <w:numFmt w:val="lowerRoman"/>
      <w:lvlText w:val="(%1)"/>
      <w:lvlJc w:val="left"/>
      <w:pPr>
        <w:ind w:left="22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0764558">
    <w:abstractNumId w:val="7"/>
  </w:num>
  <w:num w:numId="2" w16cid:durableId="259991326">
    <w:abstractNumId w:val="5"/>
  </w:num>
  <w:num w:numId="3" w16cid:durableId="165175472">
    <w:abstractNumId w:val="0"/>
  </w:num>
  <w:num w:numId="4" w16cid:durableId="1996495973">
    <w:abstractNumId w:val="8"/>
  </w:num>
  <w:num w:numId="5" w16cid:durableId="2120952638">
    <w:abstractNumId w:val="9"/>
  </w:num>
  <w:num w:numId="6" w16cid:durableId="1521122081">
    <w:abstractNumId w:val="12"/>
  </w:num>
  <w:num w:numId="7" w16cid:durableId="180514491">
    <w:abstractNumId w:val="4"/>
  </w:num>
  <w:num w:numId="8" w16cid:durableId="1002123326">
    <w:abstractNumId w:val="1"/>
  </w:num>
  <w:num w:numId="9" w16cid:durableId="1950552247">
    <w:abstractNumId w:val="10"/>
  </w:num>
  <w:num w:numId="10" w16cid:durableId="409272981">
    <w:abstractNumId w:val="1"/>
  </w:num>
  <w:num w:numId="11" w16cid:durableId="2050832236">
    <w:abstractNumId w:val="10"/>
  </w:num>
  <w:num w:numId="12" w16cid:durableId="77337414">
    <w:abstractNumId w:val="2"/>
  </w:num>
  <w:num w:numId="13" w16cid:durableId="1277449049">
    <w:abstractNumId w:val="2"/>
  </w:num>
  <w:num w:numId="14" w16cid:durableId="61636171">
    <w:abstractNumId w:val="3"/>
  </w:num>
  <w:num w:numId="15" w16cid:durableId="1582909160">
    <w:abstractNumId w:val="11"/>
  </w:num>
  <w:num w:numId="16" w16cid:durableId="19922502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33"/>
    <w:rsid w:val="00013178"/>
    <w:rsid w:val="000178B7"/>
    <w:rsid w:val="00030376"/>
    <w:rsid w:val="00046E92"/>
    <w:rsid w:val="00050701"/>
    <w:rsid w:val="00063C90"/>
    <w:rsid w:val="00070000"/>
    <w:rsid w:val="000865B2"/>
    <w:rsid w:val="000C44C9"/>
    <w:rsid w:val="000E7310"/>
    <w:rsid w:val="00101B98"/>
    <w:rsid w:val="00104598"/>
    <w:rsid w:val="001059FC"/>
    <w:rsid w:val="00117A55"/>
    <w:rsid w:val="00134B32"/>
    <w:rsid w:val="001514D1"/>
    <w:rsid w:val="001732A9"/>
    <w:rsid w:val="00182F45"/>
    <w:rsid w:val="00193EFB"/>
    <w:rsid w:val="00217CE2"/>
    <w:rsid w:val="00222026"/>
    <w:rsid w:val="00247E2C"/>
    <w:rsid w:val="00255143"/>
    <w:rsid w:val="00261454"/>
    <w:rsid w:val="00270F8F"/>
    <w:rsid w:val="00276049"/>
    <w:rsid w:val="0028423F"/>
    <w:rsid w:val="00295FFD"/>
    <w:rsid w:val="0029628E"/>
    <w:rsid w:val="002A2772"/>
    <w:rsid w:val="002A32CB"/>
    <w:rsid w:val="002B17EC"/>
    <w:rsid w:val="002B2D1E"/>
    <w:rsid w:val="002D35E1"/>
    <w:rsid w:val="002D5B2C"/>
    <w:rsid w:val="002D6C53"/>
    <w:rsid w:val="002F5595"/>
    <w:rsid w:val="00317E2F"/>
    <w:rsid w:val="003322A0"/>
    <w:rsid w:val="0033379E"/>
    <w:rsid w:val="00334F6A"/>
    <w:rsid w:val="00342AC8"/>
    <w:rsid w:val="00343302"/>
    <w:rsid w:val="00370593"/>
    <w:rsid w:val="003907CE"/>
    <w:rsid w:val="003979DE"/>
    <w:rsid w:val="003B4550"/>
    <w:rsid w:val="003C4786"/>
    <w:rsid w:val="003C4C6F"/>
    <w:rsid w:val="003C5D89"/>
    <w:rsid w:val="003C6A4B"/>
    <w:rsid w:val="003D2A18"/>
    <w:rsid w:val="00407842"/>
    <w:rsid w:val="00413386"/>
    <w:rsid w:val="00436346"/>
    <w:rsid w:val="00445D7D"/>
    <w:rsid w:val="0044715D"/>
    <w:rsid w:val="00461253"/>
    <w:rsid w:val="004858F5"/>
    <w:rsid w:val="00490169"/>
    <w:rsid w:val="00497205"/>
    <w:rsid w:val="0049727D"/>
    <w:rsid w:val="004A2814"/>
    <w:rsid w:val="004C0622"/>
    <w:rsid w:val="004D274F"/>
    <w:rsid w:val="004E5553"/>
    <w:rsid w:val="004F73D0"/>
    <w:rsid w:val="005042C2"/>
    <w:rsid w:val="0051278D"/>
    <w:rsid w:val="00523572"/>
    <w:rsid w:val="00532CE1"/>
    <w:rsid w:val="005620EB"/>
    <w:rsid w:val="005B128A"/>
    <w:rsid w:val="005D7E45"/>
    <w:rsid w:val="005E716E"/>
    <w:rsid w:val="005F3267"/>
    <w:rsid w:val="00614822"/>
    <w:rsid w:val="0064385B"/>
    <w:rsid w:val="006476E1"/>
    <w:rsid w:val="006604DF"/>
    <w:rsid w:val="00671529"/>
    <w:rsid w:val="00684F1F"/>
    <w:rsid w:val="006C069F"/>
    <w:rsid w:val="006C32CC"/>
    <w:rsid w:val="006E2E5D"/>
    <w:rsid w:val="006F1EF5"/>
    <w:rsid w:val="0070489D"/>
    <w:rsid w:val="0071256F"/>
    <w:rsid w:val="007200A1"/>
    <w:rsid w:val="007268F9"/>
    <w:rsid w:val="00736E18"/>
    <w:rsid w:val="00750282"/>
    <w:rsid w:val="00763F74"/>
    <w:rsid w:val="00764440"/>
    <w:rsid w:val="0077101B"/>
    <w:rsid w:val="00775DFF"/>
    <w:rsid w:val="00776223"/>
    <w:rsid w:val="007A780C"/>
    <w:rsid w:val="007C52B0"/>
    <w:rsid w:val="007C6033"/>
    <w:rsid w:val="007D2EF3"/>
    <w:rsid w:val="008147C8"/>
    <w:rsid w:val="0081753A"/>
    <w:rsid w:val="00821D4F"/>
    <w:rsid w:val="008460F8"/>
    <w:rsid w:val="00857D23"/>
    <w:rsid w:val="00874132"/>
    <w:rsid w:val="00881641"/>
    <w:rsid w:val="00896D33"/>
    <w:rsid w:val="008A0E3E"/>
    <w:rsid w:val="008E538B"/>
    <w:rsid w:val="009411B4"/>
    <w:rsid w:val="00946F1D"/>
    <w:rsid w:val="009D0139"/>
    <w:rsid w:val="009D0A27"/>
    <w:rsid w:val="009D717D"/>
    <w:rsid w:val="009F5CDC"/>
    <w:rsid w:val="009F69F3"/>
    <w:rsid w:val="00A072D7"/>
    <w:rsid w:val="00A23C48"/>
    <w:rsid w:val="00A775CF"/>
    <w:rsid w:val="00AA0C0A"/>
    <w:rsid w:val="00AA2FDC"/>
    <w:rsid w:val="00AA64CE"/>
    <w:rsid w:val="00AB5D6E"/>
    <w:rsid w:val="00AD1A9C"/>
    <w:rsid w:val="00AD6CD0"/>
    <w:rsid w:val="00AF5DE1"/>
    <w:rsid w:val="00B05CD9"/>
    <w:rsid w:val="00B06045"/>
    <w:rsid w:val="00B206DD"/>
    <w:rsid w:val="00B44FDE"/>
    <w:rsid w:val="00B51E1E"/>
    <w:rsid w:val="00B52EF4"/>
    <w:rsid w:val="00B57E39"/>
    <w:rsid w:val="00B777AD"/>
    <w:rsid w:val="00B83C02"/>
    <w:rsid w:val="00B8443F"/>
    <w:rsid w:val="00BD2D63"/>
    <w:rsid w:val="00BE65AB"/>
    <w:rsid w:val="00C0211C"/>
    <w:rsid w:val="00C03015"/>
    <w:rsid w:val="00C0358D"/>
    <w:rsid w:val="00C2798F"/>
    <w:rsid w:val="00C35A27"/>
    <w:rsid w:val="00C35B62"/>
    <w:rsid w:val="00C47B2E"/>
    <w:rsid w:val="00C54282"/>
    <w:rsid w:val="00C62C97"/>
    <w:rsid w:val="00C7304C"/>
    <w:rsid w:val="00D16CD9"/>
    <w:rsid w:val="00D63CD2"/>
    <w:rsid w:val="00D72BB6"/>
    <w:rsid w:val="00D74A76"/>
    <w:rsid w:val="00D87DC2"/>
    <w:rsid w:val="00D93887"/>
    <w:rsid w:val="00D94B05"/>
    <w:rsid w:val="00DB00B4"/>
    <w:rsid w:val="00DC7379"/>
    <w:rsid w:val="00DE6620"/>
    <w:rsid w:val="00E02C2B"/>
    <w:rsid w:val="00E166A7"/>
    <w:rsid w:val="00E217E6"/>
    <w:rsid w:val="00E21C27"/>
    <w:rsid w:val="00E25BCA"/>
    <w:rsid w:val="00E26BCF"/>
    <w:rsid w:val="00E33CDB"/>
    <w:rsid w:val="00E341F6"/>
    <w:rsid w:val="00E43857"/>
    <w:rsid w:val="00E52109"/>
    <w:rsid w:val="00E75317"/>
    <w:rsid w:val="00E82061"/>
    <w:rsid w:val="00E84062"/>
    <w:rsid w:val="00E8596C"/>
    <w:rsid w:val="00E86562"/>
    <w:rsid w:val="00E9642E"/>
    <w:rsid w:val="00EB76F7"/>
    <w:rsid w:val="00EC0CE6"/>
    <w:rsid w:val="00EC7C1D"/>
    <w:rsid w:val="00ED1E38"/>
    <w:rsid w:val="00ED23C5"/>
    <w:rsid w:val="00ED6C48"/>
    <w:rsid w:val="00EE3045"/>
    <w:rsid w:val="00EE605E"/>
    <w:rsid w:val="00EF0E44"/>
    <w:rsid w:val="00EF5701"/>
    <w:rsid w:val="00F466EA"/>
    <w:rsid w:val="00F65F5D"/>
    <w:rsid w:val="00F86A3A"/>
    <w:rsid w:val="00F914A7"/>
    <w:rsid w:val="00FA42DA"/>
    <w:rsid w:val="00FC54AF"/>
    <w:rsid w:val="00FE2502"/>
    <w:rsid w:val="00FE2AC5"/>
    <w:rsid w:val="00FF2DEE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902D2"/>
  <w15:docId w15:val="{264036B2-746D-47CA-91D5-58EDA07C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736E18"/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736E18"/>
  </w:style>
  <w:style w:type="paragraph" w:styleId="ListParagraph">
    <w:name w:val="List Paragraph"/>
    <w:basedOn w:val="Normal"/>
    <w:uiPriority w:val="34"/>
    <w:rsid w:val="00736E18"/>
    <w:pPr>
      <w:suppressAutoHyphens/>
      <w:kinsoku w:val="0"/>
      <w:overflowPunct w:val="0"/>
      <w:autoSpaceDE w:val="0"/>
      <w:autoSpaceDN w:val="0"/>
      <w:adjustRightInd w:val="0"/>
      <w:snapToGrid w:val="0"/>
      <w:ind w:left="720"/>
      <w:contextualSpacing/>
    </w:pPr>
  </w:style>
  <w:style w:type="paragraph" w:styleId="Revision">
    <w:name w:val="Revision"/>
    <w:hidden/>
    <w:uiPriority w:val="99"/>
    <w:semiHidden/>
    <w:rsid w:val="00FF2DE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33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C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33C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Rosa Garcia Couto</DisplayName>
        <AccountId>33</AccountId>
        <AccountType/>
      </UserInfo>
      <UserInfo>
        <DisplayName>Alicia Dorca Garcia</DisplayName>
        <AccountId>1313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ADBE4-45A3-4523-AC3C-3B3F35054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</TotalTime>
  <Pages>3</Pages>
  <Words>1345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ST/SG/AC.10/C.3/2024/24</dc:title>
  <dc:subject>2406252</dc:subject>
  <dc:creator>Rosa Garcia-Couto</dc:creator>
  <cp:keywords>ST/SG/AC.10/C.4/2024/5</cp:keywords>
  <dc:description/>
  <cp:lastModifiedBy>Alicia Dorca Garcia</cp:lastModifiedBy>
  <cp:revision>3</cp:revision>
  <dcterms:created xsi:type="dcterms:W3CDTF">2024-05-02T08:11:00Z</dcterms:created>
  <dcterms:modified xsi:type="dcterms:W3CDTF">2024-05-08T10:10:00Z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