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695D5B" w14:paraId="657B7D7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EAA69E3" w14:textId="77777777" w:rsidR="00132EA9" w:rsidRPr="00DB58B5" w:rsidRDefault="00132EA9" w:rsidP="00695D5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AD0314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5BF965" w14:textId="1BAD7333" w:rsidR="00695D5B" w:rsidRPr="00695D5B" w:rsidRDefault="00695D5B" w:rsidP="00695D5B">
            <w:pPr>
              <w:jc w:val="right"/>
              <w:rPr>
                <w:lang w:val="en-US"/>
              </w:rPr>
            </w:pPr>
            <w:r w:rsidRPr="00695D5B">
              <w:rPr>
                <w:sz w:val="40"/>
                <w:lang w:val="en-US"/>
              </w:rPr>
              <w:t>ST</w:t>
            </w:r>
            <w:r w:rsidRPr="00695D5B">
              <w:rPr>
                <w:lang w:val="en-US"/>
              </w:rPr>
              <w:t>/SG/AC.10/C.3/2024/41−</w:t>
            </w:r>
            <w:r w:rsidRPr="00695D5B">
              <w:rPr>
                <w:sz w:val="40"/>
                <w:lang w:val="en-US"/>
              </w:rPr>
              <w:t>ST</w:t>
            </w:r>
            <w:r w:rsidRPr="00695D5B">
              <w:rPr>
                <w:lang w:val="en-US"/>
              </w:rPr>
              <w:t>/SG/AC.10/C.4/2024/7</w:t>
            </w:r>
          </w:p>
        </w:tc>
      </w:tr>
      <w:tr w:rsidR="00132EA9" w:rsidRPr="00DB58B5" w14:paraId="77AF7A66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884B84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62C373" wp14:editId="57F0E55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5DD46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57500A1" w14:textId="77777777" w:rsidR="00132EA9" w:rsidRDefault="00695D5B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BF514AF" w14:textId="77777777" w:rsidR="00695D5B" w:rsidRDefault="00695D5B" w:rsidP="00695D5B">
            <w:pPr>
              <w:spacing w:line="240" w:lineRule="exact"/>
            </w:pPr>
            <w:r>
              <w:t>8 avril 2024</w:t>
            </w:r>
          </w:p>
          <w:p w14:paraId="192AD33C" w14:textId="77777777" w:rsidR="00695D5B" w:rsidRDefault="00695D5B" w:rsidP="00695D5B">
            <w:pPr>
              <w:spacing w:line="240" w:lineRule="exact"/>
            </w:pPr>
            <w:r>
              <w:t>Français</w:t>
            </w:r>
          </w:p>
          <w:p w14:paraId="41C6837F" w14:textId="7915368B" w:rsidR="00695D5B" w:rsidRPr="00DB58B5" w:rsidRDefault="00695D5B" w:rsidP="00695D5B">
            <w:pPr>
              <w:spacing w:line="240" w:lineRule="exact"/>
            </w:pPr>
            <w:r>
              <w:t>Original : anglais</w:t>
            </w:r>
          </w:p>
        </w:tc>
      </w:tr>
    </w:tbl>
    <w:p w14:paraId="6153339A" w14:textId="77777777" w:rsidR="00695D5B" w:rsidRPr="00CA0680" w:rsidRDefault="00695D5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695D5B" w14:paraId="313F6715" w14:textId="77777777" w:rsidTr="009C3129">
        <w:tc>
          <w:tcPr>
            <w:tcW w:w="4820" w:type="dxa"/>
          </w:tcPr>
          <w:p w14:paraId="4FEF935B" w14:textId="77777777" w:rsidR="00695D5B" w:rsidRDefault="00695D5B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d’experts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34F4DFED" w14:textId="77777777" w:rsidR="00695D5B" w:rsidRDefault="00695D5B" w:rsidP="009C3129">
            <w:pPr>
              <w:spacing w:before="120"/>
              <w:rPr>
                <w:b/>
              </w:rPr>
            </w:pPr>
            <w:r>
              <w:rPr>
                <w:b/>
              </w:rPr>
              <w:t>Sous-Comité d’experts du Système général harmonisé de classification et d’étiquetage des produits chimiques</w:t>
            </w:r>
          </w:p>
        </w:tc>
      </w:tr>
      <w:tr w:rsidR="00695D5B" w14:paraId="046750EB" w14:textId="77777777" w:rsidTr="009C3129">
        <w:tc>
          <w:tcPr>
            <w:tcW w:w="4820" w:type="dxa"/>
          </w:tcPr>
          <w:p w14:paraId="26785FEE" w14:textId="77777777" w:rsidR="00695D5B" w:rsidRDefault="00695D5B" w:rsidP="009C31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Soixante-quatrième </w:t>
            </w:r>
            <w:r w:rsidRPr="00CA0680">
              <w:rPr>
                <w:b/>
              </w:rPr>
              <w:t>session</w:t>
            </w:r>
          </w:p>
          <w:p w14:paraId="0014EDCF" w14:textId="77777777" w:rsidR="005862EA" w:rsidRDefault="005862EA" w:rsidP="005862EA">
            <w:r>
              <w:rPr>
                <w:lang w:val="fr-FR"/>
              </w:rPr>
              <w:t>Genève, 24 juin-3 juillet 2024</w:t>
            </w:r>
          </w:p>
          <w:p w14:paraId="3DF3CD1B" w14:textId="77777777" w:rsidR="005862EA" w:rsidRDefault="005862EA" w:rsidP="005862EA">
            <w:r>
              <w:rPr>
                <w:lang w:val="fr-FR"/>
              </w:rPr>
              <w:t>Point 2 h) de l’ordre du jour provisoire</w:t>
            </w:r>
          </w:p>
          <w:p w14:paraId="68625E41" w14:textId="180F5CCA" w:rsidR="0062601E" w:rsidRPr="005862EA" w:rsidRDefault="005862EA" w:rsidP="005862EA">
            <w:pPr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Explosifs et questions connexes:</w:t>
            </w:r>
            <w:r>
              <w:rPr>
                <w:b/>
                <w:lang w:val="fr-FR"/>
              </w:rPr>
              <w:br/>
            </w:r>
            <w:r>
              <w:rPr>
                <w:b/>
                <w:bCs/>
                <w:lang w:val="fr-FR"/>
              </w:rPr>
              <w:t>Questions diverses</w:t>
            </w:r>
          </w:p>
        </w:tc>
        <w:tc>
          <w:tcPr>
            <w:tcW w:w="4820" w:type="dxa"/>
          </w:tcPr>
          <w:p w14:paraId="69629101" w14:textId="77777777" w:rsidR="00695D5B" w:rsidRDefault="00695D5B" w:rsidP="009C3129">
            <w:pPr>
              <w:spacing w:before="120"/>
              <w:rPr>
                <w:b/>
              </w:rPr>
            </w:pPr>
            <w:r>
              <w:rPr>
                <w:b/>
              </w:rPr>
              <w:t>Quarante-sixième session</w:t>
            </w:r>
          </w:p>
          <w:p w14:paraId="20C6C459" w14:textId="06FA237A" w:rsidR="005862EA" w:rsidRPr="007019AE" w:rsidRDefault="009D2F57" w:rsidP="00992ECE">
            <w:pPr>
              <w:rPr>
                <w:bCs/>
              </w:rPr>
            </w:pPr>
            <w:r>
              <w:rPr>
                <w:bCs/>
              </w:rPr>
              <w:t>Genève, 3-5 juillet 2024</w:t>
            </w:r>
            <w:r w:rsidR="001427A3">
              <w:rPr>
                <w:bCs/>
              </w:rPr>
              <w:br/>
            </w:r>
            <w:r>
              <w:rPr>
                <w:bCs/>
              </w:rPr>
              <w:t>Point</w:t>
            </w:r>
            <w:r w:rsidR="00A40D6C">
              <w:rPr>
                <w:bCs/>
              </w:rPr>
              <w:t> 2 a) de l’ordre du jour provisoire</w:t>
            </w:r>
            <w:r w:rsidR="007019AE">
              <w:rPr>
                <w:bCs/>
              </w:rPr>
              <w:br/>
            </w:r>
            <w:r w:rsidR="00992ECE" w:rsidRPr="00992ECE">
              <w:rPr>
                <w:b/>
              </w:rPr>
              <w:t>Travaux relatifs au Système général harmonisé de classification et d’étiquetage des produits chimiques</w:t>
            </w:r>
            <w:r w:rsidR="00992ECE">
              <w:rPr>
                <w:b/>
              </w:rPr>
              <w:t xml:space="preserve"> : </w:t>
            </w:r>
            <w:r w:rsidR="00992ECE" w:rsidRPr="00992ECE">
              <w:rPr>
                <w:b/>
              </w:rPr>
              <w:t>Travaux du Sous-Comité d’experts du transport des marchandises dangereuses sur des questions intéressant le Sous-Comité d’experts du Système général harmonisé de classification et d’étiquetage des produits chimiques</w:t>
            </w:r>
          </w:p>
        </w:tc>
      </w:tr>
    </w:tbl>
    <w:p w14:paraId="4104FAD4" w14:textId="36E82E5B" w:rsidR="00A54302" w:rsidRPr="00095227" w:rsidRDefault="00A54302" w:rsidP="00A5430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Rapport du groupe de travail par correspondance informel sur la révision de la sous-section 51.4 du Manuel d’épreuves et de critères portant sur la vitesse de combustion</w:t>
      </w:r>
    </w:p>
    <w:p w14:paraId="771765FD" w14:textId="6CE1F86C" w:rsidR="00A54302" w:rsidRPr="00095227" w:rsidRDefault="00A54302" w:rsidP="00A5430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la Chine au nom du groupe de travail informel</w:t>
      </w:r>
      <w:r w:rsidRPr="00A54302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  <w:bookmarkStart w:id="0" w:name="_Hlk160029735"/>
      <w:bookmarkEnd w:id="0"/>
    </w:p>
    <w:p w14:paraId="57B085FB" w14:textId="1F6F90E4" w:rsidR="00A54302" w:rsidRPr="00095227" w:rsidRDefault="00A54302" w:rsidP="00A54302">
      <w:pPr>
        <w:pStyle w:val="HChG"/>
        <w:rPr>
          <w:lang w:val="fr-FR"/>
        </w:rPr>
      </w:pPr>
      <w:r>
        <w:rPr>
          <w:lang w:val="fr-FR"/>
        </w:rPr>
        <w:tab/>
        <w:t>I.</w:t>
      </w:r>
      <w:r>
        <w:rPr>
          <w:lang w:val="fr-FR"/>
        </w:rPr>
        <w:tab/>
        <w:t>Rapport du groupe de travail informel</w:t>
      </w:r>
    </w:p>
    <w:p w14:paraId="2A10DDC1" w14:textId="56A82B2D" w:rsidR="00A54302" w:rsidRPr="001436CB" w:rsidRDefault="00A54302" w:rsidP="00A5430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la soixante-deuxième session du Sous-Comité d’experts du transport des marchandises dangereuses (Sous-Comité TMD), l’expert de la Chine avait soumis le document ST/SG/AC.10/C.3/2023/6</w:t>
      </w:r>
      <w:r w:rsidRPr="00437441">
        <w:rPr>
          <w:rStyle w:val="FootnoteReference"/>
        </w:rPr>
        <w:footnoteReference w:id="3"/>
      </w:r>
      <w:r>
        <w:rPr>
          <w:lang w:val="fr-FR"/>
        </w:rPr>
        <w:t>, dans lequel il était proposé de modifier l’alinéa</w:t>
      </w:r>
      <w:r w:rsidR="00B7658A">
        <w:rPr>
          <w:lang w:val="fr-FR"/>
        </w:rPr>
        <w:t> </w:t>
      </w:r>
      <w:r>
        <w:rPr>
          <w:lang w:val="fr-FR"/>
        </w:rPr>
        <w:t>e) du paragraphe</w:t>
      </w:r>
      <w:r w:rsidR="00B7658A">
        <w:rPr>
          <w:lang w:val="fr-FR"/>
        </w:rPr>
        <w:t> </w:t>
      </w:r>
      <w:r>
        <w:rPr>
          <w:lang w:val="fr-FR"/>
        </w:rPr>
        <w:t>51.4.4.2 du Manuel d’épreuves et de critères. Le Groupe de travail des explosifs a examiné ce document et recommandé d’accepter la proposition. Les experts du Groupe de travail des explosif</w:t>
      </w:r>
      <w:r w:rsidR="00B7658A">
        <w:rPr>
          <w:lang w:val="fr-FR"/>
        </w:rPr>
        <w:t>s</w:t>
      </w:r>
      <w:r>
        <w:rPr>
          <w:lang w:val="fr-FR"/>
        </w:rPr>
        <w:t xml:space="preserve"> ont également recensé d’autres incohérences dans la sous-section</w:t>
      </w:r>
      <w:r w:rsidR="00B7658A">
        <w:rPr>
          <w:lang w:val="fr-FR"/>
        </w:rPr>
        <w:t> </w:t>
      </w:r>
      <w:r>
        <w:rPr>
          <w:lang w:val="fr-FR"/>
        </w:rPr>
        <w:t>51.4 et d’autres améliorations se sont avérées nécessaires. Un groupe de travail par correspondance informel (groupe de travail informel sur la vitesse de combustion) a été établi en vue de poursuivre les travaux.</w:t>
      </w:r>
    </w:p>
    <w:p w14:paraId="6417FA58" w14:textId="77777777" w:rsidR="00A54302" w:rsidRPr="00095227" w:rsidRDefault="00A54302" w:rsidP="00A5430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En août 2023, l’expert de la Chine a invité les experts du Groupe de travail des explosifs à faire partie du groupe de travail informel sur la vitesse de combustion. Grâce au soutien de ces experts, la révision de la sous-section 51.4 du Manuel d’épreuves et de critères a été achevée à la fin du mois de septembre et un appel à commentaires a été effectué au sein du groupe de travail informel.</w:t>
      </w:r>
    </w:p>
    <w:p w14:paraId="06EBFBE2" w14:textId="76D289CA" w:rsidR="00A54302" w:rsidRPr="00095227" w:rsidRDefault="00A54302" w:rsidP="00A54302">
      <w:pPr>
        <w:pStyle w:val="SingleTxtG"/>
        <w:keepLines/>
        <w:tabs>
          <w:tab w:val="clear" w:pos="1701"/>
          <w:tab w:val="clear" w:pos="2268"/>
          <w:tab w:val="clear" w:pos="2835"/>
        </w:tabs>
        <w:ind w:leftChars="567" w:rightChars="567"/>
        <w:rPr>
          <w:lang w:val="fr-FR"/>
        </w:rPr>
      </w:pPr>
      <w:r>
        <w:rPr>
          <w:lang w:val="fr-FR"/>
        </w:rPr>
        <w:lastRenderedPageBreak/>
        <w:t>3.</w:t>
      </w:r>
      <w:r>
        <w:rPr>
          <w:lang w:val="fr-FR"/>
        </w:rPr>
        <w:tab/>
        <w:t>Le Sous-Comité TMD et le Sous-Comité SGH sont invités à examiner les amendements que le groupe informel propose d’apporter à la sous-section 51.4, tels qu’ils sont présentés au paragraphe 4 ci-après. Le texte intégral de la version révisée de la sous</w:t>
      </w:r>
      <w:r w:rsidR="00B7658A">
        <w:rPr>
          <w:lang w:val="fr-FR"/>
        </w:rPr>
        <w:noBreakHyphen/>
      </w:r>
      <w:r>
        <w:rPr>
          <w:lang w:val="fr-FR"/>
        </w:rPr>
        <w:t xml:space="preserve">section 51.4, dans lequel figurent tous les amendements proposés, est reproduit dans le document informel INF.5 (Sous-Comité TMD) </w:t>
      </w:r>
      <w:r w:rsidR="00B7658A">
        <w:rPr>
          <w:lang w:val="fr-FR"/>
        </w:rPr>
        <w:t>−</w:t>
      </w:r>
      <w:r>
        <w:rPr>
          <w:lang w:val="fr-FR"/>
        </w:rPr>
        <w:t xml:space="preserve"> INF.4 (Sous-Comité SGH).</w:t>
      </w:r>
    </w:p>
    <w:p w14:paraId="262AAE86" w14:textId="6B0D192C" w:rsidR="00A54302" w:rsidRPr="00095227" w:rsidRDefault="00A54302" w:rsidP="00A54302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  <w:t>Proposition</w:t>
      </w:r>
    </w:p>
    <w:p w14:paraId="4E75FE9B" w14:textId="77777777" w:rsidR="00A54302" w:rsidRPr="00095227" w:rsidRDefault="00A54302" w:rsidP="00A54302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Modifier la sous-section 51.4 du </w:t>
      </w:r>
      <w:r w:rsidRPr="00BA046E">
        <w:rPr>
          <w:lang w:val="fr-FR"/>
        </w:rPr>
        <w:t>Manuel d</w:t>
      </w:r>
      <w:r>
        <w:rPr>
          <w:lang w:val="fr-FR"/>
        </w:rPr>
        <w:t>’</w:t>
      </w:r>
      <w:r w:rsidRPr="00BA046E">
        <w:rPr>
          <w:lang w:val="fr-FR"/>
        </w:rPr>
        <w:t>épreuves et de critères</w:t>
      </w:r>
      <w:r>
        <w:rPr>
          <w:i/>
          <w:iCs/>
          <w:lang w:val="fr-FR"/>
        </w:rPr>
        <w:t xml:space="preserve"> </w:t>
      </w:r>
      <w:r>
        <w:rPr>
          <w:lang w:val="fr-FR"/>
        </w:rPr>
        <w:t xml:space="preserve">comme suit (les ajouts proposés figurent en </w:t>
      </w:r>
      <w:r>
        <w:rPr>
          <w:b/>
          <w:bCs/>
          <w:lang w:val="fr-FR"/>
        </w:rPr>
        <w:t>caractères gras</w:t>
      </w:r>
      <w:r>
        <w:rPr>
          <w:lang w:val="fr-FR"/>
        </w:rPr>
        <w:t>) :</w:t>
      </w:r>
    </w:p>
    <w:p w14:paraId="1FB5556E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51.4.1.2 b)</w:t>
      </w:r>
      <w:r>
        <w:rPr>
          <w:lang w:val="fr-FR"/>
        </w:rPr>
        <w:tab/>
        <w:t>Supprimer « (Division 1.1) ».</w:t>
      </w:r>
    </w:p>
    <w:p w14:paraId="0A9B1DA1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51.4.4.1 a)</w:t>
      </w:r>
      <w:r>
        <w:rPr>
          <w:lang w:val="fr-FR"/>
        </w:rPr>
        <w:tab/>
        <w:t>Modifier pour lire comme suit :</w:t>
      </w:r>
    </w:p>
    <w:p w14:paraId="7BCC5398" w14:textId="0AF8A30A" w:rsidR="00A54302" w:rsidRPr="00557813" w:rsidRDefault="00A54302" w:rsidP="00A54302">
      <w:pPr>
        <w:pStyle w:val="SingleTxtG"/>
        <w:ind w:left="2268"/>
        <w:rPr>
          <w:lang w:val="fr-FR"/>
        </w:rPr>
      </w:pPr>
      <w:r w:rsidRPr="00557813">
        <w:rPr>
          <w:lang w:val="fr-FR"/>
        </w:rPr>
        <w:t xml:space="preserve">« Le début de l’incendie est défini comme le moment où la réaction de la matière devient perceptible, alors que la fin de l’incendie coïncide avec une diminution de la </w:t>
      </w:r>
      <w:r w:rsidRPr="00557813">
        <w:rPr>
          <w:b/>
          <w:bCs/>
          <w:lang w:val="fr-FR"/>
        </w:rPr>
        <w:t xml:space="preserve">densité de flux thermique </w:t>
      </w:r>
      <w:r w:rsidRPr="00557813">
        <w:rPr>
          <w:lang w:val="fr-FR"/>
        </w:rPr>
        <w:t xml:space="preserve">I (dû à l’incendie) jusqu’à moins de 5 % de la </w:t>
      </w:r>
      <w:r w:rsidRPr="00557813">
        <w:rPr>
          <w:b/>
          <w:bCs/>
          <w:lang w:val="fr-FR"/>
        </w:rPr>
        <w:t xml:space="preserve">densité de flux thermique </w:t>
      </w:r>
      <w:r w:rsidRPr="00557813">
        <w:rPr>
          <w:lang w:val="fr-FR"/>
        </w:rPr>
        <w:t xml:space="preserve">maximale (Imax). </w:t>
      </w:r>
      <w:r w:rsidRPr="00557813">
        <w:rPr>
          <w:b/>
          <w:bCs/>
          <w:lang w:val="fr-FR"/>
        </w:rPr>
        <w:t>La densité de flux thermique maximale (Imax) est une moyenne de la densité de flux thermique mesurée sur une durée d’au moins 30 s pendant la période de rayonnement thermique maximal.</w:t>
      </w:r>
      <w:r w:rsidRPr="00557813">
        <w:rPr>
          <w:lang w:val="fr-FR"/>
        </w:rPr>
        <w:t xml:space="preserve"> </w:t>
      </w:r>
      <w:r w:rsidRPr="00557813">
        <w:rPr>
          <w:b/>
          <w:bCs/>
          <w:lang w:val="fr-FR"/>
        </w:rPr>
        <w:t xml:space="preserve">La durée de combustion totale t est l’intervalle de temps entre le début et la fin de l’incendie </w:t>
      </w:r>
      <w:r w:rsidRPr="00557813">
        <w:rPr>
          <w:lang w:val="fr-FR"/>
        </w:rPr>
        <w:t>(voir fig. 51.4.1)</w:t>
      </w:r>
      <w:r w:rsidRPr="00557813">
        <w:rPr>
          <w:b/>
          <w:bCs/>
          <w:lang w:val="fr-FR"/>
        </w:rPr>
        <w:t> </w:t>
      </w:r>
      <w:r w:rsidRPr="00557813">
        <w:rPr>
          <w:lang w:val="fr-FR"/>
        </w:rPr>
        <w:t>; ».</w:t>
      </w:r>
    </w:p>
    <w:p w14:paraId="68AFF191" w14:textId="77777777" w:rsidR="00A54302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51.4.4.1 c)</w:t>
      </w:r>
      <w:r>
        <w:rPr>
          <w:lang w:val="fr-FR"/>
        </w:rPr>
        <w:tab/>
        <w:t xml:space="preserve">Supprimer cet alinéa et renuméroter les alinéas suivants en conséquence (les actuels alinéas « d) » et « e) » deviennent respectivement « c) » et « d) »). </w:t>
      </w:r>
    </w:p>
    <w:tbl>
      <w:tblPr>
        <w:tblStyle w:val="TableGrid"/>
        <w:tblW w:w="7371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237"/>
      </w:tblGrid>
      <w:tr w:rsidR="00A54302" w14:paraId="33669706" w14:textId="77777777" w:rsidTr="00A54302">
        <w:tc>
          <w:tcPr>
            <w:tcW w:w="1134" w:type="dxa"/>
          </w:tcPr>
          <w:p w14:paraId="50CB4A32" w14:textId="5485A68E" w:rsidR="00A54302" w:rsidRDefault="00A54302" w:rsidP="00A54302">
            <w:pPr>
              <w:pStyle w:val="SingleTxtG"/>
              <w:tabs>
                <w:tab w:val="clear" w:pos="2268"/>
                <w:tab w:val="left" w:pos="2552"/>
              </w:tabs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>51.4.4.1 c)</w:t>
            </w:r>
            <w:r>
              <w:rPr>
                <w:lang w:val="fr-FR"/>
              </w:rPr>
              <w:br/>
            </w:r>
            <w:r w:rsidRPr="00A54302">
              <w:rPr>
                <w:spacing w:val="-2"/>
                <w:lang w:val="fr-FR"/>
              </w:rPr>
              <w:t>(</w:t>
            </w:r>
            <w:r w:rsidRPr="00A54302">
              <w:rPr>
                <w:i/>
                <w:iCs/>
                <w:spacing w:val="-2"/>
                <w:lang w:val="fr-FR"/>
              </w:rPr>
              <w:t>ancien al. d)</w:t>
            </w:r>
            <w:r w:rsidRPr="00A54302">
              <w:rPr>
                <w:spacing w:val="-2"/>
                <w:lang w:val="fr-FR"/>
              </w:rPr>
              <w:t>)</w:t>
            </w:r>
          </w:p>
        </w:tc>
        <w:tc>
          <w:tcPr>
            <w:tcW w:w="6242" w:type="dxa"/>
          </w:tcPr>
          <w:p w14:paraId="21EA4505" w14:textId="2FC924EB" w:rsidR="00A54302" w:rsidRDefault="00A54302" w:rsidP="00A54302">
            <w:pPr>
              <w:pStyle w:val="SingleTxtG"/>
              <w:tabs>
                <w:tab w:val="clear" w:pos="2268"/>
                <w:tab w:val="left" w:pos="2552"/>
              </w:tabs>
              <w:ind w:left="0" w:right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Remplacer « durée de combustion » par « durée </w:t>
            </w:r>
            <w:r>
              <w:rPr>
                <w:b/>
                <w:bCs/>
                <w:lang w:val="fr-FR"/>
              </w:rPr>
              <w:t xml:space="preserve">totale </w:t>
            </w:r>
            <w:r>
              <w:rPr>
                <w:lang w:val="fr-FR"/>
              </w:rPr>
              <w:t>de combustion ».</w:t>
            </w:r>
          </w:p>
        </w:tc>
      </w:tr>
    </w:tbl>
    <w:p w14:paraId="0120BAF4" w14:textId="4FBC003A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a)</w:t>
      </w:r>
      <w:r>
        <w:rPr>
          <w:lang w:val="fr-FR"/>
        </w:rPr>
        <w:tab/>
        <w:t xml:space="preserve">Dans la seconde phrase, supprimer « percent » dans la version anglaise, et remplacer « rayonnement mesuré » par </w:t>
      </w:r>
      <w:r w:rsidR="00557813">
        <w:rPr>
          <w:lang w:val="fr-FR"/>
        </w:rPr>
        <w:t>« </w:t>
      </w:r>
      <w:r w:rsidRPr="00835D23">
        <w:rPr>
          <w:b/>
          <w:bCs/>
          <w:lang w:val="fr-FR"/>
        </w:rPr>
        <w:t>énergie de</w:t>
      </w:r>
      <w:r>
        <w:rPr>
          <w:lang w:val="fr-FR"/>
        </w:rPr>
        <w:t xml:space="preserve"> rayonnement </w:t>
      </w:r>
      <w:r w:rsidRPr="00835D23">
        <w:rPr>
          <w:b/>
          <w:bCs/>
          <w:lang w:val="fr-FR"/>
        </w:rPr>
        <w:t>mesurée</w:t>
      </w:r>
      <w:r w:rsidR="00557813">
        <w:rPr>
          <w:lang w:val="fr-FR"/>
        </w:rPr>
        <w:t> »</w:t>
      </w:r>
      <w:r>
        <w:rPr>
          <w:lang w:val="fr-FR"/>
        </w:rPr>
        <w:t>.</w:t>
      </w:r>
    </w:p>
    <w:p w14:paraId="5FB0D61D" w14:textId="77777777" w:rsidR="00A54302" w:rsidRPr="002B5909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c)</w:t>
      </w:r>
      <w:r>
        <w:rPr>
          <w:lang w:val="fr-FR"/>
        </w:rPr>
        <w:tab/>
        <w:t xml:space="preserve">Dans la dernière phrase, remplacer « de l’intensité </w:t>
      </w:r>
      <w:r w:rsidRPr="002B5909">
        <w:rPr>
          <w:lang w:val="fr-FR"/>
        </w:rPr>
        <w:t>It du rayonnement [W/m</w:t>
      </w:r>
      <w:r w:rsidRPr="002B5909">
        <w:rPr>
          <w:vertAlign w:val="superscript"/>
          <w:lang w:val="fr-FR"/>
        </w:rPr>
        <w:t>2</w:t>
      </w:r>
      <w:r w:rsidRPr="002B5909">
        <w:rPr>
          <w:lang w:val="fr-FR"/>
        </w:rPr>
        <w:t xml:space="preserve">] » par « de </w:t>
      </w:r>
      <w:r w:rsidRPr="002B5909">
        <w:rPr>
          <w:b/>
          <w:bCs/>
          <w:lang w:val="fr-FR"/>
        </w:rPr>
        <w:t xml:space="preserve">la densité de flux thermique </w:t>
      </w:r>
      <w:r w:rsidRPr="002B5909">
        <w:rPr>
          <w:lang w:val="fr-FR"/>
        </w:rPr>
        <w:t>It [</w:t>
      </w:r>
      <w:r w:rsidRPr="002B5909">
        <w:rPr>
          <w:b/>
          <w:bCs/>
          <w:lang w:val="fr-FR"/>
        </w:rPr>
        <w:t>k</w:t>
      </w:r>
      <w:r w:rsidRPr="002B5909">
        <w:rPr>
          <w:lang w:val="fr-FR"/>
        </w:rPr>
        <w:t>W/m</w:t>
      </w:r>
      <w:r w:rsidRPr="002B5909">
        <w:rPr>
          <w:vertAlign w:val="superscript"/>
          <w:lang w:val="fr-FR"/>
        </w:rPr>
        <w:t>2</w:t>
      </w:r>
      <w:r w:rsidRPr="002B5909">
        <w:rPr>
          <w:lang w:val="fr-FR"/>
        </w:rPr>
        <w:t>] ».</w:t>
      </w:r>
    </w:p>
    <w:p w14:paraId="1E130E93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d)</w:t>
      </w:r>
      <w:r>
        <w:rPr>
          <w:lang w:val="fr-FR"/>
        </w:rPr>
        <w:tab/>
        <w:t>Dans la première phrase, remplacer « le niveau de rayonnement » par « </w:t>
      </w:r>
      <w:r w:rsidRPr="003D72B2">
        <w:rPr>
          <w:b/>
          <w:bCs/>
          <w:lang w:val="fr-FR"/>
        </w:rPr>
        <w:t>la densité de flux thermique</w:t>
      </w:r>
      <w:r w:rsidRPr="002B5909">
        <w:rPr>
          <w:lang w:val="fr-FR"/>
        </w:rPr>
        <w:t> »</w:t>
      </w:r>
      <w:r>
        <w:rPr>
          <w:lang w:val="fr-FR"/>
        </w:rPr>
        <w:t xml:space="preserve"> et dans la seconde phrase, remplacer « comprise entre 1 et »  par « </w:t>
      </w:r>
      <w:r w:rsidRPr="00065D48">
        <w:rPr>
          <w:b/>
          <w:bCs/>
          <w:lang w:val="fr-FR"/>
        </w:rPr>
        <w:t>de</w:t>
      </w:r>
      <w:r>
        <w:rPr>
          <w:lang w:val="fr-FR"/>
        </w:rPr>
        <w:t> ».</w:t>
      </w:r>
    </w:p>
    <w:p w14:paraId="5C22DBE4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e)</w:t>
      </w:r>
      <w:r>
        <w:rPr>
          <w:lang w:val="fr-FR"/>
        </w:rPr>
        <w:tab/>
        <w:t>Modifier pour lire comme suit :</w:t>
      </w:r>
    </w:p>
    <w:p w14:paraId="405AA666" w14:textId="36E81A7A" w:rsidR="00A54302" w:rsidRPr="00095227" w:rsidRDefault="002B5909" w:rsidP="00A54302">
      <w:pPr>
        <w:pStyle w:val="SingleTxtG"/>
        <w:ind w:left="2268"/>
        <w:rPr>
          <w:lang w:val="fr-FR"/>
        </w:rPr>
      </w:pPr>
      <w:r>
        <w:rPr>
          <w:lang w:val="fr-FR"/>
        </w:rPr>
        <w:t>« </w:t>
      </w:r>
      <w:proofErr w:type="spellStart"/>
      <w:r w:rsidR="00A54302">
        <w:rPr>
          <w:lang w:val="fr-FR"/>
        </w:rPr>
        <w:t>I</w:t>
      </w:r>
      <w:r w:rsidR="00A54302">
        <w:rPr>
          <w:vertAlign w:val="subscript"/>
          <w:lang w:val="fr-FR"/>
        </w:rPr>
        <w:t>pertinente</w:t>
      </w:r>
      <w:proofErr w:type="spellEnd"/>
      <w:r w:rsidR="00A54302">
        <w:rPr>
          <w:lang w:val="fr-FR"/>
        </w:rPr>
        <w:t xml:space="preserve"> est obtenu à partir de l’intensité maximale de la courbe </w:t>
      </w:r>
      <w:r w:rsidR="00A54302" w:rsidRPr="007A06D1">
        <w:rPr>
          <w:b/>
          <w:bCs/>
          <w:lang w:val="fr-FR"/>
        </w:rPr>
        <w:t xml:space="preserve">lissée et corrigée </w:t>
      </w:r>
      <w:r w:rsidR="00A54302">
        <w:rPr>
          <w:lang w:val="fr-FR"/>
        </w:rPr>
        <w:t xml:space="preserve">du rayonnement de chaleur </w:t>
      </w:r>
      <w:r w:rsidR="00A54302" w:rsidRPr="007A06D1">
        <w:rPr>
          <w:b/>
          <w:bCs/>
          <w:lang w:val="fr-FR"/>
        </w:rPr>
        <w:t>mesuré</w:t>
      </w:r>
      <w:r w:rsidR="00A54302">
        <w:rPr>
          <w:lang w:val="fr-FR"/>
        </w:rPr>
        <w:t xml:space="preserve">. </w:t>
      </w:r>
      <w:proofErr w:type="spellStart"/>
      <w:r w:rsidR="00A54302">
        <w:rPr>
          <w:b/>
          <w:bCs/>
          <w:lang w:val="fr-FR"/>
        </w:rPr>
        <w:t>I</w:t>
      </w:r>
      <w:r w:rsidR="00A54302" w:rsidRPr="007A06D1">
        <w:rPr>
          <w:b/>
          <w:bCs/>
          <w:vertAlign w:val="subscript"/>
          <w:lang w:val="fr-FR"/>
        </w:rPr>
        <w:t>calculée</w:t>
      </w:r>
      <w:proofErr w:type="spellEnd"/>
      <w:r w:rsidR="00A54302">
        <w:rPr>
          <w:b/>
          <w:bCs/>
          <w:lang w:val="fr-FR"/>
        </w:rPr>
        <w:t xml:space="preserve"> est la</w:t>
      </w:r>
      <w:r w:rsidR="00A54302">
        <w:rPr>
          <w:lang w:val="fr-FR"/>
        </w:rPr>
        <w:t xml:space="preserve"> valeur moyenne du rayonnement </w:t>
      </w:r>
      <w:r w:rsidR="00A54302" w:rsidRPr="007A06D1">
        <w:rPr>
          <w:b/>
          <w:bCs/>
          <w:lang w:val="fr-FR"/>
        </w:rPr>
        <w:t xml:space="preserve">obtenue </w:t>
      </w:r>
      <w:r w:rsidR="00A54302">
        <w:rPr>
          <w:lang w:val="fr-FR"/>
        </w:rPr>
        <w:t xml:space="preserve">en transformant la zone intégrée en un rectangle de dimension égale pendant le même </w:t>
      </w:r>
      <w:r w:rsidR="00A54302">
        <w:rPr>
          <w:b/>
          <w:bCs/>
          <w:lang w:val="fr-FR"/>
        </w:rPr>
        <w:t>laps de temps de combustion total (voir fig</w:t>
      </w:r>
      <w:r>
        <w:rPr>
          <w:b/>
          <w:bCs/>
          <w:lang w:val="fr-FR"/>
        </w:rPr>
        <w:t>. </w:t>
      </w:r>
      <w:r w:rsidR="00A54302">
        <w:rPr>
          <w:b/>
          <w:bCs/>
          <w:lang w:val="fr-FR"/>
        </w:rPr>
        <w:t>51.4.1)</w:t>
      </w:r>
      <w:r>
        <w:rPr>
          <w:b/>
          <w:bCs/>
          <w:lang w:val="fr-FR"/>
        </w:rPr>
        <w:t> ;</w:t>
      </w:r>
      <w:r w:rsidR="00A54302">
        <w:rPr>
          <w:b/>
          <w:bCs/>
          <w:lang w:val="fr-FR"/>
        </w:rPr>
        <w:t> </w:t>
      </w:r>
      <w:r w:rsidR="00A54302" w:rsidRPr="007A06D1">
        <w:rPr>
          <w:lang w:val="fr-FR"/>
        </w:rPr>
        <w:t>»</w:t>
      </w:r>
      <w:r>
        <w:rPr>
          <w:lang w:val="fr-FR"/>
        </w:rPr>
        <w:t>.</w:t>
      </w:r>
    </w:p>
    <w:p w14:paraId="70AE7875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51.4.4.2 g)</w:t>
      </w:r>
      <w:r>
        <w:rPr>
          <w:lang w:val="fr-FR"/>
        </w:rPr>
        <w:tab/>
        <w:t xml:space="preserve">Dans le dernier paragraphe, remplacer « et f le coefficient de forme » par « et f </w:t>
      </w:r>
      <w:r>
        <w:rPr>
          <w:b/>
          <w:bCs/>
          <w:lang w:val="fr-FR"/>
        </w:rPr>
        <w:t xml:space="preserve">étant </w:t>
      </w:r>
      <w:r>
        <w:rPr>
          <w:lang w:val="fr-FR"/>
        </w:rPr>
        <w:t>le coefficient de forme ».</w:t>
      </w:r>
    </w:p>
    <w:p w14:paraId="705025CC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i/>
          <w:iCs/>
          <w:lang w:val="fr-FR"/>
        </w:rPr>
      </w:pPr>
      <w:r>
        <w:rPr>
          <w:lang w:val="fr-FR"/>
        </w:rPr>
        <w:t>51.4.4.5</w:t>
      </w:r>
      <w:r>
        <w:rPr>
          <w:lang w:val="fr-FR"/>
        </w:rPr>
        <w:tab/>
        <w:t>Sans objet en français.</w:t>
      </w:r>
    </w:p>
    <w:p w14:paraId="4DC708B5" w14:textId="77777777" w:rsidR="00A54302" w:rsidRPr="00095227" w:rsidRDefault="00A54302" w:rsidP="00A54302">
      <w:pPr>
        <w:pStyle w:val="SingleTxtG"/>
        <w:tabs>
          <w:tab w:val="clear" w:pos="1701"/>
          <w:tab w:val="clear" w:pos="2268"/>
          <w:tab w:val="left" w:pos="2552"/>
        </w:tabs>
        <w:ind w:left="2268" w:hanging="1134"/>
        <w:rPr>
          <w:lang w:val="fr-FR"/>
        </w:rPr>
      </w:pPr>
      <w:r>
        <w:rPr>
          <w:lang w:val="fr-FR"/>
        </w:rPr>
        <w:t>51.4.6</w:t>
      </w:r>
      <w:r>
        <w:rPr>
          <w:lang w:val="fr-FR"/>
        </w:rPr>
        <w:tab/>
        <w:t xml:space="preserve">Remplacer « Durée de combustion » par « Durée </w:t>
      </w:r>
      <w:r>
        <w:rPr>
          <w:b/>
          <w:bCs/>
          <w:lang w:val="fr-FR"/>
        </w:rPr>
        <w:t xml:space="preserve">totale </w:t>
      </w:r>
      <w:r>
        <w:rPr>
          <w:lang w:val="fr-FR"/>
        </w:rPr>
        <w:t>de combustion » et « Enthalpie de combustion » par « </w:t>
      </w:r>
      <w:r>
        <w:rPr>
          <w:b/>
          <w:bCs/>
          <w:lang w:val="fr-FR"/>
        </w:rPr>
        <w:t xml:space="preserve">Chaleur </w:t>
      </w:r>
      <w:r>
        <w:rPr>
          <w:lang w:val="fr-FR"/>
        </w:rPr>
        <w:t>de combustion ».</w:t>
      </w:r>
    </w:p>
    <w:p w14:paraId="67A5DC7F" w14:textId="77777777" w:rsidR="00A54302" w:rsidRPr="00095227" w:rsidRDefault="00A54302" w:rsidP="00A54302">
      <w:pPr>
        <w:pStyle w:val="SingleTxtG"/>
        <w:tabs>
          <w:tab w:val="clear" w:pos="2268"/>
          <w:tab w:val="left" w:pos="2552"/>
        </w:tabs>
        <w:ind w:left="2268" w:hanging="1134"/>
        <w:rPr>
          <w:lang w:val="fr-FR"/>
        </w:rPr>
      </w:pPr>
      <w:r w:rsidRPr="002B5909">
        <w:rPr>
          <w:spacing w:val="-3"/>
          <w:lang w:val="fr-FR"/>
        </w:rPr>
        <w:t>Bibliographie</w:t>
      </w:r>
      <w:r>
        <w:rPr>
          <w:lang w:val="fr-FR"/>
        </w:rPr>
        <w:tab/>
        <w:t>Ajouter la nouvelle référence suivante à la fin de la liste actuelle :</w:t>
      </w:r>
    </w:p>
    <w:p w14:paraId="6108DEAF" w14:textId="53D8D6F7" w:rsidR="00A54302" w:rsidRPr="00A54302" w:rsidRDefault="00A54302" w:rsidP="00A54302">
      <w:pPr>
        <w:pStyle w:val="SingleTxtG"/>
        <w:tabs>
          <w:tab w:val="clear" w:pos="1701"/>
          <w:tab w:val="clear" w:pos="2268"/>
          <w:tab w:val="left" w:pos="2552"/>
        </w:tabs>
        <w:ind w:left="2268" w:hanging="1134"/>
        <w:rPr>
          <w:i/>
          <w:iCs/>
          <w:lang w:val="en-US"/>
        </w:rPr>
      </w:pPr>
      <w:r w:rsidRPr="00A54302">
        <w:rPr>
          <w:lang w:val="en-US"/>
        </w:rPr>
        <w:t>«</w:t>
      </w:r>
      <w:r>
        <w:rPr>
          <w:lang w:val="en-US"/>
        </w:rPr>
        <w:t> </w:t>
      </w:r>
      <w:r w:rsidRPr="00A54302">
        <w:rPr>
          <w:i/>
          <w:iCs/>
          <w:lang w:val="en-US"/>
        </w:rPr>
        <w:t>[6]</w:t>
      </w:r>
      <w:r w:rsidRPr="00A54302">
        <w:rPr>
          <w:lang w:val="en-US"/>
        </w:rPr>
        <w:t xml:space="preserve"> </w:t>
      </w:r>
      <w:r w:rsidRPr="00A54302">
        <w:rPr>
          <w:lang w:val="en-US"/>
        </w:rPr>
        <w:tab/>
      </w:r>
      <w:r w:rsidRPr="00A54302">
        <w:rPr>
          <w:i/>
          <w:iCs/>
          <w:lang w:val="en-US"/>
        </w:rPr>
        <w:t xml:space="preserve">Organic Peroxides: Storage (Guideline for the </w:t>
      </w:r>
      <w:proofErr w:type="spellStart"/>
      <w:r w:rsidRPr="00A54302">
        <w:rPr>
          <w:i/>
          <w:iCs/>
          <w:lang w:val="en-US"/>
        </w:rPr>
        <w:t>labour</w:t>
      </w:r>
      <w:proofErr w:type="spellEnd"/>
      <w:r w:rsidRPr="00A54302">
        <w:rPr>
          <w:i/>
          <w:iCs/>
          <w:lang w:val="en-US"/>
        </w:rPr>
        <w:t xml:space="preserve">-safe, environment-safe and fire-safe storage of organic peroxides), Hazardous Substances Publication Series 8:2011 (PGS 8:2011) version 1.0, </w:t>
      </w:r>
      <w:proofErr w:type="spellStart"/>
      <w:r w:rsidRPr="00A54302">
        <w:rPr>
          <w:i/>
          <w:iCs/>
          <w:lang w:val="en-US"/>
        </w:rPr>
        <w:t>décembre</w:t>
      </w:r>
      <w:proofErr w:type="spellEnd"/>
      <w:r w:rsidRPr="00A54302">
        <w:rPr>
          <w:i/>
          <w:iCs/>
          <w:lang w:val="en-US"/>
        </w:rPr>
        <w:t xml:space="preserve"> 2011.</w:t>
      </w:r>
      <w:r>
        <w:rPr>
          <w:lang w:val="en-US"/>
        </w:rPr>
        <w:t> </w:t>
      </w:r>
      <w:r w:rsidRPr="00A54302">
        <w:rPr>
          <w:lang w:val="en-US"/>
        </w:rPr>
        <w:t>»</w:t>
      </w:r>
      <w:r>
        <w:rPr>
          <w:lang w:val="en-US"/>
        </w:rPr>
        <w:t>.</w:t>
      </w:r>
    </w:p>
    <w:p w14:paraId="2D172B8D" w14:textId="67E934AA" w:rsidR="00446FE5" w:rsidRPr="00A54302" w:rsidRDefault="00A54302" w:rsidP="00A54302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46FE5" w:rsidRPr="00A54302" w:rsidSect="00695D5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1E2D" w14:textId="77777777" w:rsidR="008D473A" w:rsidRDefault="008D473A" w:rsidP="00F95C08">
      <w:pPr>
        <w:spacing w:line="240" w:lineRule="auto"/>
      </w:pPr>
    </w:p>
  </w:endnote>
  <w:endnote w:type="continuationSeparator" w:id="0">
    <w:p w14:paraId="71AFA1BC" w14:textId="77777777" w:rsidR="008D473A" w:rsidRPr="00AC3823" w:rsidRDefault="008D473A" w:rsidP="00AC3823">
      <w:pPr>
        <w:pStyle w:val="Footer"/>
      </w:pPr>
    </w:p>
  </w:endnote>
  <w:endnote w:type="continuationNotice" w:id="1">
    <w:p w14:paraId="20990E3F" w14:textId="77777777" w:rsidR="008D473A" w:rsidRDefault="008D47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7DB7" w14:textId="0F8FC0A7" w:rsidR="00695D5B" w:rsidRPr="00695D5B" w:rsidRDefault="00695D5B" w:rsidP="00695D5B">
    <w:pPr>
      <w:pStyle w:val="Footer"/>
      <w:tabs>
        <w:tab w:val="right" w:pos="9638"/>
      </w:tabs>
    </w:pPr>
    <w:r w:rsidRPr="00695D5B">
      <w:rPr>
        <w:b/>
        <w:sz w:val="18"/>
      </w:rPr>
      <w:fldChar w:fldCharType="begin"/>
    </w:r>
    <w:r w:rsidRPr="00695D5B">
      <w:rPr>
        <w:b/>
        <w:sz w:val="18"/>
      </w:rPr>
      <w:instrText xml:space="preserve"> PAGE  \* MERGEFORMAT </w:instrText>
    </w:r>
    <w:r w:rsidRPr="00695D5B">
      <w:rPr>
        <w:b/>
        <w:sz w:val="18"/>
      </w:rPr>
      <w:fldChar w:fldCharType="separate"/>
    </w:r>
    <w:r w:rsidRPr="00695D5B">
      <w:rPr>
        <w:b/>
        <w:noProof/>
        <w:sz w:val="18"/>
      </w:rPr>
      <w:t>2</w:t>
    </w:r>
    <w:r w:rsidRPr="00695D5B">
      <w:rPr>
        <w:b/>
        <w:sz w:val="18"/>
      </w:rPr>
      <w:fldChar w:fldCharType="end"/>
    </w:r>
    <w:r>
      <w:rPr>
        <w:b/>
        <w:sz w:val="18"/>
      </w:rPr>
      <w:tab/>
    </w:r>
    <w:r>
      <w:t>GE.24-06327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BE61" w14:textId="4B0FAAB1" w:rsidR="00695D5B" w:rsidRPr="00695D5B" w:rsidRDefault="00695D5B" w:rsidP="00695D5B">
    <w:pPr>
      <w:pStyle w:val="Footer"/>
      <w:tabs>
        <w:tab w:val="right" w:pos="9638"/>
      </w:tabs>
      <w:rPr>
        <w:b/>
        <w:sz w:val="18"/>
      </w:rPr>
    </w:pPr>
    <w:r>
      <w:t>GE.24-06327</w:t>
    </w:r>
    <w:r>
      <w:tab/>
    </w:r>
    <w:r w:rsidRPr="00695D5B">
      <w:rPr>
        <w:b/>
        <w:sz w:val="18"/>
      </w:rPr>
      <w:fldChar w:fldCharType="begin"/>
    </w:r>
    <w:r w:rsidRPr="00695D5B">
      <w:rPr>
        <w:b/>
        <w:sz w:val="18"/>
      </w:rPr>
      <w:instrText xml:space="preserve"> PAGE  \* MERGEFORMAT </w:instrText>
    </w:r>
    <w:r w:rsidRPr="00695D5B">
      <w:rPr>
        <w:b/>
        <w:sz w:val="18"/>
      </w:rPr>
      <w:fldChar w:fldCharType="separate"/>
    </w:r>
    <w:r w:rsidRPr="00695D5B">
      <w:rPr>
        <w:b/>
        <w:noProof/>
        <w:sz w:val="18"/>
      </w:rPr>
      <w:t>3</w:t>
    </w:r>
    <w:r w:rsidRPr="00695D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FEA4" w14:textId="52097590" w:rsidR="0068456F" w:rsidRPr="00695D5B" w:rsidRDefault="00695D5B" w:rsidP="00695D5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5BA40E6" wp14:editId="661F2B7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24-06327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21C7B5" wp14:editId="5AFB013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2930786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220424    230424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CE28" w14:textId="77777777" w:rsidR="008D473A" w:rsidRPr="00AC3823" w:rsidRDefault="008D47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F5CE1BA" w14:textId="77777777" w:rsidR="008D473A" w:rsidRPr="00AC3823" w:rsidRDefault="008D47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19CF4F" w14:textId="77777777" w:rsidR="008D473A" w:rsidRPr="00AC3823" w:rsidRDefault="008D473A">
      <w:pPr>
        <w:spacing w:line="240" w:lineRule="auto"/>
        <w:rPr>
          <w:sz w:val="2"/>
          <w:szCs w:val="2"/>
        </w:rPr>
      </w:pPr>
    </w:p>
  </w:footnote>
  <w:footnote w:id="2">
    <w:p w14:paraId="2C53C4A7" w14:textId="77777777" w:rsidR="00A54302" w:rsidRPr="00095227" w:rsidRDefault="00A54302" w:rsidP="00A54302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A/78/6 (Sect. 20), tableau 20.5.</w:t>
      </w:r>
    </w:p>
  </w:footnote>
  <w:footnote w:id="3">
    <w:p w14:paraId="24AC15C8" w14:textId="4DB2BB50" w:rsidR="00A54302" w:rsidRPr="00095227" w:rsidRDefault="00A54302" w:rsidP="00A54302">
      <w:pPr>
        <w:pStyle w:val="FootnoteText"/>
        <w:rPr>
          <w:lang w:val="fr-FR"/>
        </w:rPr>
      </w:pPr>
      <w:r>
        <w:rPr>
          <w:lang w:val="fr-FR"/>
        </w:rPr>
        <w:tab/>
      </w:r>
      <w:r w:rsidRPr="00437441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Document distribué pour examen par le Sous-Comité d</w:t>
      </w:r>
      <w:r w:rsidR="00B7658A">
        <w:rPr>
          <w:lang w:val="fr-FR"/>
        </w:rPr>
        <w:t>’</w:t>
      </w:r>
      <w:r>
        <w:rPr>
          <w:lang w:val="fr-FR"/>
        </w:rPr>
        <w:t>experts du Système général harmonisé de classification et d</w:t>
      </w:r>
      <w:r w:rsidR="00B7658A">
        <w:rPr>
          <w:lang w:val="fr-FR"/>
        </w:rPr>
        <w:t>’</w:t>
      </w:r>
      <w:r>
        <w:rPr>
          <w:lang w:val="fr-FR"/>
        </w:rPr>
        <w:t>étiquetage des produits chimiques (Sous-Comité SGH) à sa quarante</w:t>
      </w:r>
      <w:r w:rsidR="00B7658A">
        <w:rPr>
          <w:lang w:val="fr-FR"/>
        </w:rPr>
        <w:noBreakHyphen/>
      </w:r>
      <w:r>
        <w:rPr>
          <w:lang w:val="fr-FR"/>
        </w:rPr>
        <w:t>quatrième session sous la cote ST/SG/AC.10/C.4/2023/1.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A8BB" w14:textId="3BB245ED" w:rsidR="00695D5B" w:rsidRPr="00695D5B" w:rsidRDefault="00695D5B">
    <w:pPr>
      <w:pStyle w:val="Header"/>
      <w:rPr>
        <w:lang w:val="en-US"/>
      </w:rPr>
    </w:pPr>
    <w:r>
      <w:fldChar w:fldCharType="begin"/>
    </w:r>
    <w:r w:rsidRPr="00695D5B">
      <w:rPr>
        <w:lang w:val="en-US"/>
      </w:rPr>
      <w:instrText xml:space="preserve"> TITLE  \* MERGEFORMAT </w:instrText>
    </w:r>
    <w:r>
      <w:fldChar w:fldCharType="separate"/>
    </w:r>
    <w:r w:rsidRPr="00695D5B">
      <w:rPr>
        <w:lang w:val="en-US"/>
      </w:rPr>
      <w:t>ST/SG/AC.10/C.3/2024/41</w:t>
    </w:r>
    <w:r>
      <w:fldChar w:fldCharType="end"/>
    </w:r>
    <w:r w:rsidRPr="00695D5B">
      <w:rPr>
        <w:lang w:val="en-US"/>
      </w:rPr>
      <w:br/>
    </w:r>
    <w:r>
      <w:fldChar w:fldCharType="begin"/>
    </w:r>
    <w:r w:rsidRPr="00695D5B">
      <w:rPr>
        <w:lang w:val="en-US"/>
      </w:rPr>
      <w:instrText xml:space="preserve"> KEYWORDS  \* MERGEFORMAT </w:instrText>
    </w:r>
    <w:r>
      <w:fldChar w:fldCharType="separate"/>
    </w:r>
    <w:r w:rsidRPr="00695D5B">
      <w:rPr>
        <w:lang w:val="en-US"/>
      </w:rPr>
      <w:t>ST/SG/AC.10/C.4/2024/7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AE16" w14:textId="35119EB3" w:rsidR="00695D5B" w:rsidRPr="00695D5B" w:rsidRDefault="00695D5B" w:rsidP="00695D5B">
    <w:pPr>
      <w:pStyle w:val="Header"/>
      <w:jc w:val="right"/>
      <w:rPr>
        <w:lang w:val="en-US"/>
      </w:rPr>
    </w:pPr>
    <w:r>
      <w:fldChar w:fldCharType="begin"/>
    </w:r>
    <w:r w:rsidRPr="00695D5B">
      <w:rPr>
        <w:lang w:val="en-US"/>
      </w:rPr>
      <w:instrText xml:space="preserve"> TITLE  \* MERGEFORMAT </w:instrText>
    </w:r>
    <w:r>
      <w:fldChar w:fldCharType="separate"/>
    </w:r>
    <w:r w:rsidRPr="00695D5B">
      <w:rPr>
        <w:lang w:val="en-US"/>
      </w:rPr>
      <w:t>ST/SG/AC.10/C.3/2024/41</w:t>
    </w:r>
    <w:r>
      <w:fldChar w:fldCharType="end"/>
    </w:r>
    <w:r w:rsidRPr="00695D5B">
      <w:rPr>
        <w:lang w:val="en-US"/>
      </w:rPr>
      <w:br/>
    </w:r>
    <w:r>
      <w:fldChar w:fldCharType="begin"/>
    </w:r>
    <w:r w:rsidRPr="00695D5B">
      <w:rPr>
        <w:lang w:val="en-US"/>
      </w:rPr>
      <w:instrText xml:space="preserve"> KEYWORDS  \* MERGEFORMAT </w:instrText>
    </w:r>
    <w:r>
      <w:fldChar w:fldCharType="separate"/>
    </w:r>
    <w:r w:rsidRPr="00695D5B">
      <w:rPr>
        <w:lang w:val="en-US"/>
      </w:rPr>
      <w:t>ST/SG/AC.10/C.4/2024/7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85630281">
    <w:abstractNumId w:val="12"/>
  </w:num>
  <w:num w:numId="2" w16cid:durableId="334185504">
    <w:abstractNumId w:val="11"/>
  </w:num>
  <w:num w:numId="3" w16cid:durableId="481626055">
    <w:abstractNumId w:val="10"/>
  </w:num>
  <w:num w:numId="4" w16cid:durableId="1928536945">
    <w:abstractNumId w:val="8"/>
  </w:num>
  <w:num w:numId="5" w16cid:durableId="1465079083">
    <w:abstractNumId w:val="3"/>
  </w:num>
  <w:num w:numId="6" w16cid:durableId="1789156643">
    <w:abstractNumId w:val="2"/>
  </w:num>
  <w:num w:numId="7" w16cid:durableId="467631197">
    <w:abstractNumId w:val="1"/>
  </w:num>
  <w:num w:numId="8" w16cid:durableId="1034691433">
    <w:abstractNumId w:val="0"/>
  </w:num>
  <w:num w:numId="9" w16cid:durableId="1910311462">
    <w:abstractNumId w:val="9"/>
  </w:num>
  <w:num w:numId="10" w16cid:durableId="355160108">
    <w:abstractNumId w:val="7"/>
  </w:num>
  <w:num w:numId="11" w16cid:durableId="462575058">
    <w:abstractNumId w:val="6"/>
  </w:num>
  <w:num w:numId="12" w16cid:durableId="1664166960">
    <w:abstractNumId w:val="5"/>
  </w:num>
  <w:num w:numId="13" w16cid:durableId="1547326515">
    <w:abstractNumId w:val="4"/>
  </w:num>
  <w:num w:numId="14" w16cid:durableId="1743018598">
    <w:abstractNumId w:val="12"/>
  </w:num>
  <w:num w:numId="15" w16cid:durableId="86926940">
    <w:abstractNumId w:val="11"/>
  </w:num>
  <w:num w:numId="16" w16cid:durableId="201838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1B"/>
    <w:rsid w:val="00017F94"/>
    <w:rsid w:val="0002351B"/>
    <w:rsid w:val="00023842"/>
    <w:rsid w:val="000305D3"/>
    <w:rsid w:val="000334F9"/>
    <w:rsid w:val="0007796D"/>
    <w:rsid w:val="000B7790"/>
    <w:rsid w:val="00111F2F"/>
    <w:rsid w:val="00125E15"/>
    <w:rsid w:val="00132EA9"/>
    <w:rsid w:val="001427A3"/>
    <w:rsid w:val="0014365E"/>
    <w:rsid w:val="00172E49"/>
    <w:rsid w:val="00176178"/>
    <w:rsid w:val="001F525A"/>
    <w:rsid w:val="00223272"/>
    <w:rsid w:val="0024779E"/>
    <w:rsid w:val="00283190"/>
    <w:rsid w:val="002832AC"/>
    <w:rsid w:val="002B5909"/>
    <w:rsid w:val="002D7C93"/>
    <w:rsid w:val="00441C3B"/>
    <w:rsid w:val="00446FE5"/>
    <w:rsid w:val="00452396"/>
    <w:rsid w:val="004B41BC"/>
    <w:rsid w:val="004E468C"/>
    <w:rsid w:val="005505B7"/>
    <w:rsid w:val="00557813"/>
    <w:rsid w:val="00573BE5"/>
    <w:rsid w:val="00584DC4"/>
    <w:rsid w:val="005862EA"/>
    <w:rsid w:val="00586ED3"/>
    <w:rsid w:val="00596AA9"/>
    <w:rsid w:val="0062601E"/>
    <w:rsid w:val="0068456F"/>
    <w:rsid w:val="00695D5B"/>
    <w:rsid w:val="007019AE"/>
    <w:rsid w:val="0071601D"/>
    <w:rsid w:val="007A62E6"/>
    <w:rsid w:val="0080684C"/>
    <w:rsid w:val="008123E0"/>
    <w:rsid w:val="00871C75"/>
    <w:rsid w:val="008776DC"/>
    <w:rsid w:val="008B40CD"/>
    <w:rsid w:val="008B5BF0"/>
    <w:rsid w:val="008D473A"/>
    <w:rsid w:val="009705C8"/>
    <w:rsid w:val="00992ECE"/>
    <w:rsid w:val="009C1CF4"/>
    <w:rsid w:val="009D2F57"/>
    <w:rsid w:val="00A30353"/>
    <w:rsid w:val="00A40D6C"/>
    <w:rsid w:val="00A54302"/>
    <w:rsid w:val="00A81281"/>
    <w:rsid w:val="00AC3823"/>
    <w:rsid w:val="00AE323C"/>
    <w:rsid w:val="00B00181"/>
    <w:rsid w:val="00B00B0D"/>
    <w:rsid w:val="00B7658A"/>
    <w:rsid w:val="00B765F7"/>
    <w:rsid w:val="00BA0CA9"/>
    <w:rsid w:val="00C02897"/>
    <w:rsid w:val="00CC0D56"/>
    <w:rsid w:val="00D3439C"/>
    <w:rsid w:val="00DB1831"/>
    <w:rsid w:val="00DD3BFD"/>
    <w:rsid w:val="00DF6678"/>
    <w:rsid w:val="00E90C2E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DFF22"/>
  <w15:docId w15:val="{101E3BC8-90AA-4728-8DAB-EDC6AA3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A5430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A543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54302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A5430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A54302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6CD58-8EF6-4C02-9A5E-DB5F98AAACD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DF2867B4-044A-471A-8554-AE806CD5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D98C1-3E95-4AB8-B2F1-6D1FF6F9F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14</TotalTime>
  <Pages>2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ST/SG/AC.10/C.3/2024/41</vt:lpstr>
    </vt:vector>
  </TitlesOfParts>
  <Company>DCM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ST/SG/AC.10/C.3/2024/41</dc:title>
  <dc:subject/>
  <dc:creator>Nathalie VITTOZ</dc:creator>
  <cp:keywords>ST/SG/AC.10/C.4/2024/7</cp:keywords>
  <cp:lastModifiedBy>Alicia Dorca Garcia</cp:lastModifiedBy>
  <cp:revision>12</cp:revision>
  <cp:lastPrinted>2014-05-14T10:59:00Z</cp:lastPrinted>
  <dcterms:created xsi:type="dcterms:W3CDTF">2024-04-24T07:56:00Z</dcterms:created>
  <dcterms:modified xsi:type="dcterms:W3CDTF">2024-04-24T08:51:00Z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