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0F68CC"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419D8F42" w:rsidR="0054746F" w:rsidRPr="00321D8E" w:rsidRDefault="0054746F" w:rsidP="00637050">
            <w:pPr>
              <w:jc w:val="right"/>
              <w:rPr>
                <w:b/>
                <w:sz w:val="40"/>
                <w:szCs w:val="40"/>
                <w:lang w:val="fr-CH"/>
              </w:rPr>
            </w:pPr>
            <w:r w:rsidRPr="00321D8E">
              <w:rPr>
                <w:b/>
                <w:sz w:val="40"/>
                <w:szCs w:val="40"/>
                <w:lang w:val="fr-CH"/>
              </w:rPr>
              <w:t>UN/SCETDG/6</w:t>
            </w:r>
            <w:r w:rsidR="008D55AE" w:rsidRPr="00321D8E">
              <w:rPr>
                <w:b/>
                <w:sz w:val="40"/>
                <w:szCs w:val="40"/>
                <w:lang w:val="fr-CH"/>
              </w:rPr>
              <w:t>4</w:t>
            </w:r>
            <w:r w:rsidRPr="00321D8E">
              <w:rPr>
                <w:b/>
                <w:sz w:val="40"/>
                <w:szCs w:val="40"/>
                <w:lang w:val="fr-CH"/>
              </w:rPr>
              <w:t>/INF.</w:t>
            </w:r>
            <w:r w:rsidR="004665E5" w:rsidRPr="00321D8E">
              <w:rPr>
                <w:b/>
                <w:sz w:val="40"/>
                <w:szCs w:val="40"/>
                <w:lang w:val="fr-CH"/>
              </w:rPr>
              <w:t>5</w:t>
            </w:r>
          </w:p>
          <w:p w14:paraId="2EA99EE0" w14:textId="40357785" w:rsidR="0054746F" w:rsidRPr="000F68CC" w:rsidRDefault="0054746F" w:rsidP="00637050">
            <w:pPr>
              <w:jc w:val="right"/>
              <w:rPr>
                <w:b/>
                <w:sz w:val="40"/>
                <w:szCs w:val="40"/>
                <w:lang w:val="fr-CH"/>
              </w:rPr>
            </w:pPr>
            <w:r w:rsidRPr="00321D8E">
              <w:rPr>
                <w:b/>
                <w:sz w:val="40"/>
                <w:szCs w:val="40"/>
                <w:lang w:val="fr-CH"/>
              </w:rPr>
              <w:t>UN/SCEGHS/4</w:t>
            </w:r>
            <w:r w:rsidR="008D55AE" w:rsidRPr="00321D8E">
              <w:rPr>
                <w:b/>
                <w:sz w:val="40"/>
                <w:szCs w:val="40"/>
                <w:lang w:val="fr-CH"/>
              </w:rPr>
              <w:t>6</w:t>
            </w:r>
            <w:r w:rsidRPr="00321D8E">
              <w:rPr>
                <w:b/>
                <w:sz w:val="40"/>
                <w:szCs w:val="40"/>
                <w:lang w:val="fr-CH"/>
              </w:rPr>
              <w:t>/INF.</w:t>
            </w:r>
            <w:r w:rsidR="000F68CC" w:rsidRPr="000F68CC">
              <w:rPr>
                <w:b/>
                <w:sz w:val="40"/>
                <w:szCs w:val="40"/>
                <w:lang w:val="fr-CH"/>
              </w:rPr>
              <w:t>4</w:t>
            </w:r>
          </w:p>
          <w:p w14:paraId="3C40CCCB" w14:textId="77777777" w:rsidR="0054746F" w:rsidRPr="00321D8E"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0F0C132A"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B56DFB">
              <w:rPr>
                <w:b/>
              </w:rPr>
              <w:t>8</w:t>
            </w:r>
            <w:r w:rsidR="004665E5" w:rsidRPr="00B56DFB">
              <w:rPr>
                <w:b/>
              </w:rPr>
              <w:t xml:space="preserve"> April</w:t>
            </w:r>
            <w:r w:rsidR="00EA250D" w:rsidRPr="00B56DFB">
              <w:rPr>
                <w:b/>
              </w:rPr>
              <w:t xml:space="preserve"> 2024</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27959204" w:rsidR="0054746F" w:rsidRPr="000B4919" w:rsidRDefault="0054746F" w:rsidP="00637050">
            <w:pPr>
              <w:spacing w:before="120"/>
              <w:ind w:left="34" w:hanging="34"/>
              <w:rPr>
                <w:b/>
              </w:rPr>
            </w:pPr>
            <w:r w:rsidRPr="001025C8">
              <w:rPr>
                <w:b/>
                <w:bCs/>
              </w:rPr>
              <w:t>Sixty-</w:t>
            </w:r>
            <w:r w:rsidR="008214FA">
              <w:rPr>
                <w:b/>
                <w:bCs/>
              </w:rPr>
              <w:t>fourth</w:t>
            </w:r>
            <w:r w:rsidRPr="001025C8">
              <w:rPr>
                <w:b/>
                <w:bCs/>
              </w:rPr>
              <w:t xml:space="preserve"> session</w:t>
            </w:r>
          </w:p>
        </w:tc>
        <w:tc>
          <w:tcPr>
            <w:tcW w:w="4993" w:type="dxa"/>
            <w:tcMar>
              <w:top w:w="57" w:type="dxa"/>
              <w:left w:w="108" w:type="dxa"/>
              <w:bottom w:w="0" w:type="dxa"/>
              <w:right w:w="108" w:type="dxa"/>
            </w:tcMar>
          </w:tcPr>
          <w:p w14:paraId="4B0AC9F1" w14:textId="74BE5C7A" w:rsidR="0054746F" w:rsidRPr="000B4919" w:rsidRDefault="0054746F" w:rsidP="00637050">
            <w:pPr>
              <w:spacing w:before="120"/>
              <w:ind w:left="34" w:hanging="34"/>
              <w:rPr>
                <w:b/>
              </w:rPr>
            </w:pPr>
            <w:r>
              <w:rPr>
                <w:b/>
              </w:rPr>
              <w:t>Forty-</w:t>
            </w:r>
            <w:r w:rsidR="008214FA">
              <w:rPr>
                <w:b/>
              </w:rPr>
              <w:t>sixth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1F3D6378" w:rsidR="0054746F" w:rsidRPr="00FB356F" w:rsidRDefault="0054746F" w:rsidP="008214FA">
            <w:r w:rsidRPr="00BC0574">
              <w:t xml:space="preserve">Geneva, </w:t>
            </w:r>
            <w:r w:rsidR="008214FA">
              <w:t>24 June</w:t>
            </w:r>
            <w:r w:rsidR="00546318" w:rsidRPr="00546318">
              <w:t xml:space="preserve">- </w:t>
            </w:r>
            <w:r w:rsidR="008214FA">
              <w:t>3</w:t>
            </w:r>
            <w:r w:rsidR="0047508E">
              <w:t xml:space="preserve"> </w:t>
            </w:r>
            <w:r w:rsidR="008214FA">
              <w:t>July 2024</w:t>
            </w:r>
            <w:r w:rsidRPr="00BC0574">
              <w:br/>
            </w:r>
            <w:r w:rsidRPr="00FB356F">
              <w:t xml:space="preserve">Item </w:t>
            </w:r>
            <w:r w:rsidR="00870F32" w:rsidRPr="00FB356F">
              <w:t xml:space="preserve">2 </w:t>
            </w:r>
            <w:r w:rsidR="006E3500" w:rsidRPr="00FB356F">
              <w:t xml:space="preserve">(h) </w:t>
            </w:r>
            <w:r w:rsidRPr="00FB356F">
              <w:t>of the provisional agenda</w:t>
            </w:r>
            <w:r w:rsidR="00E82C0F" w:rsidRPr="00FB356F">
              <w:t>:</w:t>
            </w:r>
          </w:p>
          <w:p w14:paraId="3E8C17C2" w14:textId="5D47DE2A" w:rsidR="006E3500" w:rsidRPr="00FB356F" w:rsidRDefault="008E615F" w:rsidP="00637050">
            <w:pPr>
              <w:spacing w:before="40"/>
              <w:ind w:left="-18" w:firstLine="18"/>
              <w:rPr>
                <w:b/>
                <w:bCs/>
              </w:rPr>
            </w:pPr>
            <w:r w:rsidRPr="00FB356F">
              <w:rPr>
                <w:b/>
                <w:bCs/>
              </w:rPr>
              <w:t>Explosives and related matters:</w:t>
            </w:r>
          </w:p>
          <w:p w14:paraId="727A37BA" w14:textId="0507AED0" w:rsidR="0054746F" w:rsidRPr="00BC0574" w:rsidRDefault="00A035BD" w:rsidP="00637050">
            <w:pPr>
              <w:spacing w:before="40"/>
              <w:ind w:left="-18" w:firstLine="18"/>
              <w:rPr>
                <w:b/>
                <w:bCs/>
              </w:rPr>
            </w:pPr>
            <w:r w:rsidRPr="00FB356F">
              <w:rPr>
                <w:b/>
                <w:bCs/>
              </w:rPr>
              <w:t>M</w:t>
            </w:r>
            <w:r w:rsidR="008E615F" w:rsidRPr="00FB356F">
              <w:rPr>
                <w:b/>
                <w:bCs/>
              </w:rPr>
              <w:t>iscellaneous</w:t>
            </w:r>
          </w:p>
        </w:tc>
        <w:tc>
          <w:tcPr>
            <w:tcW w:w="4993" w:type="dxa"/>
            <w:tcMar>
              <w:top w:w="28" w:type="dxa"/>
              <w:left w:w="108" w:type="dxa"/>
              <w:bottom w:w="0" w:type="dxa"/>
              <w:right w:w="108" w:type="dxa"/>
            </w:tcMar>
          </w:tcPr>
          <w:p w14:paraId="55B8DF31" w14:textId="5F980BB6" w:rsidR="0054746F" w:rsidRPr="00E82C0F" w:rsidRDefault="0054746F" w:rsidP="00637050">
            <w:r w:rsidRPr="00EA78F8">
              <w:t xml:space="preserve">Geneva, </w:t>
            </w:r>
            <w:r w:rsidR="008214FA" w:rsidRPr="00EA78F8">
              <w:t>3</w:t>
            </w:r>
            <w:r w:rsidR="00D10AFB" w:rsidRPr="00EA78F8">
              <w:t>-</w:t>
            </w:r>
            <w:r w:rsidR="008214FA" w:rsidRPr="00EA78F8">
              <w:t>5</w:t>
            </w:r>
            <w:r w:rsidR="00D10AFB" w:rsidRPr="00EA78F8">
              <w:t xml:space="preserve"> </w:t>
            </w:r>
            <w:r w:rsidR="008214FA" w:rsidRPr="00EA78F8">
              <w:t>July 2024</w:t>
            </w:r>
            <w:r w:rsidRPr="00EA78F8">
              <w:br/>
            </w:r>
            <w:r w:rsidRPr="00E82C0F">
              <w:t xml:space="preserve">Item </w:t>
            </w:r>
            <w:r w:rsidR="00EA78F8" w:rsidRPr="00E82C0F">
              <w:t xml:space="preserve">2 (a) </w:t>
            </w:r>
            <w:r w:rsidRPr="00E82C0F">
              <w:t>of the provisional agenda</w:t>
            </w:r>
          </w:p>
          <w:p w14:paraId="4C01361D" w14:textId="77777777" w:rsidR="0054746F" w:rsidRDefault="00873D04" w:rsidP="00637050">
            <w:pPr>
              <w:rPr>
                <w:b/>
                <w:lang w:val="en-US"/>
              </w:rPr>
            </w:pPr>
            <w:r w:rsidRPr="00E82C0F">
              <w:rPr>
                <w:b/>
                <w:lang w:val="en-US"/>
              </w:rPr>
              <w:t>Work on the Globally Harmonized System of Classification and Labelling of Chemicals</w:t>
            </w:r>
            <w:r w:rsidR="00D16E28">
              <w:rPr>
                <w:b/>
                <w:lang w:val="en-US"/>
              </w:rPr>
              <w:t>:</w:t>
            </w:r>
          </w:p>
          <w:p w14:paraId="3057481F" w14:textId="6585CAE7" w:rsidR="0054746F" w:rsidRPr="00EA78F8" w:rsidRDefault="00D16E28" w:rsidP="00637050">
            <w:pPr>
              <w:rPr>
                <w:b/>
                <w:bCs/>
              </w:rPr>
            </w:pPr>
            <w:r w:rsidRPr="00A51530">
              <w:rPr>
                <w:b/>
              </w:rPr>
              <w:t>Work of the Sub-Committee of Experts on the Transport of Dangerous Goods on matters of interest to the Sub-Committee of Experts on the Globally Harmonized System of Classification and Labelling of Chemicals</w:t>
            </w:r>
          </w:p>
        </w:tc>
      </w:tr>
    </w:tbl>
    <w:p w14:paraId="093460FD" w14:textId="63F2E836" w:rsidR="00E76F11" w:rsidRPr="00BE0687" w:rsidRDefault="00744B01" w:rsidP="002D5D30">
      <w:pPr>
        <w:pStyle w:val="HChG"/>
      </w:pPr>
      <w:r w:rsidRPr="009E7ABD">
        <w:rPr>
          <w:rFonts w:eastAsia="MS Mincho"/>
          <w:lang w:val="en-US" w:eastAsia="ja-JP"/>
        </w:rPr>
        <w:tab/>
      </w:r>
      <w:r>
        <w:rPr>
          <w:rFonts w:eastAsia="MS Mincho"/>
          <w:lang w:val="en-US" w:eastAsia="ja-JP"/>
        </w:rPr>
        <w:tab/>
      </w:r>
      <w:r w:rsidR="00222B5A" w:rsidRPr="00043167">
        <w:t>Report</w:t>
      </w:r>
      <w:r w:rsidR="00222B5A">
        <w:t xml:space="preserve"> of the informal correspondence group</w:t>
      </w:r>
      <w:r w:rsidR="000254D0">
        <w:t xml:space="preserve"> on burning rate</w:t>
      </w:r>
      <w:r w:rsidR="002D5D30">
        <w:t xml:space="preserve">: Amendments to </w:t>
      </w:r>
      <w:r w:rsidR="00A45382">
        <w:t>sub</w:t>
      </w:r>
      <w:r w:rsidR="00222B5A">
        <w:t>s</w:t>
      </w:r>
      <w:r w:rsidR="00222B5A">
        <w:rPr>
          <w:rFonts w:hint="eastAsia"/>
        </w:rPr>
        <w:t>ection 51</w:t>
      </w:r>
      <w:r w:rsidR="00222B5A">
        <w:t>.4</w:t>
      </w:r>
      <w:r w:rsidR="00222B5A">
        <w:rPr>
          <w:rFonts w:hint="eastAsia"/>
        </w:rPr>
        <w:t xml:space="preserve"> of </w:t>
      </w:r>
      <w:r w:rsidR="00222B5A" w:rsidRPr="004B02D7">
        <w:t xml:space="preserve">the </w:t>
      </w:r>
      <w:r w:rsidR="00222B5A">
        <w:t>Manual of Tests and Criteria</w:t>
      </w:r>
    </w:p>
    <w:p w14:paraId="6E3E9DD5" w14:textId="3E6705F0" w:rsidR="00EB4E1C" w:rsidRPr="00C931AA" w:rsidRDefault="00E76F11" w:rsidP="00490282">
      <w:pPr>
        <w:pStyle w:val="H1G"/>
      </w:pPr>
      <w:r>
        <w:rPr>
          <w:lang w:val="en-AU"/>
        </w:rPr>
        <w:tab/>
      </w:r>
      <w:r w:rsidR="00490282">
        <w:rPr>
          <w:lang w:val="en-AU"/>
        </w:rPr>
        <w:tab/>
      </w:r>
      <w:r w:rsidR="00EB4E1C" w:rsidRPr="00C931AA">
        <w:t xml:space="preserve">Transmitted by the expert from </w:t>
      </w:r>
      <w:r w:rsidR="00EB4E1C">
        <w:t>China</w:t>
      </w:r>
      <w:r w:rsidR="00EB4E1C" w:rsidRPr="00154B52">
        <w:t xml:space="preserve"> on behalf of the </w:t>
      </w:r>
      <w:bookmarkStart w:id="0" w:name="_Hlk160029735"/>
      <w:r w:rsidR="00EB4E1C">
        <w:t>informal correspondence group</w:t>
      </w:r>
      <w:bookmarkEnd w:id="0"/>
    </w:p>
    <w:p w14:paraId="2BDFA624" w14:textId="76B447EB" w:rsidR="00C10641" w:rsidRDefault="00E76F11" w:rsidP="00662ABC">
      <w:pPr>
        <w:pStyle w:val="SingleTxtG"/>
      </w:pPr>
      <w:r w:rsidRPr="00490282">
        <w:tab/>
      </w:r>
      <w:r w:rsidR="00490282" w:rsidRPr="00490282">
        <w:t>This do</w:t>
      </w:r>
      <w:r w:rsidR="00490282">
        <w:t xml:space="preserve">cument </w:t>
      </w:r>
      <w:r w:rsidR="00E9209F">
        <w:t xml:space="preserve">contains the </w:t>
      </w:r>
      <w:r w:rsidR="00490282">
        <w:t>text of section 51 of the Manual of Tests and Criteria with the amendments proposed by the informal correspondence group listed in document ST/SG/AC.10/C.3/2024/41</w:t>
      </w:r>
      <w:r w:rsidR="006C3977">
        <w:t xml:space="preserve"> −</w:t>
      </w:r>
      <w:r w:rsidR="00490282">
        <w:t xml:space="preserve"> ST/SG/AC.10/C.3/2024/</w:t>
      </w:r>
      <w:r w:rsidR="00B54DCB">
        <w:t>7.</w:t>
      </w:r>
    </w:p>
    <w:p w14:paraId="01CD4E48" w14:textId="7F56587C" w:rsidR="00662ABC" w:rsidRDefault="00E9209F" w:rsidP="00662ABC">
      <w:pPr>
        <w:pStyle w:val="SingleTxtG"/>
      </w:pPr>
      <w:r>
        <w:t>All changes are indicated</w:t>
      </w:r>
      <w:r w:rsidR="00662ABC">
        <w:t xml:space="preserve">: </w:t>
      </w:r>
      <w:r w:rsidR="00662ABC" w:rsidRPr="008705A5">
        <w:t>deleted text appears in</w:t>
      </w:r>
      <w:r w:rsidR="00662ABC" w:rsidRPr="000720B5">
        <w:t xml:space="preserve"> </w:t>
      </w:r>
      <w:r w:rsidR="00662ABC" w:rsidRPr="00A76A28">
        <w:rPr>
          <w:strike/>
        </w:rPr>
        <w:t>strikethrough</w:t>
      </w:r>
      <w:r w:rsidR="00662ABC" w:rsidRPr="008705A5">
        <w:t xml:space="preserve"> and new text in </w:t>
      </w:r>
      <w:r w:rsidR="00662ABC" w:rsidRPr="00A76A28">
        <w:rPr>
          <w:b/>
          <w:bCs/>
          <w:u w:val="single"/>
        </w:rPr>
        <w:t>bold underlined</w:t>
      </w:r>
      <w:r w:rsidR="00662ABC" w:rsidRPr="001973B6">
        <w:t>.</w:t>
      </w:r>
    </w:p>
    <w:p w14:paraId="0C415FFA" w14:textId="3C40D2E2" w:rsidR="00B54DCB" w:rsidRDefault="00B54DCB" w:rsidP="00490282">
      <w:pPr>
        <w:pStyle w:val="SingleTxtG"/>
      </w:pPr>
    </w:p>
    <w:p w14:paraId="1E1CA942" w14:textId="001979A8" w:rsidR="004E55F4" w:rsidRDefault="004E55F4">
      <w:pPr>
        <w:suppressAutoHyphens w:val="0"/>
        <w:spacing w:line="240" w:lineRule="auto"/>
      </w:pPr>
      <w:r>
        <w:br w:type="page"/>
      </w:r>
    </w:p>
    <w:p w14:paraId="4F508481" w14:textId="7BCD78A4" w:rsidR="00FD4219" w:rsidRDefault="00FD4219" w:rsidP="00FD4219">
      <w:pPr>
        <w:spacing w:beforeLines="100" w:before="240" w:afterLines="100" w:after="240"/>
        <w:jc w:val="center"/>
        <w:rPr>
          <w:b/>
          <w:bCs/>
          <w:sz w:val="26"/>
          <w:szCs w:val="26"/>
        </w:rPr>
      </w:pPr>
      <w:r>
        <w:rPr>
          <w:b/>
          <w:bCs/>
          <w:sz w:val="26"/>
          <w:szCs w:val="26"/>
        </w:rPr>
        <w:lastRenderedPageBreak/>
        <w:t>“SECTION 51</w:t>
      </w:r>
    </w:p>
    <w:p w14:paraId="7385A076" w14:textId="6B65F603" w:rsidR="00FD4219" w:rsidRDefault="00FD4219" w:rsidP="0077475D">
      <w:pPr>
        <w:spacing w:beforeLines="100" w:before="240" w:afterLines="100" w:after="240"/>
        <w:jc w:val="center"/>
        <w:rPr>
          <w:b/>
          <w:bCs/>
          <w:sz w:val="26"/>
          <w:szCs w:val="26"/>
        </w:rPr>
      </w:pPr>
      <w:r>
        <w:rPr>
          <w:b/>
          <w:bCs/>
          <w:sz w:val="26"/>
          <w:szCs w:val="26"/>
        </w:rPr>
        <w:t>CLASSIFICATION PROCEDURES, TEST METHODS AND</w:t>
      </w:r>
      <w:r w:rsidR="0077475D">
        <w:rPr>
          <w:b/>
          <w:bCs/>
          <w:sz w:val="26"/>
          <w:szCs w:val="26"/>
        </w:rPr>
        <w:t xml:space="preserve"> </w:t>
      </w:r>
      <w:r>
        <w:rPr>
          <w:b/>
          <w:bCs/>
          <w:sz w:val="26"/>
          <w:szCs w:val="26"/>
        </w:rPr>
        <w:t>CRITERIA RELATING TO THE HAZARD CLASS DESENSITIZED EXPLOSIVES</w:t>
      </w:r>
    </w:p>
    <w:p w14:paraId="6869BF42" w14:textId="0D26CB9F" w:rsidR="00FD4219" w:rsidRDefault="00FD4219" w:rsidP="00F4687F">
      <w:pPr>
        <w:tabs>
          <w:tab w:val="left" w:pos="1418"/>
        </w:tabs>
        <w:spacing w:beforeLines="100" w:before="240" w:afterLines="100" w:after="240"/>
        <w:jc w:val="both"/>
        <w:rPr>
          <w:b/>
          <w:bCs/>
          <w:sz w:val="22"/>
        </w:rPr>
      </w:pPr>
      <w:r>
        <w:rPr>
          <w:b/>
          <w:bCs/>
          <w:sz w:val="22"/>
        </w:rPr>
        <w:t>51.1</w:t>
      </w:r>
      <w:r w:rsidR="00F4687F">
        <w:rPr>
          <w:b/>
          <w:bCs/>
          <w:sz w:val="22"/>
        </w:rPr>
        <w:tab/>
      </w:r>
      <w:r>
        <w:rPr>
          <w:b/>
          <w:bCs/>
          <w:sz w:val="22"/>
        </w:rPr>
        <w:t>Purpose</w:t>
      </w:r>
    </w:p>
    <w:p w14:paraId="3BDB3280" w14:textId="3BD62D01" w:rsidR="00FD4219" w:rsidRDefault="00FD4219" w:rsidP="005E55E7">
      <w:pPr>
        <w:tabs>
          <w:tab w:val="left" w:pos="1418"/>
        </w:tabs>
        <w:spacing w:after="240" w:line="240" w:lineRule="auto"/>
        <w:jc w:val="both"/>
        <w:rPr>
          <w:sz w:val="22"/>
        </w:rPr>
      </w:pPr>
      <w:r>
        <w:rPr>
          <w:sz w:val="22"/>
        </w:rPr>
        <w:t>51.1.1</w:t>
      </w:r>
      <w:r w:rsidR="00F4687F">
        <w:rPr>
          <w:sz w:val="22"/>
        </w:rPr>
        <w:tab/>
      </w:r>
      <w:r>
        <w:rPr>
          <w:sz w:val="22"/>
        </w:rPr>
        <w:t xml:space="preserve">This section presents the United Nations scheme </w:t>
      </w:r>
      <w:r>
        <w:rPr>
          <w:rFonts w:hint="eastAsia"/>
          <w:sz w:val="22"/>
        </w:rPr>
        <w:t>for</w:t>
      </w:r>
      <w:r>
        <w:rPr>
          <w:sz w:val="22"/>
        </w:rPr>
        <w:t xml:space="preserve"> the classification of liquid and solid desensitized explosives </w:t>
      </w:r>
      <w:r>
        <w:rPr>
          <w:rFonts w:hint="eastAsia"/>
          <w:sz w:val="22"/>
        </w:rPr>
        <w:t>(</w:t>
      </w:r>
      <w:r>
        <w:rPr>
          <w:sz w:val="22"/>
        </w:rPr>
        <w:t xml:space="preserve">see chapter 2.17 of the </w:t>
      </w:r>
      <w:r w:rsidRPr="005D71A7">
        <w:rPr>
          <w:i/>
          <w:iCs/>
          <w:sz w:val="22"/>
        </w:rPr>
        <w:t>GHS</w:t>
      </w:r>
      <w:r>
        <w:rPr>
          <w:sz w:val="22"/>
        </w:rPr>
        <w:t xml:space="preserve">). The text should be used in conjunction with the classification principles of chapter 2.17 of the </w:t>
      </w:r>
      <w:r w:rsidRPr="005D71A7">
        <w:rPr>
          <w:i/>
          <w:iCs/>
          <w:sz w:val="22"/>
        </w:rPr>
        <w:t>GHS</w:t>
      </w:r>
      <w:r>
        <w:rPr>
          <w:sz w:val="22"/>
        </w:rPr>
        <w:t xml:space="preserve"> and the test series given in sections 12 and 13 and subsections 16.4 and 16.5 of this </w:t>
      </w:r>
      <w:r w:rsidRPr="005D71A7">
        <w:rPr>
          <w:i/>
          <w:iCs/>
          <w:sz w:val="22"/>
        </w:rPr>
        <w:t>Manual.</w:t>
      </w:r>
    </w:p>
    <w:p w14:paraId="632D2513" w14:textId="0B46515C" w:rsidR="00FD4219" w:rsidRDefault="00F4687F" w:rsidP="005E55E7">
      <w:pPr>
        <w:tabs>
          <w:tab w:val="left" w:pos="1418"/>
        </w:tabs>
        <w:spacing w:after="240" w:line="240" w:lineRule="auto"/>
        <w:jc w:val="both"/>
        <w:rPr>
          <w:i/>
          <w:iCs/>
          <w:sz w:val="22"/>
        </w:rPr>
      </w:pPr>
      <w:r>
        <w:rPr>
          <w:i/>
          <w:iCs/>
          <w:sz w:val="22"/>
        </w:rPr>
        <w:tab/>
      </w:r>
      <w:r w:rsidR="00FD4219">
        <w:rPr>
          <w:i/>
          <w:iCs/>
          <w:sz w:val="22"/>
        </w:rPr>
        <w:t xml:space="preserve">For testing of liquid desensitized explosives for transport purposes, refer to section 32, subsection 32.3.2 of this </w:t>
      </w:r>
      <w:bookmarkStart w:id="1" w:name="_Hlk159673651"/>
      <w:r w:rsidR="00FD4219" w:rsidRPr="001812C9">
        <w:rPr>
          <w:i/>
          <w:iCs/>
          <w:sz w:val="22"/>
        </w:rPr>
        <w:t>"Manual"</w:t>
      </w:r>
      <w:bookmarkEnd w:id="1"/>
      <w:r w:rsidR="00FD4219">
        <w:rPr>
          <w:i/>
          <w:iCs/>
          <w:sz w:val="22"/>
        </w:rPr>
        <w:t xml:space="preserve"> and to chapter 2.3, subsection 2.3.1.4 of the </w:t>
      </w:r>
      <w:r w:rsidR="00FD4219" w:rsidRPr="001812C9">
        <w:rPr>
          <w:i/>
          <w:iCs/>
          <w:sz w:val="22"/>
        </w:rPr>
        <w:t>"</w:t>
      </w:r>
      <w:r w:rsidR="00FD4219">
        <w:rPr>
          <w:i/>
          <w:iCs/>
          <w:sz w:val="22"/>
        </w:rPr>
        <w:t>Model Regulations</w:t>
      </w:r>
      <w:r w:rsidR="00FD4219" w:rsidRPr="001812C9">
        <w:rPr>
          <w:i/>
          <w:iCs/>
          <w:sz w:val="22"/>
        </w:rPr>
        <w:t>"</w:t>
      </w:r>
      <w:r w:rsidR="00FD4219">
        <w:rPr>
          <w:i/>
          <w:iCs/>
          <w:sz w:val="22"/>
        </w:rPr>
        <w:t xml:space="preserve">. Testing of solid desensitized explosives for transport purposes is addressed in section 33, subsection 33.3 of this </w:t>
      </w:r>
      <w:r w:rsidR="00FD4219" w:rsidRPr="001812C9">
        <w:rPr>
          <w:i/>
          <w:iCs/>
          <w:sz w:val="22"/>
        </w:rPr>
        <w:t>"Manual"</w:t>
      </w:r>
      <w:r w:rsidR="00FD4219">
        <w:rPr>
          <w:i/>
          <w:iCs/>
          <w:sz w:val="22"/>
        </w:rPr>
        <w:t xml:space="preserve"> and in chapter 2.4, </w:t>
      </w:r>
      <w:bookmarkStart w:id="2" w:name="_Hlk159672958"/>
      <w:r w:rsidR="00FD4219">
        <w:rPr>
          <w:i/>
          <w:iCs/>
          <w:sz w:val="22"/>
        </w:rPr>
        <w:t>subsection</w:t>
      </w:r>
      <w:bookmarkEnd w:id="2"/>
      <w:r w:rsidR="00FD4219">
        <w:rPr>
          <w:i/>
          <w:iCs/>
          <w:sz w:val="22"/>
        </w:rPr>
        <w:t xml:space="preserve"> 2.4.2.4 of the </w:t>
      </w:r>
      <w:r w:rsidR="00FD4219" w:rsidRPr="001812C9">
        <w:rPr>
          <w:i/>
          <w:iCs/>
          <w:sz w:val="22"/>
        </w:rPr>
        <w:t>"</w:t>
      </w:r>
      <w:r w:rsidR="00FD4219">
        <w:rPr>
          <w:i/>
          <w:iCs/>
          <w:sz w:val="22"/>
        </w:rPr>
        <w:t>Model Regulations</w:t>
      </w:r>
      <w:r w:rsidR="00FD4219" w:rsidRPr="001812C9">
        <w:rPr>
          <w:i/>
          <w:iCs/>
          <w:sz w:val="22"/>
        </w:rPr>
        <w:t>"</w:t>
      </w:r>
      <w:r w:rsidR="00FD4219">
        <w:rPr>
          <w:i/>
          <w:iCs/>
          <w:sz w:val="22"/>
        </w:rPr>
        <w:t>.</w:t>
      </w:r>
    </w:p>
    <w:p w14:paraId="55F43C2B" w14:textId="3531B3E7" w:rsidR="00FD4219" w:rsidRDefault="00FD4219" w:rsidP="00F4687F">
      <w:pPr>
        <w:tabs>
          <w:tab w:val="left" w:pos="1418"/>
        </w:tabs>
        <w:spacing w:beforeLines="100" w:before="240" w:afterLines="100" w:after="240"/>
        <w:jc w:val="both"/>
        <w:rPr>
          <w:b/>
          <w:bCs/>
          <w:sz w:val="22"/>
        </w:rPr>
      </w:pPr>
      <w:r>
        <w:rPr>
          <w:b/>
          <w:bCs/>
          <w:sz w:val="22"/>
        </w:rPr>
        <w:t>51.2</w:t>
      </w:r>
      <w:r w:rsidR="00F4687F">
        <w:rPr>
          <w:b/>
          <w:bCs/>
          <w:sz w:val="22"/>
        </w:rPr>
        <w:tab/>
      </w:r>
      <w:r>
        <w:rPr>
          <w:b/>
          <w:bCs/>
          <w:sz w:val="22"/>
        </w:rPr>
        <w:t>Scope</w:t>
      </w:r>
    </w:p>
    <w:p w14:paraId="15B5178A" w14:textId="1E79C36B" w:rsidR="00FD4219" w:rsidRDefault="00FD4219" w:rsidP="005E55E7">
      <w:pPr>
        <w:tabs>
          <w:tab w:val="left" w:pos="1418"/>
        </w:tabs>
        <w:spacing w:after="240" w:line="240" w:lineRule="auto"/>
        <w:jc w:val="both"/>
        <w:rPr>
          <w:sz w:val="22"/>
        </w:rPr>
      </w:pPr>
      <w:r>
        <w:rPr>
          <w:sz w:val="22"/>
        </w:rPr>
        <w:t>51.2.1</w:t>
      </w:r>
      <w:r w:rsidR="00F4687F">
        <w:rPr>
          <w:sz w:val="22"/>
        </w:rPr>
        <w:tab/>
      </w:r>
      <w:r>
        <w:rPr>
          <w:sz w:val="22"/>
        </w:rPr>
        <w:t xml:space="preserve">Desensitized explosives are </w:t>
      </w:r>
      <w:r w:rsidRPr="00136DD5">
        <w:rPr>
          <w:sz w:val="22"/>
        </w:rPr>
        <w:t>sub</w:t>
      </w:r>
      <w:r>
        <w:rPr>
          <w:sz w:val="22"/>
        </w:rPr>
        <w:t>stances</w:t>
      </w:r>
      <w:r w:rsidRPr="00136DD5">
        <w:rPr>
          <w:sz w:val="22"/>
        </w:rPr>
        <w:t xml:space="preserve"> </w:t>
      </w:r>
      <w:r>
        <w:rPr>
          <w:sz w:val="22"/>
        </w:rPr>
        <w:t xml:space="preserve">and mixtures in the scope of chapter 2.1 of the </w:t>
      </w:r>
      <w:r w:rsidRPr="001812C9">
        <w:rPr>
          <w:i/>
          <w:iCs/>
          <w:sz w:val="22"/>
        </w:rPr>
        <w:t>GHS</w:t>
      </w:r>
      <w:r>
        <w:rPr>
          <w:sz w:val="22"/>
        </w:rPr>
        <w:t xml:space="preserve"> which are phlegmatized to suppress their explosive properties in such a manner that they meet the criteria as specified in 2.17.2 of the </w:t>
      </w:r>
      <w:r w:rsidRPr="001812C9">
        <w:rPr>
          <w:i/>
          <w:iCs/>
          <w:sz w:val="22"/>
        </w:rPr>
        <w:t>GHS</w:t>
      </w:r>
      <w:r>
        <w:rPr>
          <w:sz w:val="22"/>
        </w:rPr>
        <w:t xml:space="preserve"> and thus may be exempted from the  hazard class "Explosives" (Chapter 2.1 of </w:t>
      </w:r>
      <w:r w:rsidRPr="001812C9">
        <w:rPr>
          <w:i/>
          <w:iCs/>
          <w:sz w:val="22"/>
        </w:rPr>
        <w:t>GHS</w:t>
      </w:r>
      <w:r>
        <w:rPr>
          <w:sz w:val="22"/>
        </w:rPr>
        <w:t xml:space="preserve">). </w:t>
      </w:r>
    </w:p>
    <w:p w14:paraId="5F54BB68" w14:textId="5A0AE120" w:rsidR="00FD4219" w:rsidRDefault="00FD4219" w:rsidP="005E55E7">
      <w:pPr>
        <w:tabs>
          <w:tab w:val="left" w:pos="1418"/>
        </w:tabs>
        <w:spacing w:after="240" w:line="240" w:lineRule="auto"/>
        <w:jc w:val="both"/>
        <w:rPr>
          <w:sz w:val="22"/>
        </w:rPr>
      </w:pPr>
      <w:r>
        <w:rPr>
          <w:sz w:val="22"/>
        </w:rPr>
        <w:t>51.2.2</w:t>
      </w:r>
      <w:r w:rsidR="00F4687F">
        <w:rPr>
          <w:sz w:val="22"/>
        </w:rPr>
        <w:tab/>
      </w:r>
      <w:r>
        <w:rPr>
          <w:sz w:val="22"/>
        </w:rPr>
        <w:t>Desensitized explosives</w:t>
      </w:r>
      <w:r w:rsidRPr="00BC17A5">
        <w:rPr>
          <w:sz w:val="22"/>
        </w:rPr>
        <w:t xml:space="preserve"> </w:t>
      </w:r>
      <w:r>
        <w:rPr>
          <w:sz w:val="22"/>
        </w:rPr>
        <w:t>should be tested:</w:t>
      </w:r>
    </w:p>
    <w:p w14:paraId="50A6806A" w14:textId="3A576AF5" w:rsidR="00FD4219" w:rsidRDefault="00FD4219" w:rsidP="005E55E7">
      <w:pPr>
        <w:tabs>
          <w:tab w:val="left" w:pos="1418"/>
        </w:tabs>
        <w:spacing w:after="240" w:line="240" w:lineRule="auto"/>
        <w:ind w:leftChars="708" w:left="1984" w:hangingChars="258" w:hanging="568"/>
        <w:jc w:val="both"/>
        <w:rPr>
          <w:sz w:val="22"/>
        </w:rPr>
      </w:pPr>
      <w:r>
        <w:rPr>
          <w:sz w:val="22"/>
        </w:rPr>
        <w:t>(a)</w:t>
      </w:r>
      <w:r w:rsidR="00F4687F">
        <w:rPr>
          <w:sz w:val="22"/>
        </w:rPr>
        <w:tab/>
      </w:r>
      <w:r>
        <w:rPr>
          <w:sz w:val="22"/>
        </w:rPr>
        <w:t>For their exothermic decomposition energy</w:t>
      </w:r>
      <w:r>
        <w:rPr>
          <w:rStyle w:val="FootnoteReference"/>
        </w:rPr>
        <w:footnoteReference w:id="2"/>
      </w:r>
      <w:r>
        <w:rPr>
          <w:sz w:val="22"/>
        </w:rPr>
        <w:t>, if attempting to exit the class of desensitized explosives;</w:t>
      </w:r>
    </w:p>
    <w:p w14:paraId="1E99311C" w14:textId="395622F3" w:rsidR="00FD4219" w:rsidRPr="00CB494B" w:rsidRDefault="00FD4219" w:rsidP="005E55E7">
      <w:pPr>
        <w:tabs>
          <w:tab w:val="left" w:pos="1418"/>
        </w:tabs>
        <w:spacing w:after="240" w:line="240" w:lineRule="auto"/>
        <w:ind w:leftChars="708" w:left="1984" w:hangingChars="258" w:hanging="568"/>
        <w:jc w:val="both"/>
        <w:rPr>
          <w:sz w:val="22"/>
        </w:rPr>
      </w:pPr>
      <w:r>
        <w:rPr>
          <w:sz w:val="22"/>
        </w:rPr>
        <w:t>(b)</w:t>
      </w:r>
      <w:r w:rsidR="00F4687F">
        <w:rPr>
          <w:sz w:val="22"/>
        </w:rPr>
        <w:tab/>
      </w:r>
      <w:r w:rsidRPr="00D90F41">
        <w:rPr>
          <w:sz w:val="22"/>
        </w:rPr>
        <w:t xml:space="preserve">In accordance with test 1 (a), test series 2 and 3 and tests 6 (a) and (b), respectively of this </w:t>
      </w:r>
      <w:r w:rsidRPr="00D90F41">
        <w:rPr>
          <w:i/>
          <w:iCs/>
          <w:sz w:val="22"/>
        </w:rPr>
        <w:t xml:space="preserve">Manual </w:t>
      </w:r>
      <w:r w:rsidRPr="00D90F41">
        <w:rPr>
          <w:sz w:val="22"/>
        </w:rPr>
        <w:t>and in accordance with the classification procedure in section 51.3, to preclude a mass explosion in the corrected burning rate test;</w:t>
      </w:r>
    </w:p>
    <w:p w14:paraId="75FDC766" w14:textId="30A2B364" w:rsidR="00FD4219" w:rsidRPr="00CB494B" w:rsidRDefault="00FD4219" w:rsidP="005E55E7">
      <w:pPr>
        <w:tabs>
          <w:tab w:val="left" w:pos="1418"/>
        </w:tabs>
        <w:spacing w:after="240" w:line="240" w:lineRule="auto"/>
        <w:ind w:leftChars="708" w:left="1984" w:hangingChars="258" w:hanging="568"/>
        <w:jc w:val="both"/>
        <w:rPr>
          <w:sz w:val="22"/>
        </w:rPr>
      </w:pPr>
      <w:r>
        <w:rPr>
          <w:sz w:val="22"/>
        </w:rPr>
        <w:t>(c)</w:t>
      </w:r>
      <w:r w:rsidR="00F4687F">
        <w:rPr>
          <w:sz w:val="22"/>
        </w:rPr>
        <w:tab/>
      </w:r>
      <w:r w:rsidRPr="00D90F41">
        <w:rPr>
          <w:sz w:val="22"/>
        </w:rPr>
        <w:t>In accordance with the corrected burning rate test; and</w:t>
      </w:r>
    </w:p>
    <w:p w14:paraId="23D79828" w14:textId="0385E33C" w:rsidR="00FD4219" w:rsidRDefault="00FD4219" w:rsidP="005E55E7">
      <w:pPr>
        <w:tabs>
          <w:tab w:val="left" w:pos="1418"/>
        </w:tabs>
        <w:spacing w:after="240" w:line="240" w:lineRule="auto"/>
        <w:ind w:leftChars="708" w:left="1984" w:hangingChars="258" w:hanging="568"/>
        <w:jc w:val="both"/>
        <w:rPr>
          <w:sz w:val="22"/>
        </w:rPr>
      </w:pPr>
      <w:r>
        <w:rPr>
          <w:sz w:val="22"/>
        </w:rPr>
        <w:t>(d)</w:t>
      </w:r>
      <w:r w:rsidR="00F4687F">
        <w:rPr>
          <w:sz w:val="22"/>
        </w:rPr>
        <w:tab/>
      </w:r>
      <w:r w:rsidRPr="00D90F41">
        <w:rPr>
          <w:sz w:val="22"/>
        </w:rPr>
        <w:t xml:space="preserve">Nitrocellulose should be tested in accordance with appendix 10 of this </w:t>
      </w:r>
      <w:r w:rsidRPr="00D90F41">
        <w:rPr>
          <w:i/>
          <w:iCs/>
          <w:sz w:val="22"/>
        </w:rPr>
        <w:t>Manual</w:t>
      </w:r>
      <w:r w:rsidRPr="00D90F41">
        <w:rPr>
          <w:sz w:val="22"/>
        </w:rPr>
        <w:t xml:space="preserve"> in order to be used in nitrocellulose mixtures.</w:t>
      </w:r>
    </w:p>
    <w:p w14:paraId="20F4F300" w14:textId="7E5A1F0F" w:rsidR="00FD4219" w:rsidRDefault="00FD4219" w:rsidP="00F4687F">
      <w:pPr>
        <w:tabs>
          <w:tab w:val="left" w:pos="1418"/>
        </w:tabs>
        <w:spacing w:beforeLines="100" w:before="240" w:afterLines="100" w:after="240"/>
        <w:jc w:val="both"/>
        <w:rPr>
          <w:b/>
          <w:bCs/>
          <w:sz w:val="22"/>
        </w:rPr>
      </w:pPr>
      <w:r>
        <w:rPr>
          <w:b/>
          <w:bCs/>
          <w:sz w:val="22"/>
        </w:rPr>
        <w:t>51.3</w:t>
      </w:r>
      <w:r w:rsidR="00F4687F">
        <w:rPr>
          <w:b/>
          <w:bCs/>
          <w:sz w:val="22"/>
        </w:rPr>
        <w:tab/>
      </w:r>
      <w:r>
        <w:rPr>
          <w:b/>
          <w:bCs/>
          <w:sz w:val="22"/>
        </w:rPr>
        <w:t>Classification procedure</w:t>
      </w:r>
    </w:p>
    <w:p w14:paraId="701B10E0" w14:textId="284F67B2" w:rsidR="00FD4219" w:rsidRPr="00CB494B" w:rsidRDefault="00FD4219" w:rsidP="00F4687F">
      <w:pPr>
        <w:tabs>
          <w:tab w:val="left" w:pos="1418"/>
        </w:tabs>
        <w:spacing w:beforeLines="100" w:before="240" w:afterLines="100" w:after="240"/>
        <w:jc w:val="both"/>
        <w:rPr>
          <w:sz w:val="22"/>
        </w:rPr>
      </w:pPr>
      <w:r>
        <w:rPr>
          <w:sz w:val="22"/>
        </w:rPr>
        <w:t>51.3.1</w:t>
      </w:r>
      <w:r w:rsidR="00F4687F">
        <w:rPr>
          <w:sz w:val="22"/>
        </w:rPr>
        <w:tab/>
      </w:r>
      <w:r w:rsidRPr="00D90F41">
        <w:rPr>
          <w:sz w:val="22"/>
        </w:rPr>
        <w:t>Before packaged substances or mixtures are subjected to the burning rate test, tests as specified</w:t>
      </w:r>
      <w:r>
        <w:rPr>
          <w:sz w:val="22"/>
        </w:rPr>
        <w:t xml:space="preserve"> </w:t>
      </w:r>
      <w:r w:rsidRPr="00D90F41">
        <w:rPr>
          <w:sz w:val="22"/>
        </w:rPr>
        <w:t xml:space="preserve">below should be performed to rule out the possibility of mass explosion. In accordance with test 6 (a), substances and mixtures should be tested first with a standard detonator (appendix 1 of the </w:t>
      </w:r>
      <w:r w:rsidRPr="0063084C">
        <w:rPr>
          <w:i/>
          <w:iCs/>
          <w:sz w:val="22"/>
        </w:rPr>
        <w:t>Manual</w:t>
      </w:r>
      <w:r w:rsidRPr="00D90F41">
        <w:rPr>
          <w:sz w:val="22"/>
        </w:rPr>
        <w:t>) and, if no explosion occurs, with an igniter just sufficient (but not more than 30 g of black powder) to ensure ignition of the substance or mixture in the packaging. If there is a positive result in test 6 (a), test 6 (b) should be performed with the same initiation system that caused the positive result in test 6 (a).</w:t>
      </w:r>
    </w:p>
    <w:p w14:paraId="59636553" w14:textId="1E7E7F49" w:rsidR="00FD4219" w:rsidRDefault="00FD4219" w:rsidP="0077475D">
      <w:pPr>
        <w:tabs>
          <w:tab w:val="left" w:pos="1418"/>
        </w:tabs>
        <w:spacing w:beforeLines="100" w:before="240" w:afterLines="100" w:after="240"/>
        <w:jc w:val="both"/>
        <w:rPr>
          <w:sz w:val="22"/>
        </w:rPr>
      </w:pPr>
      <w:r>
        <w:rPr>
          <w:sz w:val="22"/>
        </w:rPr>
        <w:t>51.3.2</w:t>
      </w:r>
      <w:r w:rsidR="00F4687F">
        <w:rPr>
          <w:sz w:val="22"/>
        </w:rPr>
        <w:tab/>
      </w:r>
      <w:r w:rsidRPr="0063084C">
        <w:rPr>
          <w:sz w:val="22"/>
        </w:rPr>
        <w:t>It is not always necessary to conduct tests of all types:</w:t>
      </w:r>
    </w:p>
    <w:p w14:paraId="5532F60C" w14:textId="0ACA9AD4" w:rsidR="00FD4219" w:rsidRDefault="00FD4219" w:rsidP="0077475D">
      <w:pPr>
        <w:tabs>
          <w:tab w:val="left" w:pos="1418"/>
        </w:tabs>
        <w:spacing w:beforeLines="100" w:before="240" w:afterLines="100" w:after="240"/>
        <w:ind w:leftChars="707" w:left="1984" w:hangingChars="259" w:hanging="570"/>
        <w:jc w:val="both"/>
        <w:rPr>
          <w:sz w:val="22"/>
        </w:rPr>
      </w:pPr>
      <w:r>
        <w:rPr>
          <w:sz w:val="22"/>
        </w:rPr>
        <w:t>(a)</w:t>
      </w:r>
      <w:r w:rsidR="00F4687F">
        <w:rPr>
          <w:sz w:val="22"/>
        </w:rPr>
        <w:tab/>
      </w:r>
      <w:r w:rsidRPr="0063084C">
        <w:rPr>
          <w:sz w:val="22"/>
        </w:rPr>
        <w:t>Test series 3 may be waived if the explosive itself (i.e. before being phlegmatized) is</w:t>
      </w:r>
      <w:r>
        <w:rPr>
          <w:rFonts w:hint="eastAsia"/>
          <w:sz w:val="22"/>
        </w:rPr>
        <w:t xml:space="preserve"> </w:t>
      </w:r>
      <w:r w:rsidRPr="0063084C">
        <w:rPr>
          <w:sz w:val="22"/>
        </w:rPr>
        <w:t>not too sensitive or thermally unstable in accordance with test series 3;</w:t>
      </w:r>
    </w:p>
    <w:p w14:paraId="1F15FC7C" w14:textId="751F6E08" w:rsidR="00FD4219" w:rsidRDefault="00FD4219" w:rsidP="0077475D">
      <w:pPr>
        <w:spacing w:beforeLines="100" w:before="240" w:afterLines="100" w:after="240"/>
        <w:ind w:leftChars="707" w:left="1984" w:hangingChars="259" w:hanging="570"/>
        <w:jc w:val="both"/>
        <w:rPr>
          <w:sz w:val="22"/>
        </w:rPr>
      </w:pPr>
      <w:r>
        <w:rPr>
          <w:sz w:val="22"/>
        </w:rPr>
        <w:lastRenderedPageBreak/>
        <w:t>(b)</w:t>
      </w:r>
      <w:r w:rsidR="00F4687F">
        <w:rPr>
          <w:sz w:val="22"/>
        </w:rPr>
        <w:tab/>
      </w:r>
      <w:r w:rsidRPr="0077746A">
        <w:rPr>
          <w:sz w:val="22"/>
        </w:rPr>
        <w:t>Test series 3 and tests 6 (a) and (b) may be waived if test series 2 has been passed;</w:t>
      </w:r>
    </w:p>
    <w:p w14:paraId="2983D785" w14:textId="509694D1" w:rsidR="00FD4219" w:rsidRDefault="00FD4219" w:rsidP="0077475D">
      <w:pPr>
        <w:spacing w:beforeLines="100" w:before="240" w:afterLines="100" w:after="240"/>
        <w:ind w:leftChars="707" w:left="1984" w:hangingChars="259" w:hanging="570"/>
        <w:jc w:val="both"/>
        <w:rPr>
          <w:sz w:val="22"/>
        </w:rPr>
      </w:pPr>
      <w:r>
        <w:rPr>
          <w:sz w:val="22"/>
        </w:rPr>
        <w:t>(c)</w:t>
      </w:r>
      <w:r w:rsidR="00F4687F">
        <w:rPr>
          <w:sz w:val="22"/>
        </w:rPr>
        <w:tab/>
      </w:r>
      <w:r w:rsidRPr="0077746A">
        <w:rPr>
          <w:sz w:val="22"/>
        </w:rPr>
        <w:t>Test series 3 is not applicable to nitrocellulose mixtures containing no explosives other</w:t>
      </w:r>
      <w:r>
        <w:rPr>
          <w:sz w:val="22"/>
        </w:rPr>
        <w:t xml:space="preserve"> </w:t>
      </w:r>
      <w:r w:rsidRPr="0077746A">
        <w:rPr>
          <w:sz w:val="22"/>
        </w:rPr>
        <w:t>than nitrocellulose, for which the stability of the nitrocellulose has been established in accordance with appendix 10;</w:t>
      </w:r>
    </w:p>
    <w:p w14:paraId="41EFE52E" w14:textId="7BE9F2CA" w:rsidR="00FD4219" w:rsidRDefault="00FD4219" w:rsidP="00F4687F">
      <w:pPr>
        <w:spacing w:beforeLines="100" w:before="240" w:afterLines="100" w:after="240"/>
        <w:ind w:leftChars="707" w:left="1984" w:hangingChars="259" w:hanging="570"/>
        <w:jc w:val="both"/>
        <w:rPr>
          <w:sz w:val="22"/>
        </w:rPr>
      </w:pPr>
      <w:r>
        <w:rPr>
          <w:sz w:val="22"/>
        </w:rPr>
        <w:t>(d)</w:t>
      </w:r>
      <w:r w:rsidR="00F4687F">
        <w:rPr>
          <w:sz w:val="22"/>
        </w:rPr>
        <w:tab/>
      </w:r>
      <w:r w:rsidRPr="0077746A">
        <w:rPr>
          <w:sz w:val="22"/>
        </w:rPr>
        <w:t>Tests 6 (a) and 6 (b) may be modified or waived in accordance with section 51.3.3;</w:t>
      </w:r>
    </w:p>
    <w:p w14:paraId="2B37E3B6" w14:textId="5E4ED25D" w:rsidR="00FD4219" w:rsidRDefault="00FD4219" w:rsidP="00F4687F">
      <w:pPr>
        <w:spacing w:beforeLines="100" w:before="240" w:afterLines="100" w:after="240"/>
        <w:ind w:leftChars="707" w:left="1984" w:hangingChars="259" w:hanging="570"/>
        <w:jc w:val="both"/>
        <w:rPr>
          <w:sz w:val="22"/>
        </w:rPr>
      </w:pPr>
      <w:r>
        <w:rPr>
          <w:sz w:val="22"/>
        </w:rPr>
        <w:t>(e)</w:t>
      </w:r>
      <w:r w:rsidR="00F4687F">
        <w:rPr>
          <w:sz w:val="22"/>
        </w:rPr>
        <w:tab/>
      </w:r>
      <w:r w:rsidRPr="0077746A">
        <w:rPr>
          <w:sz w:val="22"/>
        </w:rPr>
        <w:t>Test 6 (b) may be waived if in each type 6 (a) test:</w:t>
      </w:r>
    </w:p>
    <w:p w14:paraId="213BE099" w14:textId="77777777" w:rsidR="00F4687F" w:rsidRDefault="00FD4219" w:rsidP="00F4687F">
      <w:pPr>
        <w:spacing w:beforeLines="100" w:before="240" w:afterLines="100" w:after="240"/>
        <w:ind w:leftChars="992" w:left="2552" w:hanging="568"/>
        <w:jc w:val="both"/>
        <w:rPr>
          <w:sz w:val="22"/>
        </w:rPr>
      </w:pPr>
      <w:r w:rsidRPr="0077746A">
        <w:rPr>
          <w:sz w:val="22"/>
        </w:rPr>
        <w:t>(</w:t>
      </w:r>
      <w:proofErr w:type="spellStart"/>
      <w:r w:rsidRPr="0077746A">
        <w:rPr>
          <w:sz w:val="22"/>
        </w:rPr>
        <w:t>i</w:t>
      </w:r>
      <w:proofErr w:type="spellEnd"/>
      <w:r w:rsidRPr="0077746A">
        <w:rPr>
          <w:sz w:val="22"/>
        </w:rPr>
        <w:t>)</w:t>
      </w:r>
      <w:r w:rsidR="00F4687F">
        <w:rPr>
          <w:sz w:val="22"/>
        </w:rPr>
        <w:tab/>
      </w:r>
      <w:r>
        <w:rPr>
          <w:sz w:val="22"/>
        </w:rPr>
        <w:t>The exterior of the package is undamaged by internal detonation and/or ignition; or</w:t>
      </w:r>
    </w:p>
    <w:p w14:paraId="7C5860DA" w14:textId="7E61029F" w:rsidR="00FD4219" w:rsidRDefault="00FD4219" w:rsidP="00F4687F">
      <w:pPr>
        <w:spacing w:beforeLines="100" w:before="240" w:afterLines="100" w:after="240"/>
        <w:ind w:leftChars="992" w:left="2552" w:hanging="568"/>
        <w:jc w:val="both"/>
        <w:rPr>
          <w:sz w:val="22"/>
        </w:rPr>
      </w:pPr>
      <w:r w:rsidRPr="0077746A">
        <w:rPr>
          <w:sz w:val="22"/>
        </w:rPr>
        <w:t>(ii)</w:t>
      </w:r>
      <w:r w:rsidR="00F4687F">
        <w:rPr>
          <w:sz w:val="22"/>
        </w:rPr>
        <w:tab/>
      </w:r>
      <w:r>
        <w:rPr>
          <w:sz w:val="22"/>
        </w:rPr>
        <w:t>The contents of the package fail to explode, or explode so feebly as would exclude propagation of the explosive effect from one package to another in test 6(b).</w:t>
      </w:r>
    </w:p>
    <w:p w14:paraId="65889151" w14:textId="6D5BE863" w:rsidR="00FD4219" w:rsidRDefault="00FD4219" w:rsidP="00F4687F">
      <w:pPr>
        <w:tabs>
          <w:tab w:val="left" w:pos="1418"/>
        </w:tabs>
        <w:spacing w:beforeLines="100" w:before="240" w:afterLines="100" w:after="240"/>
        <w:jc w:val="both"/>
        <w:rPr>
          <w:sz w:val="22"/>
        </w:rPr>
      </w:pPr>
      <w:r>
        <w:rPr>
          <w:sz w:val="22"/>
        </w:rPr>
        <w:t>51.3.3</w:t>
      </w:r>
      <w:r w:rsidR="00F4687F">
        <w:rPr>
          <w:sz w:val="22"/>
        </w:rPr>
        <w:tab/>
      </w:r>
      <w:r w:rsidRPr="0077746A">
        <w:rPr>
          <w:sz w:val="22"/>
        </w:rPr>
        <w:t>If a substance or mixture gives a negative result (no propagation of detonation) in test 1 (a),</w:t>
      </w:r>
      <w:r>
        <w:rPr>
          <w:sz w:val="22"/>
        </w:rPr>
        <w:t xml:space="preserve"> </w:t>
      </w:r>
      <w:r w:rsidRPr="0077746A">
        <w:rPr>
          <w:sz w:val="22"/>
        </w:rPr>
        <w:t>test 6 (a) with a detonator may be waived</w:t>
      </w:r>
      <w:r>
        <w:rPr>
          <w:rStyle w:val="FootnoteReference"/>
        </w:rPr>
        <w:footnoteReference w:id="3"/>
      </w:r>
      <w:r w:rsidRPr="0077746A">
        <w:rPr>
          <w:sz w:val="22"/>
        </w:rPr>
        <w:t>. If a substance or mixture gives a negative result (no or slow deflagration) in test 2 (c), test 6 (a) with an igniter may be waived.</w:t>
      </w:r>
    </w:p>
    <w:p w14:paraId="433BAFA9" w14:textId="231C1403" w:rsidR="00FD4219" w:rsidRDefault="00FD4219" w:rsidP="00F4687F">
      <w:pPr>
        <w:tabs>
          <w:tab w:val="left" w:pos="1418"/>
        </w:tabs>
        <w:spacing w:beforeLines="100" w:before="240" w:afterLines="100" w:after="240"/>
        <w:jc w:val="both"/>
        <w:rPr>
          <w:sz w:val="22"/>
        </w:rPr>
      </w:pPr>
      <w:r>
        <w:rPr>
          <w:sz w:val="22"/>
        </w:rPr>
        <w:t>51.3.4</w:t>
      </w:r>
      <w:bookmarkStart w:id="3" w:name="OLE_LINK1"/>
      <w:bookmarkStart w:id="4" w:name="OLE_LINK2"/>
      <w:r w:rsidR="00F4687F">
        <w:rPr>
          <w:sz w:val="22"/>
        </w:rPr>
        <w:tab/>
      </w:r>
      <w:r w:rsidRPr="00B85634">
        <w:rPr>
          <w:sz w:val="22"/>
        </w:rPr>
        <w:t>The test for determination of the burning rate by large-scale test need not be performed if, in</w:t>
      </w:r>
      <w:r>
        <w:rPr>
          <w:sz w:val="22"/>
        </w:rPr>
        <w:t xml:space="preserve"> </w:t>
      </w:r>
      <w:r w:rsidRPr="00B85634">
        <w:rPr>
          <w:sz w:val="22"/>
        </w:rPr>
        <w:t xml:space="preserve">test 6 (b), there is practically instantaneous explosion of virtually the total contents of the stack. In such cases the product is assigned to the class of explosives (see chapter 2.1 of the </w:t>
      </w:r>
      <w:r w:rsidRPr="00B85634">
        <w:rPr>
          <w:i/>
          <w:iCs/>
          <w:sz w:val="22"/>
        </w:rPr>
        <w:t>GHS</w:t>
      </w:r>
      <w:r w:rsidRPr="00B85634">
        <w:rPr>
          <w:sz w:val="22"/>
        </w:rPr>
        <w:t>).</w:t>
      </w:r>
    </w:p>
    <w:bookmarkEnd w:id="3"/>
    <w:bookmarkEnd w:id="4"/>
    <w:p w14:paraId="63CEBB10" w14:textId="1E5BDFDD" w:rsidR="00FD4219" w:rsidRDefault="00FD4219" w:rsidP="00F4687F">
      <w:pPr>
        <w:tabs>
          <w:tab w:val="left" w:pos="1418"/>
        </w:tabs>
        <w:spacing w:beforeLines="100" w:before="240" w:afterLines="100" w:after="240"/>
        <w:jc w:val="both"/>
        <w:rPr>
          <w:b/>
          <w:bCs/>
          <w:sz w:val="22"/>
        </w:rPr>
      </w:pPr>
      <w:r>
        <w:rPr>
          <w:b/>
          <w:bCs/>
          <w:sz w:val="22"/>
        </w:rPr>
        <w:t>51.4</w:t>
      </w:r>
      <w:r w:rsidR="00F4687F">
        <w:rPr>
          <w:b/>
          <w:bCs/>
          <w:sz w:val="22"/>
        </w:rPr>
        <w:tab/>
      </w:r>
      <w:r>
        <w:rPr>
          <w:b/>
          <w:bCs/>
          <w:sz w:val="22"/>
        </w:rPr>
        <w:t>Burning rate test (external fire)</w:t>
      </w:r>
    </w:p>
    <w:p w14:paraId="0CEB3865" w14:textId="336A8DBE" w:rsidR="00FD4219" w:rsidRDefault="00FD4219" w:rsidP="00F4687F">
      <w:pPr>
        <w:tabs>
          <w:tab w:val="left" w:pos="1418"/>
        </w:tabs>
        <w:spacing w:beforeLines="100" w:before="240" w:afterLines="100" w:after="240"/>
        <w:jc w:val="both"/>
        <w:rPr>
          <w:b/>
          <w:bCs/>
          <w:i/>
          <w:iCs/>
          <w:sz w:val="22"/>
        </w:rPr>
      </w:pPr>
      <w:r>
        <w:rPr>
          <w:b/>
          <w:bCs/>
          <w:sz w:val="22"/>
        </w:rPr>
        <w:t>51.4.1</w:t>
      </w:r>
      <w:r w:rsidR="00F4687F">
        <w:rPr>
          <w:b/>
          <w:bCs/>
          <w:sz w:val="22"/>
        </w:rPr>
        <w:tab/>
      </w:r>
      <w:r>
        <w:rPr>
          <w:b/>
          <w:bCs/>
          <w:i/>
          <w:iCs/>
          <w:sz w:val="22"/>
        </w:rPr>
        <w:t>Introduction</w:t>
      </w:r>
    </w:p>
    <w:p w14:paraId="36DF3D87" w14:textId="57B4A210" w:rsidR="00FD4219" w:rsidRDefault="00FD4219" w:rsidP="00F4687F">
      <w:pPr>
        <w:tabs>
          <w:tab w:val="left" w:pos="1418"/>
        </w:tabs>
        <w:spacing w:beforeLines="100" w:before="240" w:afterLines="100" w:after="240"/>
        <w:jc w:val="both"/>
        <w:rPr>
          <w:sz w:val="22"/>
        </w:rPr>
      </w:pPr>
      <w:r>
        <w:rPr>
          <w:sz w:val="22"/>
        </w:rPr>
        <w:t>51.4.1.1</w:t>
      </w:r>
      <w:r w:rsidR="00F4687F">
        <w:rPr>
          <w:sz w:val="22"/>
        </w:rPr>
        <w:tab/>
      </w:r>
      <w:r>
        <w:rPr>
          <w:sz w:val="22"/>
        </w:rPr>
        <w:t>The test method for determination of the burning rate (10 000 kg scale burning rate) is to be used to determine the behaviour of substances or mixtures as packaged for storage and use if involved in an external fire. This test is performed with several packages of the substances or mixtures to determine:</w:t>
      </w:r>
    </w:p>
    <w:p w14:paraId="2D483EC8" w14:textId="3BFAC366" w:rsidR="00FD4219" w:rsidRDefault="00FD4219" w:rsidP="00F4687F">
      <w:pPr>
        <w:spacing w:beforeLines="100" w:before="240" w:afterLines="100" w:after="240"/>
        <w:ind w:leftChars="708" w:left="1984" w:hangingChars="258" w:hanging="568"/>
        <w:jc w:val="both"/>
        <w:rPr>
          <w:sz w:val="22"/>
        </w:rPr>
      </w:pPr>
      <w:r>
        <w:rPr>
          <w:sz w:val="22"/>
        </w:rPr>
        <w:t>(a)</w:t>
      </w:r>
      <w:r w:rsidR="00F4687F">
        <w:rPr>
          <w:sz w:val="22"/>
        </w:rPr>
        <w:tab/>
      </w:r>
      <w:r>
        <w:rPr>
          <w:sz w:val="22"/>
        </w:rPr>
        <w:t>Whether there is a mass explosion hazard, a hazard from dangerous projection or a too violent burning,</w:t>
      </w:r>
    </w:p>
    <w:p w14:paraId="479D5739" w14:textId="367273FC" w:rsidR="00FD4219" w:rsidRDefault="00FD4219" w:rsidP="00F4687F">
      <w:pPr>
        <w:spacing w:beforeLines="100" w:before="240" w:afterLines="100" w:after="240"/>
        <w:ind w:leftChars="708" w:left="1984" w:hangingChars="258" w:hanging="568"/>
        <w:jc w:val="both"/>
        <w:rPr>
          <w:sz w:val="22"/>
        </w:rPr>
      </w:pPr>
      <w:r>
        <w:rPr>
          <w:sz w:val="22"/>
        </w:rPr>
        <w:t>(b)</w:t>
      </w:r>
      <w:r w:rsidR="00F4687F">
        <w:rPr>
          <w:sz w:val="22"/>
        </w:rPr>
        <w:tab/>
      </w:r>
      <w:r>
        <w:rPr>
          <w:sz w:val="22"/>
        </w:rPr>
        <w:t>A burning rate (10 000 kg scaled), which depends on the total mass.</w:t>
      </w:r>
    </w:p>
    <w:p w14:paraId="7A27F401" w14:textId="28920851" w:rsidR="00FD4219" w:rsidRDefault="00FD4219" w:rsidP="00F4687F">
      <w:pPr>
        <w:tabs>
          <w:tab w:val="left" w:pos="1418"/>
        </w:tabs>
        <w:spacing w:beforeLines="100" w:before="240" w:afterLines="100" w:after="240"/>
        <w:jc w:val="both"/>
        <w:rPr>
          <w:sz w:val="22"/>
        </w:rPr>
      </w:pPr>
      <w:r>
        <w:rPr>
          <w:sz w:val="22"/>
        </w:rPr>
        <w:t>51.4.1.2</w:t>
      </w:r>
      <w:r w:rsidR="00F4687F">
        <w:rPr>
          <w:sz w:val="22"/>
        </w:rPr>
        <w:tab/>
      </w:r>
      <w:r>
        <w:rPr>
          <w:sz w:val="22"/>
        </w:rPr>
        <w:t>The burning rate is defined as the extrapolated burning rate for a mass of 10 000 kg packaged material. In practice, this burning rate is determined using both a single package and stacks of packages, following by an extrapolation procedure. The tests are performed with the substances or mixtures in the packages as provided for storage and use. All types of packages are subjected to the tests unless:</w:t>
      </w:r>
    </w:p>
    <w:p w14:paraId="69C8C372" w14:textId="604C85B1" w:rsidR="00FD4219" w:rsidRDefault="00FD4219" w:rsidP="00F4687F">
      <w:pPr>
        <w:spacing w:beforeLines="100" w:before="240" w:afterLines="100" w:after="240"/>
        <w:ind w:leftChars="708" w:left="1984" w:hangingChars="258" w:hanging="568"/>
        <w:jc w:val="both"/>
        <w:rPr>
          <w:sz w:val="22"/>
        </w:rPr>
      </w:pPr>
      <w:r>
        <w:rPr>
          <w:sz w:val="22"/>
        </w:rPr>
        <w:t>(a)</w:t>
      </w:r>
      <w:r w:rsidR="00F4687F">
        <w:rPr>
          <w:sz w:val="22"/>
        </w:rPr>
        <w:tab/>
      </w:r>
      <w:r>
        <w:rPr>
          <w:sz w:val="22"/>
        </w:rPr>
        <w:t>A substance or mixture, as packed for supply and use, may be unambiguously assigned to a burning rate and category by a competent authority on the basis of results from other tests or of available information; or</w:t>
      </w:r>
    </w:p>
    <w:p w14:paraId="55FEDAA2" w14:textId="5A080706" w:rsidR="00FD4219" w:rsidRDefault="00FD4219" w:rsidP="00F4687F">
      <w:pPr>
        <w:spacing w:beforeLines="100" w:before="240" w:afterLines="100" w:after="240"/>
        <w:ind w:leftChars="708" w:left="1984" w:hangingChars="258" w:hanging="568"/>
        <w:jc w:val="both"/>
        <w:rPr>
          <w:sz w:val="22"/>
        </w:rPr>
      </w:pPr>
      <w:r>
        <w:rPr>
          <w:sz w:val="22"/>
        </w:rPr>
        <w:t>(b)</w:t>
      </w:r>
      <w:r w:rsidR="00F4687F">
        <w:rPr>
          <w:sz w:val="22"/>
        </w:rPr>
        <w:tab/>
      </w:r>
      <w:r>
        <w:rPr>
          <w:sz w:val="22"/>
        </w:rPr>
        <w:t>The substance or mixture, as packed for supply and use, is assigned to the hazard class "Explosives"</w:t>
      </w:r>
      <w:r w:rsidRPr="001A3419">
        <w:rPr>
          <w:strike/>
          <w:sz w:val="22"/>
        </w:rPr>
        <w:t>, Division 1.1</w:t>
      </w:r>
      <w:r>
        <w:rPr>
          <w:sz w:val="22"/>
        </w:rPr>
        <w:t>.</w:t>
      </w:r>
    </w:p>
    <w:p w14:paraId="2D165A1C" w14:textId="2983E9F9" w:rsidR="00FD4219" w:rsidRDefault="00FD4219" w:rsidP="00654359">
      <w:pPr>
        <w:tabs>
          <w:tab w:val="left" w:pos="1418"/>
        </w:tabs>
        <w:spacing w:beforeLines="100" w:before="240" w:afterLines="100" w:after="240"/>
        <w:jc w:val="both"/>
        <w:rPr>
          <w:sz w:val="22"/>
        </w:rPr>
      </w:pPr>
      <w:r>
        <w:rPr>
          <w:sz w:val="22"/>
        </w:rPr>
        <w:t>51.4.1.3</w:t>
      </w:r>
      <w:r w:rsidR="00654359">
        <w:rPr>
          <w:sz w:val="22"/>
        </w:rPr>
        <w:tab/>
      </w:r>
      <w:r>
        <w:rPr>
          <w:sz w:val="22"/>
        </w:rPr>
        <w:t>The corrected burning rate (10 000 kg scaled) is to be used for classification into four different categories.</w:t>
      </w:r>
    </w:p>
    <w:p w14:paraId="4D8BB52B" w14:textId="7CE78A9B" w:rsidR="00FD4219" w:rsidRDefault="00FD4219" w:rsidP="0077475D">
      <w:pPr>
        <w:keepNext/>
        <w:keepLines/>
        <w:tabs>
          <w:tab w:val="left" w:pos="1418"/>
        </w:tabs>
        <w:spacing w:beforeLines="100" w:before="240" w:afterLines="100" w:after="240"/>
        <w:jc w:val="both"/>
        <w:rPr>
          <w:b/>
          <w:bCs/>
          <w:i/>
          <w:iCs/>
          <w:sz w:val="22"/>
        </w:rPr>
      </w:pPr>
      <w:r>
        <w:rPr>
          <w:b/>
          <w:bCs/>
          <w:sz w:val="22"/>
        </w:rPr>
        <w:lastRenderedPageBreak/>
        <w:t>51.4.2</w:t>
      </w:r>
      <w:r w:rsidR="00654359">
        <w:rPr>
          <w:b/>
          <w:bCs/>
          <w:sz w:val="22"/>
        </w:rPr>
        <w:tab/>
      </w:r>
      <w:r>
        <w:rPr>
          <w:b/>
          <w:bCs/>
          <w:i/>
          <w:iCs/>
          <w:sz w:val="22"/>
        </w:rPr>
        <w:t>Apparatus and materials</w:t>
      </w:r>
    </w:p>
    <w:p w14:paraId="03B21A07" w14:textId="5BF06245" w:rsidR="00FD4219" w:rsidRDefault="00FD4219" w:rsidP="00654359">
      <w:pPr>
        <w:tabs>
          <w:tab w:val="left" w:pos="1418"/>
        </w:tabs>
        <w:spacing w:beforeLines="100" w:before="240" w:afterLines="100" w:after="240"/>
        <w:jc w:val="both"/>
        <w:rPr>
          <w:sz w:val="22"/>
        </w:rPr>
      </w:pPr>
      <w:r>
        <w:rPr>
          <w:sz w:val="22"/>
        </w:rPr>
        <w:t>51.4.2.1</w:t>
      </w:r>
      <w:r w:rsidR="00654359">
        <w:rPr>
          <w:sz w:val="22"/>
        </w:rPr>
        <w:tab/>
      </w:r>
      <w:r>
        <w:rPr>
          <w:sz w:val="22"/>
        </w:rPr>
        <w:t>The test should be applied to packages of substances or mixtures in the condition and form in which they are offered for supply and use (including storage). The following elements are needed:</w:t>
      </w:r>
    </w:p>
    <w:p w14:paraId="629D2521" w14:textId="78BA75A6" w:rsidR="00FD4219" w:rsidRDefault="00FD4219" w:rsidP="00654359">
      <w:pPr>
        <w:spacing w:beforeLines="100" w:before="240" w:afterLines="100" w:after="240"/>
        <w:ind w:left="1985" w:hanging="567"/>
        <w:jc w:val="both"/>
        <w:rPr>
          <w:sz w:val="22"/>
        </w:rPr>
      </w:pPr>
      <w:r>
        <w:rPr>
          <w:sz w:val="22"/>
        </w:rPr>
        <w:t>(a)</w:t>
      </w:r>
      <w:r w:rsidR="00654359">
        <w:rPr>
          <w:sz w:val="22"/>
        </w:rPr>
        <w:tab/>
      </w:r>
      <w:r>
        <w:rPr>
          <w:sz w:val="22"/>
        </w:rPr>
        <w:t>A number of 1, 6 and 10 packages, with a net mass of desensitized explosive of 25</w:t>
      </w:r>
      <w:r w:rsidR="00CD3CFB">
        <w:rPr>
          <w:sz w:val="22"/>
        </w:rPr>
        <w:t> </w:t>
      </w:r>
      <w:r>
        <w:rPr>
          <w:sz w:val="22"/>
        </w:rPr>
        <w:t>kg in each package;</w:t>
      </w:r>
    </w:p>
    <w:p w14:paraId="41A651BC" w14:textId="5D59A8A3" w:rsidR="00FD4219" w:rsidRDefault="00FD4219" w:rsidP="00654359">
      <w:pPr>
        <w:spacing w:beforeLines="100" w:before="240" w:afterLines="100" w:after="240"/>
        <w:ind w:left="1985" w:hanging="567"/>
        <w:jc w:val="both"/>
        <w:rPr>
          <w:sz w:val="22"/>
        </w:rPr>
      </w:pPr>
      <w:r>
        <w:rPr>
          <w:sz w:val="22"/>
        </w:rPr>
        <w:t>(b)</w:t>
      </w:r>
      <w:r w:rsidR="00654359">
        <w:rPr>
          <w:sz w:val="22"/>
        </w:rPr>
        <w:tab/>
      </w:r>
      <w:r>
        <w:rPr>
          <w:sz w:val="22"/>
        </w:rPr>
        <w:t>A number of 1, 3 and 6 packages, with a net mass of desensitized explosive between 25</w:t>
      </w:r>
      <w:r w:rsidR="009A38A7">
        <w:rPr>
          <w:sz w:val="22"/>
        </w:rPr>
        <w:t> </w:t>
      </w:r>
      <w:r>
        <w:rPr>
          <w:sz w:val="22"/>
        </w:rPr>
        <w:t>kg and 50 kg in each package;</w:t>
      </w:r>
    </w:p>
    <w:p w14:paraId="249A5E9C" w14:textId="3F10CB56" w:rsidR="00FD4219" w:rsidRDefault="00FD4219" w:rsidP="00654359">
      <w:pPr>
        <w:spacing w:beforeLines="100" w:before="240" w:afterLines="100" w:after="240"/>
        <w:ind w:left="1985" w:hanging="567"/>
        <w:jc w:val="both"/>
        <w:rPr>
          <w:sz w:val="22"/>
        </w:rPr>
      </w:pPr>
      <w:r>
        <w:rPr>
          <w:sz w:val="22"/>
        </w:rPr>
        <w:t>(c)</w:t>
      </w:r>
      <w:r w:rsidR="00654359">
        <w:rPr>
          <w:sz w:val="22"/>
        </w:rPr>
        <w:tab/>
      </w:r>
      <w:r>
        <w:rPr>
          <w:sz w:val="22"/>
        </w:rPr>
        <w:t>A number of 1 and up to six packages, with a net mass of desensitized explosive of more than 50 kg, the total net mass should not be greater than 500 kg;</w:t>
      </w:r>
    </w:p>
    <w:p w14:paraId="512C3AD2" w14:textId="0CD40CB8" w:rsidR="00FD4219" w:rsidRDefault="00FD4219" w:rsidP="00654359">
      <w:pPr>
        <w:spacing w:beforeLines="100" w:before="240" w:afterLines="100" w:after="240"/>
        <w:ind w:left="1985" w:hanging="567"/>
        <w:jc w:val="both"/>
        <w:rPr>
          <w:sz w:val="22"/>
        </w:rPr>
      </w:pPr>
      <w:r>
        <w:rPr>
          <w:sz w:val="22"/>
        </w:rPr>
        <w:t>(d)</w:t>
      </w:r>
      <w:r w:rsidR="00654359">
        <w:rPr>
          <w:sz w:val="22"/>
        </w:rPr>
        <w:tab/>
      </w:r>
      <w:r>
        <w:rPr>
          <w:sz w:val="22"/>
        </w:rPr>
        <w:t>One or two trays with an adequate size and height to contain the wooden pallets and the packages and to protect the ground;</w:t>
      </w:r>
    </w:p>
    <w:p w14:paraId="28D97450" w14:textId="1903BECD" w:rsidR="00FD4219" w:rsidRDefault="00FD4219" w:rsidP="00654359">
      <w:pPr>
        <w:spacing w:beforeLines="100" w:before="240" w:afterLines="100" w:after="240"/>
        <w:ind w:left="1985" w:hanging="567"/>
        <w:jc w:val="both"/>
        <w:rPr>
          <w:sz w:val="22"/>
        </w:rPr>
      </w:pPr>
      <w:r>
        <w:rPr>
          <w:sz w:val="22"/>
        </w:rPr>
        <w:t>(e)</w:t>
      </w:r>
      <w:r w:rsidR="00654359">
        <w:rPr>
          <w:sz w:val="22"/>
        </w:rPr>
        <w:tab/>
      </w:r>
      <w:r>
        <w:rPr>
          <w:sz w:val="22"/>
        </w:rPr>
        <w:t>Wooden pallets (e.g. according to DIN 15146), with wood-wool distributed between, under and above the packages;</w:t>
      </w:r>
    </w:p>
    <w:p w14:paraId="394FFBBA" w14:textId="77DE1EC5" w:rsidR="00FD4219" w:rsidRDefault="00FD4219" w:rsidP="00654359">
      <w:pPr>
        <w:spacing w:beforeLines="100" w:before="240" w:afterLines="100" w:after="240"/>
        <w:ind w:left="1985" w:hanging="567"/>
        <w:jc w:val="both"/>
        <w:rPr>
          <w:sz w:val="22"/>
        </w:rPr>
      </w:pPr>
      <w:r>
        <w:rPr>
          <w:sz w:val="22"/>
        </w:rPr>
        <w:t>(f)</w:t>
      </w:r>
      <w:r w:rsidR="00654359">
        <w:rPr>
          <w:sz w:val="22"/>
        </w:rPr>
        <w:tab/>
      </w:r>
      <w:r>
        <w:rPr>
          <w:sz w:val="22"/>
        </w:rPr>
        <w:t>A suitable ignition source guaranteeing the ignition of the wooden pallets/wood-wool and consequently the tested packages (a mixture of gasoline and light fuel oil 10/90 evenly distributed over the packages and the wood-wool is recommended);</w:t>
      </w:r>
    </w:p>
    <w:p w14:paraId="4C78E02B" w14:textId="0B063D8F" w:rsidR="00FD4219" w:rsidRDefault="00FD4219" w:rsidP="00654359">
      <w:pPr>
        <w:spacing w:beforeLines="100" w:before="240" w:afterLines="100" w:after="240"/>
        <w:ind w:left="1985" w:hanging="567"/>
        <w:jc w:val="both"/>
        <w:rPr>
          <w:sz w:val="22"/>
        </w:rPr>
      </w:pPr>
      <w:r>
        <w:rPr>
          <w:sz w:val="22"/>
        </w:rPr>
        <w:t>(g)</w:t>
      </w:r>
      <w:r w:rsidR="00654359">
        <w:rPr>
          <w:sz w:val="22"/>
        </w:rPr>
        <w:tab/>
      </w:r>
      <w:r>
        <w:rPr>
          <w:sz w:val="22"/>
        </w:rPr>
        <w:t xml:space="preserve">Cine and/or video cameras and suitable equipment to measure the heat of radiation, e.g. infrared sensors and/or </w:t>
      </w:r>
      <w:proofErr w:type="spellStart"/>
      <w:r>
        <w:rPr>
          <w:sz w:val="22"/>
        </w:rPr>
        <w:t>thermo</w:t>
      </w:r>
      <w:proofErr w:type="spellEnd"/>
      <w:r>
        <w:rPr>
          <w:sz w:val="22"/>
        </w:rPr>
        <w:t xml:space="preserve"> cameras.</w:t>
      </w:r>
    </w:p>
    <w:p w14:paraId="543CA40B" w14:textId="37C4D166" w:rsidR="00FD4219" w:rsidRDefault="00FD4219" w:rsidP="00654359">
      <w:pPr>
        <w:tabs>
          <w:tab w:val="left" w:pos="1418"/>
        </w:tabs>
        <w:spacing w:beforeLines="100" w:before="240" w:afterLines="100" w:after="240"/>
        <w:jc w:val="both"/>
        <w:rPr>
          <w:sz w:val="22"/>
        </w:rPr>
      </w:pPr>
      <w:r>
        <w:rPr>
          <w:sz w:val="22"/>
        </w:rPr>
        <w:t>51.4.2.2</w:t>
      </w:r>
      <w:r w:rsidR="00654359">
        <w:rPr>
          <w:sz w:val="22"/>
        </w:rPr>
        <w:tab/>
      </w:r>
      <w:r>
        <w:rPr>
          <w:sz w:val="22"/>
        </w:rPr>
        <w:t>The number of tests and/or the total mass (whereas necessary) should be increased if the test results are ambiguous and the corresponding hazards cannot be clearly defined.</w:t>
      </w:r>
    </w:p>
    <w:p w14:paraId="356E0C58" w14:textId="606B82A3" w:rsidR="00FD4219" w:rsidRDefault="00FD4219" w:rsidP="00654359">
      <w:pPr>
        <w:tabs>
          <w:tab w:val="left" w:pos="1418"/>
        </w:tabs>
        <w:spacing w:beforeLines="100" w:before="240" w:afterLines="100" w:after="240"/>
        <w:jc w:val="both"/>
        <w:rPr>
          <w:b/>
          <w:bCs/>
          <w:i/>
          <w:iCs/>
          <w:sz w:val="22"/>
        </w:rPr>
      </w:pPr>
      <w:r>
        <w:rPr>
          <w:b/>
          <w:bCs/>
          <w:sz w:val="22"/>
        </w:rPr>
        <w:t>51.4.3</w:t>
      </w:r>
      <w:r w:rsidR="00654359">
        <w:rPr>
          <w:b/>
          <w:bCs/>
          <w:sz w:val="22"/>
        </w:rPr>
        <w:tab/>
      </w:r>
      <w:r>
        <w:rPr>
          <w:b/>
          <w:bCs/>
          <w:i/>
          <w:iCs/>
          <w:sz w:val="22"/>
        </w:rPr>
        <w:t>Procedure</w:t>
      </w:r>
    </w:p>
    <w:p w14:paraId="59DC5758" w14:textId="667B56F8" w:rsidR="00FD4219" w:rsidRDefault="00FD4219" w:rsidP="00654359">
      <w:pPr>
        <w:tabs>
          <w:tab w:val="left" w:pos="1418"/>
        </w:tabs>
        <w:spacing w:beforeLines="100" w:before="240" w:afterLines="100" w:after="240"/>
        <w:jc w:val="both"/>
        <w:rPr>
          <w:sz w:val="22"/>
        </w:rPr>
      </w:pPr>
      <w:r>
        <w:rPr>
          <w:sz w:val="22"/>
        </w:rPr>
        <w:t>51.4.3.1</w:t>
      </w:r>
      <w:r w:rsidR="00654359">
        <w:rPr>
          <w:sz w:val="22"/>
        </w:rPr>
        <w:tab/>
      </w:r>
      <w:r>
        <w:rPr>
          <w:sz w:val="22"/>
        </w:rPr>
        <w:t xml:space="preserve">The tests start with a single package and then the number of packages are successively increased as mentioned under 51.4.2.1 (a), (b) or (c). Normally the burning rate test should be performed once for each number of packages. The required numbers of packages, in the condition and way in which they are offered for supply and use (including storage), are arranged in such way, that the most severe results are anticipated, on wooden and </w:t>
      </w:r>
      <w:proofErr w:type="spellStart"/>
      <w:r>
        <w:rPr>
          <w:sz w:val="22"/>
        </w:rPr>
        <w:t>leveled</w:t>
      </w:r>
      <w:proofErr w:type="spellEnd"/>
      <w:r>
        <w:rPr>
          <w:sz w:val="22"/>
        </w:rPr>
        <w:t xml:space="preserve"> pallets. The pallets are placed in one (or two, if necessary) trays. A tray must comprise at least one complete pallet including </w:t>
      </w:r>
      <w:smartTag w:uri="urn:schemas-microsoft-com:office:smarttags" w:element="metricconverter">
        <w:smartTagPr>
          <w:attr w:name="ProductID" w:val="10 cm"/>
        </w:smartTagPr>
        <w:r>
          <w:rPr>
            <w:sz w:val="22"/>
          </w:rPr>
          <w:t>10 cm</w:t>
        </w:r>
      </w:smartTag>
      <w:r>
        <w:rPr>
          <w:sz w:val="22"/>
        </w:rPr>
        <w:t xml:space="preserve"> open space all around the pallet. Flammable material (wood-wool, paper, etc.) is placed under and around the packages in such a way that an optimum ignition is guaranteed (see 51.4.2.1 (f)).</w:t>
      </w:r>
    </w:p>
    <w:p w14:paraId="750FC0D4" w14:textId="703EEEEC" w:rsidR="00FD4219" w:rsidRDefault="00FD4219" w:rsidP="00654359">
      <w:pPr>
        <w:tabs>
          <w:tab w:val="left" w:pos="1418"/>
        </w:tabs>
        <w:spacing w:beforeLines="100" w:before="240" w:afterLines="100" w:after="240"/>
        <w:jc w:val="both"/>
        <w:rPr>
          <w:i/>
          <w:iCs/>
          <w:sz w:val="22"/>
        </w:rPr>
      </w:pPr>
      <w:r>
        <w:rPr>
          <w:b/>
          <w:bCs/>
          <w:i/>
          <w:iCs/>
          <w:sz w:val="22"/>
        </w:rPr>
        <w:t>NOTE</w:t>
      </w:r>
      <w:r>
        <w:rPr>
          <w:i/>
          <w:iCs/>
          <w:sz w:val="22"/>
        </w:rPr>
        <w:t>:</w:t>
      </w:r>
      <w:r w:rsidR="00654359">
        <w:rPr>
          <w:i/>
          <w:iCs/>
          <w:sz w:val="22"/>
        </w:rPr>
        <w:tab/>
      </w:r>
      <w:r>
        <w:rPr>
          <w:i/>
          <w:iCs/>
          <w:sz w:val="22"/>
        </w:rPr>
        <w:t xml:space="preserve">A quantity of about 10 kg dry wood-wool is usually sufficient. The wooden pallets and the dry wood-wool shall be soaked with a liquid mixture of fuel (about 10 </w:t>
      </w:r>
      <w:proofErr w:type="spellStart"/>
      <w:r>
        <w:rPr>
          <w:i/>
          <w:iCs/>
          <w:sz w:val="22"/>
        </w:rPr>
        <w:t>liter</w:t>
      </w:r>
      <w:proofErr w:type="spellEnd"/>
      <w:r>
        <w:rPr>
          <w:i/>
          <w:iCs/>
          <w:sz w:val="22"/>
        </w:rPr>
        <w:t>, see 51.4.2.1 (f)).</w:t>
      </w:r>
    </w:p>
    <w:p w14:paraId="78657A80" w14:textId="0C91C036" w:rsidR="00FD4219" w:rsidRDefault="00FD4219" w:rsidP="00654359">
      <w:pPr>
        <w:tabs>
          <w:tab w:val="left" w:pos="1418"/>
        </w:tabs>
        <w:spacing w:beforeLines="100" w:before="240" w:afterLines="100" w:after="240"/>
        <w:jc w:val="both"/>
        <w:rPr>
          <w:sz w:val="22"/>
        </w:rPr>
      </w:pPr>
      <w:r>
        <w:rPr>
          <w:sz w:val="22"/>
        </w:rPr>
        <w:t>51.4.3.2</w:t>
      </w:r>
      <w:r w:rsidR="00654359">
        <w:rPr>
          <w:sz w:val="22"/>
        </w:rPr>
        <w:tab/>
      </w:r>
      <w:r>
        <w:rPr>
          <w:sz w:val="22"/>
        </w:rPr>
        <w:t xml:space="preserve">The heat of radiation is measured during the test by suitable equipment, at least at three locations with three different distances from the seat of fire (the distances depend on the sensitivity of the equipment (sensors, </w:t>
      </w:r>
      <w:proofErr w:type="spellStart"/>
      <w:r>
        <w:rPr>
          <w:sz w:val="22"/>
        </w:rPr>
        <w:t>thermo</w:t>
      </w:r>
      <w:proofErr w:type="spellEnd"/>
      <w:r>
        <w:rPr>
          <w:sz w:val="22"/>
        </w:rPr>
        <w:t xml:space="preserve"> camera, etc.) and should be calculated before the test.</w:t>
      </w:r>
    </w:p>
    <w:p w14:paraId="68197982" w14:textId="01F6EC35" w:rsidR="00FD4219" w:rsidRDefault="00FD4219" w:rsidP="00654359">
      <w:pPr>
        <w:tabs>
          <w:tab w:val="left" w:pos="1418"/>
        </w:tabs>
        <w:spacing w:beforeLines="100" w:before="240" w:afterLines="100" w:after="240"/>
        <w:jc w:val="both"/>
        <w:rPr>
          <w:sz w:val="22"/>
        </w:rPr>
      </w:pPr>
      <w:r>
        <w:rPr>
          <w:sz w:val="22"/>
        </w:rPr>
        <w:t>51.4.3.3</w:t>
      </w:r>
      <w:r w:rsidR="00654359">
        <w:rPr>
          <w:sz w:val="22"/>
        </w:rPr>
        <w:tab/>
      </w:r>
      <w:r>
        <w:rPr>
          <w:sz w:val="22"/>
        </w:rPr>
        <w:t>The signals are continuously recorded. The starting-point of the fire outbreak is defined as the moment when a reaction of the substance is detected. The end of the fire is determined from registered radiation curves.</w:t>
      </w:r>
    </w:p>
    <w:p w14:paraId="3457578E" w14:textId="67D89939" w:rsidR="00FD4219" w:rsidRDefault="00FD4219" w:rsidP="00654359">
      <w:pPr>
        <w:tabs>
          <w:tab w:val="left" w:pos="1418"/>
        </w:tabs>
        <w:spacing w:beforeLines="100" w:before="240" w:afterLines="100" w:after="240"/>
        <w:jc w:val="both"/>
        <w:rPr>
          <w:sz w:val="22"/>
        </w:rPr>
      </w:pPr>
      <w:r>
        <w:rPr>
          <w:sz w:val="22"/>
        </w:rPr>
        <w:t>51.4.3.4</w:t>
      </w:r>
      <w:r w:rsidR="00654359">
        <w:rPr>
          <w:sz w:val="22"/>
        </w:rPr>
        <w:tab/>
      </w:r>
      <w:r>
        <w:rPr>
          <w:sz w:val="22"/>
        </w:rPr>
        <w:t>If a mass explosion or individual explosions or metallic projections (fragments) are observed this should be noted in the test report.</w:t>
      </w:r>
    </w:p>
    <w:p w14:paraId="15C6A892" w14:textId="4B40942F" w:rsidR="00FD4219" w:rsidRDefault="00FD4219" w:rsidP="00F562E7">
      <w:pPr>
        <w:keepNext/>
        <w:keepLines/>
        <w:tabs>
          <w:tab w:val="left" w:pos="1418"/>
        </w:tabs>
        <w:spacing w:beforeLines="100" w:before="240" w:afterLines="100" w:after="240"/>
        <w:jc w:val="both"/>
        <w:rPr>
          <w:b/>
          <w:bCs/>
          <w:i/>
          <w:iCs/>
          <w:sz w:val="22"/>
        </w:rPr>
      </w:pPr>
      <w:r>
        <w:rPr>
          <w:b/>
          <w:bCs/>
          <w:sz w:val="22"/>
        </w:rPr>
        <w:lastRenderedPageBreak/>
        <w:t>51.4.4</w:t>
      </w:r>
      <w:r w:rsidR="00654359">
        <w:rPr>
          <w:b/>
          <w:bCs/>
          <w:sz w:val="22"/>
        </w:rPr>
        <w:tab/>
      </w:r>
      <w:r>
        <w:rPr>
          <w:b/>
          <w:bCs/>
          <w:i/>
          <w:iCs/>
          <w:sz w:val="22"/>
        </w:rPr>
        <w:t>Test criteria and method of assessing results</w:t>
      </w:r>
    </w:p>
    <w:p w14:paraId="013DB58C" w14:textId="5D1D3F4A" w:rsidR="00FD4219" w:rsidRDefault="00FD4219" w:rsidP="00F562E7">
      <w:pPr>
        <w:keepNext/>
        <w:keepLines/>
        <w:tabs>
          <w:tab w:val="left" w:pos="1418"/>
        </w:tabs>
        <w:spacing w:beforeLines="100" w:before="240" w:afterLines="100" w:after="240"/>
        <w:jc w:val="both"/>
        <w:rPr>
          <w:sz w:val="22"/>
        </w:rPr>
      </w:pPr>
      <w:r>
        <w:rPr>
          <w:sz w:val="22"/>
        </w:rPr>
        <w:t>51.4.4.1</w:t>
      </w:r>
      <w:r w:rsidR="00654359">
        <w:rPr>
          <w:sz w:val="22"/>
        </w:rPr>
        <w:tab/>
      </w:r>
      <w:r>
        <w:rPr>
          <w:sz w:val="22"/>
        </w:rPr>
        <w:t>The burning rates A and A</w:t>
      </w:r>
      <w:r>
        <w:rPr>
          <w:sz w:val="14"/>
          <w:szCs w:val="14"/>
        </w:rPr>
        <w:t xml:space="preserve">10t </w:t>
      </w:r>
      <w:r>
        <w:rPr>
          <w:sz w:val="22"/>
        </w:rPr>
        <w:t>are determined as follows:</w:t>
      </w:r>
    </w:p>
    <w:p w14:paraId="376A5A6E" w14:textId="202E0C60" w:rsidR="00FD4219" w:rsidRDefault="00FD4219" w:rsidP="00BE2933">
      <w:pPr>
        <w:spacing w:beforeLines="100" w:before="240" w:afterLines="100" w:after="240"/>
        <w:ind w:left="1985" w:hanging="567"/>
        <w:jc w:val="both"/>
        <w:rPr>
          <w:sz w:val="22"/>
        </w:rPr>
      </w:pPr>
      <w:r>
        <w:rPr>
          <w:sz w:val="22"/>
        </w:rPr>
        <w:t>(a)</w:t>
      </w:r>
      <w:r w:rsidR="00BE2933">
        <w:rPr>
          <w:sz w:val="22"/>
        </w:rPr>
        <w:tab/>
      </w:r>
      <w:r>
        <w:rPr>
          <w:sz w:val="22"/>
        </w:rPr>
        <w:t>The starting point of the fire is defined as the moment at which the substance or mixture reacts detectably. The end</w:t>
      </w:r>
      <w:r>
        <w:rPr>
          <w:rFonts w:hint="eastAsia"/>
          <w:sz w:val="22"/>
        </w:rPr>
        <w:t xml:space="preserve"> </w:t>
      </w:r>
      <w:r w:rsidRPr="001A3419">
        <w:rPr>
          <w:rFonts w:hint="eastAsia"/>
          <w:b/>
          <w:sz w:val="22"/>
          <w:u w:val="single"/>
        </w:rPr>
        <w:t xml:space="preserve">point </w:t>
      </w:r>
      <w:r>
        <w:rPr>
          <w:sz w:val="22"/>
        </w:rPr>
        <w:t xml:space="preserve">of the fire is characterized by a decrease in </w:t>
      </w:r>
      <w:r w:rsidRPr="001A3419">
        <w:rPr>
          <w:rFonts w:hint="eastAsia"/>
          <w:b/>
          <w:sz w:val="22"/>
          <w:u w:val="single"/>
        </w:rPr>
        <w:t xml:space="preserve">irradiance </w:t>
      </w:r>
      <w:r w:rsidRPr="001A3419">
        <w:rPr>
          <w:strike/>
          <w:sz w:val="22"/>
        </w:rPr>
        <w:t>radiation level</w:t>
      </w:r>
      <w:r w:rsidRPr="001A3419">
        <w:rPr>
          <w:i/>
          <w:strike/>
          <w:sz w:val="22"/>
        </w:rPr>
        <w:t xml:space="preserve"> </w:t>
      </w:r>
      <w:r w:rsidRPr="009E6AD0">
        <w:rPr>
          <w:i/>
          <w:iCs/>
          <w:sz w:val="22"/>
        </w:rPr>
        <w:t>I</w:t>
      </w:r>
      <w:r>
        <w:rPr>
          <w:sz w:val="22"/>
        </w:rPr>
        <w:t xml:space="preserve"> (as caused by the fire) to less than 5 % of the</w:t>
      </w:r>
      <w:r>
        <w:rPr>
          <w:rFonts w:hint="eastAsia"/>
          <w:sz w:val="22"/>
        </w:rPr>
        <w:t xml:space="preserve"> </w:t>
      </w:r>
      <w:r>
        <w:rPr>
          <w:sz w:val="22"/>
        </w:rPr>
        <w:t>maximum</w:t>
      </w:r>
      <w:r>
        <w:rPr>
          <w:rFonts w:hint="eastAsia"/>
          <w:sz w:val="22"/>
        </w:rPr>
        <w:t xml:space="preserve"> </w:t>
      </w:r>
      <w:r w:rsidRPr="001A3419">
        <w:rPr>
          <w:strike/>
          <w:sz w:val="22"/>
        </w:rPr>
        <w:t xml:space="preserve">level </w:t>
      </w:r>
      <w:r w:rsidRPr="001A3419">
        <w:rPr>
          <w:rFonts w:hint="eastAsia"/>
          <w:b/>
          <w:sz w:val="22"/>
          <w:u w:val="single"/>
        </w:rPr>
        <w:t>irradiance</w:t>
      </w:r>
      <w:r>
        <w:rPr>
          <w:sz w:val="22"/>
        </w:rPr>
        <w:t xml:space="preserve"> (</w:t>
      </w:r>
      <w:r>
        <w:rPr>
          <w:i/>
          <w:iCs/>
          <w:sz w:val="22"/>
        </w:rPr>
        <w:t>I</w:t>
      </w:r>
      <w:r>
        <w:rPr>
          <w:i/>
          <w:iCs/>
          <w:sz w:val="14"/>
          <w:szCs w:val="14"/>
        </w:rPr>
        <w:t>max</w:t>
      </w:r>
      <w:r>
        <w:rPr>
          <w:sz w:val="22"/>
        </w:rPr>
        <w:t>)</w:t>
      </w:r>
      <w:r w:rsidRPr="001A3419">
        <w:rPr>
          <w:rFonts w:hint="eastAsia"/>
          <w:b/>
          <w:sz w:val="22"/>
          <w:u w:val="single"/>
        </w:rPr>
        <w:t xml:space="preserve">. </w:t>
      </w:r>
      <w:r w:rsidRPr="001A3419">
        <w:rPr>
          <w:b/>
          <w:sz w:val="22"/>
          <w:u w:val="single"/>
        </w:rPr>
        <w:t>The</w:t>
      </w:r>
      <w:r w:rsidRPr="001A3419">
        <w:rPr>
          <w:rFonts w:hint="eastAsia"/>
          <w:b/>
          <w:sz w:val="22"/>
          <w:u w:val="single"/>
        </w:rPr>
        <w:t xml:space="preserve"> </w:t>
      </w:r>
      <w:r w:rsidRPr="001A3419">
        <w:rPr>
          <w:b/>
          <w:sz w:val="22"/>
          <w:u w:val="single"/>
        </w:rPr>
        <w:t>maximum</w:t>
      </w:r>
      <w:r w:rsidRPr="001A3419">
        <w:rPr>
          <w:rFonts w:hint="eastAsia"/>
          <w:b/>
          <w:sz w:val="22"/>
          <w:u w:val="single"/>
        </w:rPr>
        <w:t xml:space="preserve"> irradiance</w:t>
      </w:r>
      <w:r w:rsidRPr="001A3419">
        <w:rPr>
          <w:b/>
          <w:sz w:val="22"/>
          <w:u w:val="single"/>
        </w:rPr>
        <w:t xml:space="preserve"> (</w:t>
      </w:r>
      <w:r w:rsidRPr="001A3419">
        <w:rPr>
          <w:b/>
          <w:i/>
          <w:iCs/>
          <w:sz w:val="22"/>
          <w:u w:val="single"/>
        </w:rPr>
        <w:t>I</w:t>
      </w:r>
      <w:r w:rsidRPr="001A3419">
        <w:rPr>
          <w:b/>
          <w:i/>
          <w:iCs/>
          <w:sz w:val="14"/>
          <w:szCs w:val="14"/>
          <w:u w:val="single"/>
        </w:rPr>
        <w:t>max</w:t>
      </w:r>
      <w:r w:rsidRPr="001A3419">
        <w:rPr>
          <w:b/>
          <w:sz w:val="22"/>
          <w:u w:val="single"/>
        </w:rPr>
        <w:t>)</w:t>
      </w:r>
      <w:r w:rsidRPr="001A3419">
        <w:rPr>
          <w:b/>
          <w:iCs/>
          <w:sz w:val="14"/>
          <w:szCs w:val="14"/>
          <w:u w:val="single"/>
        </w:rPr>
        <w:t xml:space="preserve"> </w:t>
      </w:r>
      <w:r w:rsidRPr="001A3419">
        <w:rPr>
          <w:b/>
          <w:sz w:val="22"/>
          <w:szCs w:val="22"/>
          <w:u w:val="single"/>
        </w:rPr>
        <w:t>is an average of the irradiance measured over a period of at least 30s during the period of peak thermal radiation</w:t>
      </w:r>
      <w:r w:rsidRPr="001A3419">
        <w:rPr>
          <w:rFonts w:hint="eastAsia"/>
          <w:b/>
          <w:sz w:val="22"/>
          <w:szCs w:val="22"/>
          <w:u w:val="single"/>
        </w:rPr>
        <w:t xml:space="preserve">. </w:t>
      </w:r>
      <w:r w:rsidRPr="001A3419">
        <w:rPr>
          <w:b/>
          <w:sz w:val="22"/>
          <w:u w:val="single"/>
        </w:rPr>
        <w:t xml:space="preserve">The </w:t>
      </w:r>
      <w:r w:rsidRPr="001A3419">
        <w:rPr>
          <w:rFonts w:hint="eastAsia"/>
          <w:b/>
          <w:sz w:val="22"/>
          <w:u w:val="single"/>
        </w:rPr>
        <w:t xml:space="preserve">total </w:t>
      </w:r>
      <w:r w:rsidRPr="001A3419">
        <w:rPr>
          <w:b/>
          <w:sz w:val="22"/>
          <w:u w:val="single"/>
        </w:rPr>
        <w:t xml:space="preserve">burning time </w:t>
      </w:r>
      <w:r w:rsidRPr="001A3419">
        <w:rPr>
          <w:b/>
          <w:i/>
          <w:iCs/>
          <w:sz w:val="22"/>
          <w:u w:val="single"/>
        </w:rPr>
        <w:t xml:space="preserve">t </w:t>
      </w:r>
      <w:r w:rsidRPr="001A3419">
        <w:rPr>
          <w:b/>
          <w:sz w:val="22"/>
          <w:u w:val="single"/>
        </w:rPr>
        <w:t>is the time span between the starting point and the end</w:t>
      </w:r>
      <w:r w:rsidRPr="001A3419">
        <w:rPr>
          <w:rFonts w:hint="eastAsia"/>
          <w:b/>
          <w:sz w:val="22"/>
          <w:u w:val="single"/>
        </w:rPr>
        <w:t xml:space="preserve"> point</w:t>
      </w:r>
      <w:r w:rsidRPr="001A3419">
        <w:rPr>
          <w:b/>
          <w:sz w:val="22"/>
          <w:u w:val="single"/>
        </w:rPr>
        <w:t xml:space="preserve"> of the fire </w:t>
      </w:r>
      <w:r>
        <w:rPr>
          <w:sz w:val="22"/>
        </w:rPr>
        <w:t xml:space="preserve">(see </w:t>
      </w:r>
      <w:r w:rsidR="007A6903">
        <w:rPr>
          <w:sz w:val="22"/>
        </w:rPr>
        <w:t xml:space="preserve">figure </w:t>
      </w:r>
      <w:r>
        <w:rPr>
          <w:sz w:val="22"/>
        </w:rPr>
        <w:t>51.4.1);</w:t>
      </w:r>
    </w:p>
    <w:p w14:paraId="061C0C00" w14:textId="063ED461" w:rsidR="00FD4219" w:rsidRDefault="00FD4219" w:rsidP="00BE2933">
      <w:pPr>
        <w:spacing w:beforeLines="100" w:before="240" w:afterLines="100" w:after="240"/>
        <w:ind w:left="1985" w:hanging="567"/>
        <w:jc w:val="both"/>
        <w:rPr>
          <w:sz w:val="22"/>
        </w:rPr>
      </w:pPr>
      <w:r>
        <w:rPr>
          <w:sz w:val="22"/>
        </w:rPr>
        <w:t>(b)</w:t>
      </w:r>
      <w:r w:rsidR="00BE2933">
        <w:rPr>
          <w:sz w:val="22"/>
        </w:rPr>
        <w:tab/>
      </w:r>
      <w:r>
        <w:rPr>
          <w:sz w:val="22"/>
        </w:rPr>
        <w:t>The effect of either remainder or burning materials, if present, shall be taken into account in the evaluation;</w:t>
      </w:r>
    </w:p>
    <w:p w14:paraId="7D05195D" w14:textId="039EA8B0" w:rsidR="00FD4219" w:rsidRPr="00ED425F" w:rsidRDefault="00FD4219" w:rsidP="00BE2933">
      <w:pPr>
        <w:spacing w:beforeLines="100" w:before="240" w:afterLines="100" w:after="240"/>
        <w:ind w:left="1985" w:hanging="567"/>
        <w:jc w:val="both"/>
        <w:rPr>
          <w:strike/>
          <w:sz w:val="22"/>
        </w:rPr>
      </w:pPr>
      <w:r w:rsidRPr="00ED425F">
        <w:rPr>
          <w:strike/>
          <w:sz w:val="22"/>
        </w:rPr>
        <w:t xml:space="preserve">(c) </w:t>
      </w:r>
      <w:r w:rsidR="00BE2933">
        <w:rPr>
          <w:strike/>
          <w:sz w:val="22"/>
        </w:rPr>
        <w:tab/>
      </w:r>
      <w:r w:rsidRPr="00ED425F">
        <w:rPr>
          <w:strike/>
          <w:sz w:val="22"/>
        </w:rPr>
        <w:t xml:space="preserve">The burning time </w:t>
      </w:r>
      <w:r w:rsidRPr="00ED425F">
        <w:rPr>
          <w:i/>
          <w:iCs/>
          <w:strike/>
          <w:sz w:val="22"/>
        </w:rPr>
        <w:t>t</w:t>
      </w:r>
      <w:r w:rsidRPr="00ED425F">
        <w:rPr>
          <w:strike/>
          <w:sz w:val="22"/>
        </w:rPr>
        <w:t xml:space="preserve"> is the time span between the starting point and the end of the fire;</w:t>
      </w:r>
    </w:p>
    <w:p w14:paraId="47AAFBEC" w14:textId="491721F5" w:rsidR="00FD4219" w:rsidRDefault="00FD4219" w:rsidP="00BE2933">
      <w:pPr>
        <w:spacing w:beforeLines="100" w:before="240" w:afterLines="100" w:after="240"/>
        <w:ind w:left="1985" w:hanging="567"/>
        <w:jc w:val="both"/>
        <w:rPr>
          <w:sz w:val="22"/>
        </w:rPr>
      </w:pPr>
      <w:r>
        <w:rPr>
          <w:sz w:val="22"/>
        </w:rPr>
        <w:t>(</w:t>
      </w:r>
      <w:r w:rsidRPr="00ED425F">
        <w:rPr>
          <w:strike/>
          <w:sz w:val="22"/>
        </w:rPr>
        <w:t>d</w:t>
      </w:r>
      <w:r w:rsidRPr="00ED425F">
        <w:rPr>
          <w:b/>
          <w:sz w:val="22"/>
          <w:u w:val="single"/>
        </w:rPr>
        <w:t>c</w:t>
      </w:r>
      <w:r>
        <w:rPr>
          <w:sz w:val="22"/>
        </w:rPr>
        <w:t>)</w:t>
      </w:r>
      <w:r w:rsidR="00BE2933">
        <w:rPr>
          <w:sz w:val="22"/>
        </w:rPr>
        <w:tab/>
      </w:r>
      <w:r>
        <w:rPr>
          <w:sz w:val="22"/>
        </w:rPr>
        <w:t xml:space="preserve">The burning rate </w:t>
      </w:r>
      <w:r>
        <w:rPr>
          <w:i/>
          <w:iCs/>
          <w:sz w:val="22"/>
        </w:rPr>
        <w:t xml:space="preserve">A </w:t>
      </w:r>
      <w:r>
        <w:rPr>
          <w:sz w:val="22"/>
        </w:rPr>
        <w:t xml:space="preserve">[kg/min] can be calculated for each tested quantity </w:t>
      </w:r>
      <w:r>
        <w:rPr>
          <w:i/>
          <w:iCs/>
          <w:sz w:val="22"/>
        </w:rPr>
        <w:t xml:space="preserve">m </w:t>
      </w:r>
      <w:r>
        <w:rPr>
          <w:sz w:val="22"/>
        </w:rPr>
        <w:t xml:space="preserve">[kg] and its corresponding </w:t>
      </w:r>
      <w:r w:rsidRPr="00ED425F">
        <w:rPr>
          <w:b/>
          <w:sz w:val="22"/>
          <w:u w:val="single"/>
        </w:rPr>
        <w:t>to</w:t>
      </w:r>
      <w:r w:rsidRPr="00ED425F">
        <w:rPr>
          <w:rFonts w:hint="eastAsia"/>
          <w:b/>
          <w:sz w:val="22"/>
          <w:u w:val="single"/>
        </w:rPr>
        <w:t xml:space="preserve">tal </w:t>
      </w:r>
      <w:r>
        <w:rPr>
          <w:sz w:val="22"/>
        </w:rPr>
        <w:t xml:space="preserve">burning time </w:t>
      </w:r>
      <w:r>
        <w:rPr>
          <w:i/>
          <w:iCs/>
          <w:sz w:val="22"/>
        </w:rPr>
        <w:t xml:space="preserve">t </w:t>
      </w:r>
      <w:r>
        <w:rPr>
          <w:sz w:val="22"/>
        </w:rPr>
        <w:t>[min] from the equation:</w:t>
      </w:r>
    </w:p>
    <w:p w14:paraId="058F5F62" w14:textId="77777777" w:rsidR="00FD4219" w:rsidRDefault="00FD4219" w:rsidP="00BE2933">
      <w:pPr>
        <w:spacing w:beforeLines="100" w:before="240" w:afterLines="100" w:after="240"/>
        <w:ind w:left="1985" w:hanging="567"/>
        <w:jc w:val="both"/>
        <w:rPr>
          <w:sz w:val="22"/>
        </w:rPr>
      </w:pPr>
      <m:oMathPara>
        <m:oMath>
          <m:r>
            <w:rPr>
              <w:rFonts w:ascii="Cambria Math" w:eastAsia="Cambria Math" w:hAnsi="Cambria Math" w:cs="Cambria Math"/>
              <w:sz w:val="22"/>
            </w:rPr>
            <m:t>A</m:t>
          </m:r>
          <m:r>
            <m:rPr>
              <m:sty m:val="p"/>
            </m:rPr>
            <w:rPr>
              <w:rFonts w:ascii="Cambria Math" w:eastAsia="Cambria Math" w:hAnsi="Cambria Math" w:cs="Cambria Math"/>
              <w:sz w:val="22"/>
            </w:rPr>
            <m:t>=</m:t>
          </m:r>
          <m:f>
            <m:fPr>
              <m:ctrlPr>
                <w:rPr>
                  <w:rFonts w:ascii="Cambria Math" w:eastAsia="Cambria Math" w:hAnsi="Cambria Math"/>
                  <w:sz w:val="22"/>
                </w:rPr>
              </m:ctrlPr>
            </m:fPr>
            <m:num>
              <m:r>
                <w:rPr>
                  <w:rFonts w:ascii="Cambria Math" w:eastAsia="Cambria Math" w:hAnsi="Cambria Math"/>
                  <w:sz w:val="22"/>
                </w:rPr>
                <m:t>m</m:t>
              </m:r>
            </m:num>
            <m:den>
              <m:r>
                <w:rPr>
                  <w:rFonts w:ascii="Cambria Math" w:eastAsia="Cambria Math" w:hAnsi="Cambria Math" w:cs="Cambria Math"/>
                  <w:sz w:val="22"/>
                </w:rPr>
                <m:t>t</m:t>
              </m:r>
            </m:den>
          </m:f>
        </m:oMath>
      </m:oMathPara>
    </w:p>
    <w:p w14:paraId="684AF37D" w14:textId="2F6B8027" w:rsidR="00FD4219" w:rsidRDefault="00FD4219" w:rsidP="00BE2933">
      <w:pPr>
        <w:spacing w:beforeLines="100" w:before="240" w:afterLines="100" w:after="240"/>
        <w:ind w:left="1985" w:hanging="567"/>
        <w:jc w:val="both"/>
        <w:rPr>
          <w:sz w:val="22"/>
        </w:rPr>
      </w:pPr>
      <w:r>
        <w:rPr>
          <w:sz w:val="22"/>
        </w:rPr>
        <w:t>(</w:t>
      </w:r>
      <w:r w:rsidRPr="00ED425F">
        <w:rPr>
          <w:strike/>
          <w:sz w:val="22"/>
        </w:rPr>
        <w:t>e</w:t>
      </w:r>
      <w:r w:rsidRPr="00ED425F">
        <w:rPr>
          <w:b/>
          <w:sz w:val="22"/>
          <w:u w:val="single"/>
        </w:rPr>
        <w:t>d</w:t>
      </w:r>
      <w:r>
        <w:rPr>
          <w:sz w:val="22"/>
        </w:rPr>
        <w:t>)</w:t>
      </w:r>
      <w:r w:rsidR="00BE2933">
        <w:rPr>
          <w:sz w:val="22"/>
        </w:rPr>
        <w:tab/>
      </w:r>
      <w:r>
        <w:rPr>
          <w:sz w:val="22"/>
        </w:rPr>
        <w:t xml:space="preserve">log </w:t>
      </w:r>
      <w:r>
        <w:rPr>
          <w:i/>
          <w:iCs/>
          <w:sz w:val="22"/>
        </w:rPr>
        <w:t xml:space="preserve">A </w:t>
      </w:r>
      <w:r>
        <w:rPr>
          <w:sz w:val="22"/>
        </w:rPr>
        <w:t xml:space="preserve">is plotted against log </w:t>
      </w:r>
      <w:r>
        <w:rPr>
          <w:i/>
          <w:iCs/>
          <w:sz w:val="22"/>
        </w:rPr>
        <w:t>m</w:t>
      </w:r>
      <w:r>
        <w:rPr>
          <w:sz w:val="22"/>
        </w:rPr>
        <w:t xml:space="preserve">, where </w:t>
      </w:r>
      <w:r>
        <w:rPr>
          <w:i/>
          <w:iCs/>
          <w:sz w:val="22"/>
        </w:rPr>
        <w:t xml:space="preserve">A </w:t>
      </w:r>
      <w:r>
        <w:rPr>
          <w:sz w:val="22"/>
        </w:rPr>
        <w:t xml:space="preserve">is the determined burning rate, and </w:t>
      </w:r>
      <w:r>
        <w:rPr>
          <w:i/>
          <w:iCs/>
          <w:sz w:val="22"/>
        </w:rPr>
        <w:t xml:space="preserve">m </w:t>
      </w:r>
      <w:r>
        <w:rPr>
          <w:sz w:val="22"/>
        </w:rPr>
        <w:t xml:space="preserve">is the mass of substance or mixture used for the test. The observed test results are extrapolated by means of this graph to an uncorrected burning rate </w:t>
      </w:r>
      <w:r>
        <w:rPr>
          <w:i/>
          <w:iCs/>
          <w:sz w:val="22"/>
        </w:rPr>
        <w:t>A</w:t>
      </w:r>
      <w:r>
        <w:rPr>
          <w:i/>
          <w:iCs/>
          <w:sz w:val="14"/>
          <w:szCs w:val="14"/>
        </w:rPr>
        <w:t xml:space="preserve">10t </w:t>
      </w:r>
      <w:r>
        <w:rPr>
          <w:sz w:val="22"/>
        </w:rPr>
        <w:t>for a mass of 10</w:t>
      </w:r>
      <w:r w:rsidR="002E6E4A">
        <w:rPr>
          <w:sz w:val="22"/>
        </w:rPr>
        <w:t> </w:t>
      </w:r>
      <w:r>
        <w:rPr>
          <w:sz w:val="22"/>
        </w:rPr>
        <w:t>000</w:t>
      </w:r>
      <w:r w:rsidR="002E6E4A">
        <w:rPr>
          <w:sz w:val="22"/>
        </w:rPr>
        <w:t> </w:t>
      </w:r>
      <w:r>
        <w:rPr>
          <w:sz w:val="22"/>
        </w:rPr>
        <w:t>kg corresponding to the following function:</w:t>
      </w:r>
    </w:p>
    <w:p w14:paraId="1E6BE7CA" w14:textId="77777777" w:rsidR="00FD4219" w:rsidRDefault="00090B32" w:rsidP="00BE2933">
      <w:pPr>
        <w:tabs>
          <w:tab w:val="left" w:pos="1418"/>
        </w:tabs>
        <w:spacing w:beforeLines="100" w:before="240" w:afterLines="100" w:after="240"/>
        <w:ind w:left="1985"/>
        <w:jc w:val="both"/>
        <w:rPr>
          <w:sz w:val="22"/>
        </w:rPr>
      </w:pPr>
      <m:oMathPara>
        <m:oMath>
          <m:sSub>
            <m:sSubPr>
              <m:ctrlPr>
                <w:rPr>
                  <w:rFonts w:ascii="Cambria Math" w:hAnsi="Cambria Math"/>
                  <w:sz w:val="22"/>
                </w:rPr>
              </m:ctrlPr>
            </m:sSubPr>
            <m:e>
              <m:r>
                <w:rPr>
                  <w:rFonts w:ascii="Cambria Math" w:hAnsi="Cambria Math"/>
                  <w:sz w:val="22"/>
                </w:rPr>
                <m:t>A</m:t>
              </m:r>
            </m:e>
            <m:sub>
              <m:r>
                <w:rPr>
                  <w:rFonts w:ascii="Cambria Math" w:hAnsi="Cambria Math"/>
                  <w:sz w:val="22"/>
                </w:rPr>
                <m:t>10</m:t>
              </m:r>
              <m:r>
                <w:rPr>
                  <w:rFonts w:ascii="Cambria Math" w:hAnsi="Cambria Math"/>
                  <w:sz w:val="22"/>
                </w:rPr>
                <m:t>t</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10000</m:t>
                      </m:r>
                      <m:r>
                        <w:rPr>
                          <w:rFonts w:ascii="Cambria Math" w:hAnsi="Cambria Math"/>
                          <w:sz w:val="22"/>
                        </w:rPr>
                        <m:t>kg</m:t>
                      </m:r>
                    </m:num>
                    <m:den>
                      <m:r>
                        <w:rPr>
                          <w:rFonts w:ascii="Cambria Math" w:hAnsi="Cambria Math"/>
                          <w:sz w:val="22"/>
                        </w:rPr>
                        <m:t>m</m:t>
                      </m:r>
                    </m:den>
                  </m:f>
                </m:e>
              </m:d>
            </m:e>
            <m:sup>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sup>
          </m:sSup>
          <m:r>
            <w:rPr>
              <w:rFonts w:ascii="Cambria Math" w:hAnsi="Cambria Math"/>
              <w:sz w:val="22"/>
            </w:rPr>
            <m:t>A</m:t>
          </m:r>
        </m:oMath>
      </m:oMathPara>
    </w:p>
    <w:p w14:paraId="2CA80102" w14:textId="57F06F75" w:rsidR="00FD4219" w:rsidRDefault="00FD4219" w:rsidP="00BE2933">
      <w:pPr>
        <w:tabs>
          <w:tab w:val="left" w:pos="1418"/>
        </w:tabs>
        <w:spacing w:beforeLines="100" w:before="240" w:afterLines="100" w:after="240"/>
        <w:jc w:val="both"/>
        <w:rPr>
          <w:sz w:val="22"/>
        </w:rPr>
      </w:pPr>
      <w:r>
        <w:rPr>
          <w:sz w:val="22"/>
        </w:rPr>
        <w:t>51.4.4.2</w:t>
      </w:r>
      <w:r w:rsidR="00BE2933">
        <w:rPr>
          <w:sz w:val="22"/>
        </w:rPr>
        <w:tab/>
      </w:r>
      <w:r>
        <w:rPr>
          <w:sz w:val="22"/>
        </w:rPr>
        <w:t xml:space="preserve">The corrected burning rate </w:t>
      </w:r>
      <w:r>
        <w:rPr>
          <w:i/>
          <w:iCs/>
          <w:sz w:val="22"/>
        </w:rPr>
        <w:t>A</w:t>
      </w:r>
      <w:r>
        <w:rPr>
          <w:i/>
          <w:iCs/>
          <w:sz w:val="14"/>
          <w:szCs w:val="14"/>
        </w:rPr>
        <w:t xml:space="preserve">C </w:t>
      </w:r>
      <w:r>
        <w:rPr>
          <w:sz w:val="22"/>
        </w:rPr>
        <w:t>is determined as follows:</w:t>
      </w:r>
    </w:p>
    <w:p w14:paraId="443B6E49" w14:textId="58FAEACA" w:rsidR="00FD4219" w:rsidRPr="00720197" w:rsidRDefault="00FD4219" w:rsidP="00BE2933">
      <w:pPr>
        <w:spacing w:beforeLines="100" w:before="240" w:afterLines="100" w:after="240"/>
        <w:ind w:left="1985" w:hanging="567"/>
        <w:jc w:val="both"/>
        <w:rPr>
          <w:sz w:val="22"/>
          <w:szCs w:val="22"/>
        </w:rPr>
      </w:pPr>
      <w:r>
        <w:rPr>
          <w:sz w:val="22"/>
        </w:rPr>
        <w:t>(a)</w:t>
      </w:r>
      <w:r w:rsidR="00BE2933">
        <w:rPr>
          <w:sz w:val="22"/>
        </w:rPr>
        <w:tab/>
      </w:r>
      <w:r>
        <w:rPr>
          <w:sz w:val="22"/>
        </w:rPr>
        <w:t xml:space="preserve">The internal amount of energy of the substance is partially converted into radiation. The </w:t>
      </w:r>
      <w:r w:rsidRPr="00ED425F">
        <w:rPr>
          <w:strike/>
          <w:sz w:val="22"/>
        </w:rPr>
        <w:t>percent</w:t>
      </w:r>
      <w:r>
        <w:rPr>
          <w:strike/>
          <w:sz w:val="22"/>
        </w:rPr>
        <w:t xml:space="preserve"> </w:t>
      </w:r>
      <w:r>
        <w:rPr>
          <w:sz w:val="22"/>
        </w:rPr>
        <w:t>average radiation efficiency</w:t>
      </w:r>
      <w:r w:rsidR="007A6903">
        <w:rPr>
          <w:sz w:val="22"/>
        </w:rPr>
        <w:t xml:space="preserve"> </w:t>
      </w:r>
      <w:r>
        <w:rPr>
          <w:rFonts w:hint="eastAsia"/>
          <w:i/>
          <w:iCs/>
          <w:sz w:val="22"/>
        </w:rPr>
        <w:t>η</w:t>
      </w:r>
      <w:r w:rsidR="007A6903">
        <w:rPr>
          <w:i/>
          <w:iCs/>
          <w:sz w:val="22"/>
        </w:rPr>
        <w:t xml:space="preserve"> </w:t>
      </w:r>
      <w:r>
        <w:rPr>
          <w:sz w:val="22"/>
        </w:rPr>
        <w:t xml:space="preserve">at a distance from the fire is determined from the measured radiation </w:t>
      </w:r>
      <w:r w:rsidRPr="00ED425F">
        <w:rPr>
          <w:strike/>
          <w:sz w:val="22"/>
        </w:rPr>
        <w:t>level</w:t>
      </w:r>
      <w:r>
        <w:rPr>
          <w:strike/>
          <w:sz w:val="22"/>
        </w:rPr>
        <w:t xml:space="preserve"> </w:t>
      </w:r>
      <w:r w:rsidRPr="00ED425F">
        <w:rPr>
          <w:b/>
          <w:sz w:val="22"/>
          <w:u w:val="single"/>
        </w:rPr>
        <w:t>e</w:t>
      </w:r>
      <w:r w:rsidRPr="00ED425F">
        <w:rPr>
          <w:rFonts w:hint="eastAsia"/>
          <w:b/>
          <w:sz w:val="22"/>
          <w:u w:val="single"/>
        </w:rPr>
        <w:t>nergy</w:t>
      </w:r>
      <w:r>
        <w:rPr>
          <w:sz w:val="22"/>
        </w:rPr>
        <w:t xml:space="preserve"> (</w:t>
      </w:r>
      <w:proofErr w:type="spellStart"/>
      <w:r>
        <w:rPr>
          <w:i/>
          <w:iCs/>
          <w:sz w:val="22"/>
        </w:rPr>
        <w:t>dose</w:t>
      </w:r>
      <w:r w:rsidRPr="00720197">
        <w:rPr>
          <w:i/>
          <w:iCs/>
          <w:sz w:val="22"/>
          <w:szCs w:val="22"/>
          <w:vertAlign w:val="subscript"/>
        </w:rPr>
        <w:t>measured</w:t>
      </w:r>
      <w:proofErr w:type="spellEnd"/>
      <w:r>
        <w:rPr>
          <w:sz w:val="22"/>
        </w:rPr>
        <w:t xml:space="preserve">) and the theoretical maximum energy </w:t>
      </w:r>
      <w:r w:rsidRPr="00720197">
        <w:rPr>
          <w:sz w:val="22"/>
          <w:szCs w:val="22"/>
        </w:rPr>
        <w:t>(</w:t>
      </w:r>
      <w:proofErr w:type="spellStart"/>
      <w:r w:rsidRPr="00720197">
        <w:rPr>
          <w:i/>
          <w:iCs/>
          <w:sz w:val="22"/>
          <w:szCs w:val="22"/>
        </w:rPr>
        <w:t>dose</w:t>
      </w:r>
      <w:r w:rsidRPr="00720197">
        <w:rPr>
          <w:i/>
          <w:iCs/>
          <w:sz w:val="22"/>
          <w:szCs w:val="22"/>
          <w:vertAlign w:val="subscript"/>
        </w:rPr>
        <w:t>calculated</w:t>
      </w:r>
      <w:proofErr w:type="spellEnd"/>
      <w:r w:rsidRPr="00720197">
        <w:rPr>
          <w:sz w:val="22"/>
          <w:szCs w:val="22"/>
        </w:rPr>
        <w:t>);</w:t>
      </w:r>
    </w:p>
    <w:p w14:paraId="3702C814" w14:textId="77777777" w:rsidR="00FD4219" w:rsidRDefault="00FD4219" w:rsidP="00BE2933">
      <w:pPr>
        <w:tabs>
          <w:tab w:val="left" w:pos="1418"/>
        </w:tabs>
        <w:spacing w:beforeLines="100" w:before="240" w:afterLines="100" w:after="240"/>
        <w:jc w:val="both"/>
        <w:rPr>
          <w:sz w:val="22"/>
        </w:rPr>
      </w:pPr>
      <m:oMathPara>
        <m:oMath>
          <m:r>
            <w:rPr>
              <w:rFonts w:ascii="Cambria Math" w:eastAsia="Cambria Math" w:hAnsi="Cambria Math" w:cs="Cambria Math"/>
              <w:sz w:val="22"/>
            </w:rPr>
            <m:t>η</m:t>
          </m:r>
          <m:r>
            <m:rPr>
              <m:sty m:val="p"/>
            </m:rPr>
            <w:rPr>
              <w:rFonts w:ascii="Cambria Math" w:eastAsia="Cambria Math" w:hAnsi="Cambria Math" w:cs="Cambria Math"/>
              <w:sz w:val="22"/>
            </w:rPr>
            <m:t>=</m:t>
          </m:r>
          <m:f>
            <m:fPr>
              <m:ctrlPr>
                <w:rPr>
                  <w:rFonts w:ascii="Cambria Math" w:eastAsia="Cambria Math" w:hAnsi="Cambria Math"/>
                  <w:sz w:val="22"/>
                </w:rPr>
              </m:ctrlPr>
            </m:fPr>
            <m:num>
              <m:sSub>
                <m:sSubPr>
                  <m:ctrlPr>
                    <w:rPr>
                      <w:rFonts w:ascii="Cambria Math" w:eastAsia="Cambria Math" w:hAnsi="Cambria Math" w:cs="Cambria Math"/>
                      <w:sz w:val="22"/>
                    </w:rPr>
                  </m:ctrlPr>
                </m:sSubPr>
                <m:e>
                  <m:r>
                    <w:rPr>
                      <w:rFonts w:ascii="Cambria Math" w:eastAsia="Cambria Math" w:hAnsi="Cambria Math" w:cs="Cambria Math"/>
                      <w:sz w:val="22"/>
                    </w:rPr>
                    <m:t>dose</m:t>
                  </m:r>
                </m:e>
                <m:sub>
                  <m:r>
                    <w:rPr>
                      <w:rFonts w:ascii="Cambria Math" w:eastAsia="Cambria Math" w:hAnsi="Cambria Math" w:cs="Cambria Math"/>
                      <w:sz w:val="22"/>
                    </w:rPr>
                    <m:t>measured</m:t>
                  </m:r>
                </m:sub>
              </m:sSub>
            </m:num>
            <m:den>
              <m:sSub>
                <m:sSubPr>
                  <m:ctrlPr>
                    <w:rPr>
                      <w:rFonts w:ascii="Cambria Math" w:eastAsia="Cambria Math" w:hAnsi="Cambria Math" w:cs="Cambria Math"/>
                      <w:sz w:val="22"/>
                    </w:rPr>
                  </m:ctrlPr>
                </m:sSubPr>
                <m:e>
                  <m:r>
                    <w:rPr>
                      <w:rFonts w:ascii="Cambria Math" w:eastAsia="Cambria Math" w:hAnsi="Cambria Math" w:cs="Cambria Math"/>
                      <w:sz w:val="22"/>
                    </w:rPr>
                    <m:t>dose</m:t>
                  </m:r>
                </m:e>
                <m:sub>
                  <m:r>
                    <w:rPr>
                      <w:rFonts w:ascii="Cambria Math" w:eastAsia="Cambria Math" w:hAnsi="Cambria Math" w:cs="Cambria Math"/>
                      <w:sz w:val="22"/>
                    </w:rPr>
                    <m:t>calculated</m:t>
                  </m:r>
                </m:sub>
              </m:sSub>
            </m:den>
          </m:f>
        </m:oMath>
      </m:oMathPara>
    </w:p>
    <w:p w14:paraId="00C26DC7" w14:textId="1A7705DD" w:rsidR="00FD4219" w:rsidRDefault="00FD4219" w:rsidP="00BE2933">
      <w:pPr>
        <w:spacing w:beforeLines="100" w:before="240" w:afterLines="100" w:after="240"/>
        <w:ind w:left="1985" w:hanging="567"/>
        <w:jc w:val="both"/>
        <w:rPr>
          <w:sz w:val="22"/>
          <w:vertAlign w:val="superscript"/>
        </w:rPr>
      </w:pPr>
      <w:r>
        <w:rPr>
          <w:sz w:val="22"/>
        </w:rPr>
        <w:t>(b)</w:t>
      </w:r>
      <w:r w:rsidR="00BE2933">
        <w:rPr>
          <w:sz w:val="22"/>
        </w:rPr>
        <w:tab/>
      </w:r>
      <w:r>
        <w:rPr>
          <w:sz w:val="22"/>
        </w:rPr>
        <w:t xml:space="preserve">The theoretical maximum energy is calculated by multiplying the individual mass of tested substance </w:t>
      </w:r>
      <w:r>
        <w:rPr>
          <w:i/>
          <w:iCs/>
          <w:sz w:val="22"/>
        </w:rPr>
        <w:t xml:space="preserve">m </w:t>
      </w:r>
      <w:r>
        <w:rPr>
          <w:sz w:val="22"/>
        </w:rPr>
        <w:t xml:space="preserve">[kg] with the heat of combustion </w:t>
      </w:r>
      <w:r>
        <w:rPr>
          <w:i/>
          <w:iCs/>
          <w:sz w:val="22"/>
        </w:rPr>
        <w:t>H</w:t>
      </w:r>
      <w:r w:rsidRPr="00F551AD">
        <w:rPr>
          <w:i/>
          <w:iCs/>
          <w:sz w:val="22"/>
          <w:vertAlign w:val="subscript"/>
        </w:rPr>
        <w:t>V</w:t>
      </w:r>
      <w:r w:rsidRPr="00F551AD">
        <w:rPr>
          <w:i/>
          <w:iCs/>
          <w:sz w:val="22"/>
        </w:rPr>
        <w:t xml:space="preserve"> </w:t>
      </w:r>
      <w:r>
        <w:rPr>
          <w:sz w:val="22"/>
        </w:rPr>
        <w:t>[kJ/kg]</w:t>
      </w:r>
      <w:r>
        <w:rPr>
          <w:rStyle w:val="FootnoteReference"/>
        </w:rPr>
        <w:footnoteReference w:id="4"/>
      </w:r>
      <w:r w:rsidRPr="00B44E57">
        <w:rPr>
          <w:sz w:val="22"/>
        </w:rPr>
        <w:t>:</w:t>
      </w:r>
    </w:p>
    <w:p w14:paraId="3DFA1BD9" w14:textId="77777777" w:rsidR="00FD4219" w:rsidRDefault="00090B32" w:rsidP="00BE2933">
      <w:pPr>
        <w:tabs>
          <w:tab w:val="left" w:pos="1418"/>
        </w:tabs>
        <w:spacing w:beforeLines="100" w:before="240" w:afterLines="100" w:after="240"/>
        <w:jc w:val="both"/>
        <w:rPr>
          <w:sz w:val="22"/>
        </w:rPr>
      </w:pPr>
      <m:oMathPara>
        <m:oMath>
          <m:sSub>
            <m:sSubPr>
              <m:ctrlPr>
                <w:rPr>
                  <w:rFonts w:ascii="Cambria Math" w:hAnsi="Cambria Math"/>
                  <w:sz w:val="22"/>
                </w:rPr>
              </m:ctrlPr>
            </m:sSubPr>
            <m:e>
              <m:r>
                <w:rPr>
                  <w:rFonts w:ascii="Cambria Math" w:hAnsi="Cambria Math"/>
                  <w:sz w:val="22"/>
                </w:rPr>
                <m:t>dose</m:t>
              </m:r>
            </m:e>
            <m:sub>
              <m:r>
                <w:rPr>
                  <w:rFonts w:ascii="Cambria Math" w:hAnsi="Cambria Math"/>
                  <w:sz w:val="22"/>
                </w:rPr>
                <m:t>calculated</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v</m:t>
              </m:r>
            </m:sub>
          </m:sSub>
          <m:r>
            <w:rPr>
              <w:rFonts w:ascii="Cambria Math" w:hAnsi="Cambria Math"/>
              <w:sz w:val="22"/>
            </w:rPr>
            <m:t>⋅</m:t>
          </m:r>
          <m:r>
            <w:rPr>
              <w:rFonts w:ascii="Cambria Math" w:hAnsi="Cambria Math"/>
              <w:sz w:val="22"/>
            </w:rPr>
            <m:t>m</m:t>
          </m:r>
        </m:oMath>
      </m:oMathPara>
    </w:p>
    <w:p w14:paraId="3F0B2249" w14:textId="5D387FD7" w:rsidR="00FD4219" w:rsidRDefault="00FD4219" w:rsidP="00BE2933">
      <w:pPr>
        <w:tabs>
          <w:tab w:val="left" w:pos="1985"/>
        </w:tabs>
        <w:spacing w:beforeLines="100" w:before="240" w:afterLines="100" w:after="240"/>
        <w:ind w:left="1985" w:hanging="567"/>
        <w:jc w:val="both"/>
        <w:rPr>
          <w:sz w:val="22"/>
        </w:rPr>
      </w:pPr>
      <w:r>
        <w:rPr>
          <w:sz w:val="22"/>
        </w:rPr>
        <w:t>(c)</w:t>
      </w:r>
      <w:r w:rsidR="00BE2933">
        <w:rPr>
          <w:sz w:val="22"/>
        </w:rPr>
        <w:tab/>
      </w:r>
      <w:r>
        <w:rPr>
          <w:sz w:val="22"/>
        </w:rPr>
        <w:t>The amount of energy that in practice appears to be transferred by radiation is determined by integrating the area below the measured radiation curve;</w:t>
      </w:r>
    </w:p>
    <w:p w14:paraId="292F1048" w14:textId="77777777" w:rsidR="00FD4219" w:rsidRDefault="00090B32" w:rsidP="00BE2933">
      <w:pPr>
        <w:tabs>
          <w:tab w:val="left" w:pos="1418"/>
        </w:tabs>
        <w:spacing w:beforeLines="100" w:before="240" w:afterLines="100" w:after="240"/>
        <w:jc w:val="both"/>
        <w:rPr>
          <w:rFonts w:ascii="SymbolMT" w:hAnsi="SymbolMT" w:cs="SymbolMT"/>
          <w:sz w:val="23"/>
          <w:szCs w:val="23"/>
        </w:rPr>
      </w:pPr>
      <m:oMathPara>
        <m:oMath>
          <m:sSub>
            <m:sSubPr>
              <m:ctrlPr>
                <w:rPr>
                  <w:rFonts w:ascii="Cambria Math" w:hAnsi="Cambria Math" w:cs="SymbolMT"/>
                  <w:sz w:val="23"/>
                  <w:szCs w:val="23"/>
                </w:rPr>
              </m:ctrlPr>
            </m:sSubPr>
            <m:e>
              <m:r>
                <w:rPr>
                  <w:rFonts w:ascii="Cambria Math" w:hAnsi="Cambria Math" w:cs="SymbolMT"/>
                  <w:sz w:val="23"/>
                  <w:szCs w:val="23"/>
                </w:rPr>
                <m:t>dose</m:t>
              </m:r>
            </m:e>
            <m:sub>
              <m:r>
                <w:rPr>
                  <w:rFonts w:ascii="Cambria Math" w:hAnsi="Cambria Math" w:cs="SymbolMT"/>
                  <w:sz w:val="23"/>
                  <w:szCs w:val="23"/>
                </w:rPr>
                <m:t>measured</m:t>
              </m:r>
            </m:sub>
          </m:sSub>
          <m:r>
            <w:rPr>
              <w:rFonts w:ascii="Cambria Math" w:hAnsi="Cambria Math" w:cs="SymbolMT"/>
              <w:sz w:val="23"/>
              <w:szCs w:val="23"/>
            </w:rPr>
            <m:t>=</m:t>
          </m:r>
          <m:r>
            <w:rPr>
              <w:rFonts w:ascii="Cambria Math" w:hAnsi="Cambria Math" w:cs="SymbolMT"/>
              <w:sz w:val="23"/>
              <w:szCs w:val="23"/>
            </w:rPr>
            <m:t>f</m:t>
          </m:r>
          <m:d>
            <m:dPr>
              <m:ctrlPr>
                <w:rPr>
                  <w:rFonts w:ascii="Cambria Math" w:hAnsi="Cambria Math" w:cs="SymbolMT"/>
                  <w:i/>
                  <w:sz w:val="23"/>
                  <w:szCs w:val="23"/>
                </w:rPr>
              </m:ctrlPr>
            </m:dPr>
            <m:e>
              <m:r>
                <w:rPr>
                  <w:rFonts w:ascii="Cambria Math" w:hAnsi="Cambria Math" w:cs="SymbolMT"/>
                  <w:sz w:val="23"/>
                  <w:szCs w:val="23"/>
                </w:rPr>
                <m:t>t</m:t>
              </m:r>
            </m:e>
          </m:d>
          <m:r>
            <w:rPr>
              <w:rFonts w:ascii="Cambria Math" w:hAnsi="Cambria Math" w:cs="SymbolMT"/>
              <w:sz w:val="23"/>
              <w:szCs w:val="23"/>
            </w:rPr>
            <m:t>=</m:t>
          </m:r>
          <m:d>
            <m:dPr>
              <m:begChr m:val="["/>
              <m:endChr m:val="]"/>
              <m:ctrlPr>
                <w:rPr>
                  <w:rFonts w:ascii="Cambria Math" w:hAnsi="Cambria Math" w:cs="SymbolMT"/>
                  <w:i/>
                  <w:sz w:val="23"/>
                  <w:szCs w:val="23"/>
                </w:rPr>
              </m:ctrlPr>
            </m:dPr>
            <m:e>
              <m:nary>
                <m:naryPr>
                  <m:chr m:val="∑"/>
                  <m:limLoc m:val="undOvr"/>
                  <m:ctrlPr>
                    <w:rPr>
                      <w:rFonts w:ascii="Cambria Math" w:hAnsi="Cambria Math" w:cs="SymbolMT"/>
                      <w:i/>
                      <w:sz w:val="23"/>
                      <w:szCs w:val="23"/>
                    </w:rPr>
                  </m:ctrlPr>
                </m:naryPr>
                <m:sub>
                  <m:r>
                    <w:rPr>
                      <w:rFonts w:ascii="Cambria Math" w:hAnsi="Cambria Math" w:cs="SymbolMT"/>
                      <w:sz w:val="23"/>
                      <w:szCs w:val="23"/>
                    </w:rPr>
                    <m:t>t</m:t>
                  </m:r>
                  <m:r>
                    <w:rPr>
                      <w:rFonts w:ascii="Cambria Math" w:hAnsi="Cambria Math" w:cs="SymbolMT"/>
                      <w:sz w:val="23"/>
                      <w:szCs w:val="23"/>
                    </w:rPr>
                    <m:t>=</m:t>
                  </m:r>
                  <m:r>
                    <w:rPr>
                      <w:rFonts w:ascii="Cambria Math" w:hAnsi="Cambria Math" w:cs="SymbolMT"/>
                      <w:sz w:val="23"/>
                      <w:szCs w:val="23"/>
                    </w:rPr>
                    <m:t>start</m:t>
                  </m:r>
                </m:sub>
                <m:sup>
                  <m:r>
                    <w:rPr>
                      <w:rFonts w:ascii="Cambria Math" w:hAnsi="Cambria Math" w:cs="SymbolMT"/>
                      <w:sz w:val="23"/>
                      <w:szCs w:val="23"/>
                    </w:rPr>
                    <m:t>end</m:t>
                  </m:r>
                </m:sup>
                <m:e>
                  <m:f>
                    <m:fPr>
                      <m:ctrlPr>
                        <w:rPr>
                          <w:rFonts w:ascii="Cambria Math" w:hAnsi="Cambria Math" w:cs="SymbolMT"/>
                          <w:i/>
                          <w:sz w:val="23"/>
                          <w:szCs w:val="23"/>
                        </w:rPr>
                      </m:ctrlPr>
                    </m:fPr>
                    <m:num>
                      <m:sSub>
                        <m:sSubPr>
                          <m:ctrlPr>
                            <w:rPr>
                              <w:rFonts w:ascii="Cambria Math" w:hAnsi="Cambria Math" w:cs="SymbolMT"/>
                              <w:i/>
                              <w:sz w:val="23"/>
                              <w:szCs w:val="23"/>
                            </w:rPr>
                          </m:ctrlPr>
                        </m:sSubPr>
                        <m:e>
                          <m:r>
                            <w:rPr>
                              <w:rFonts w:ascii="Cambria Math" w:hAnsi="Cambria Math" w:cs="SymbolMT"/>
                              <w:sz w:val="23"/>
                              <w:szCs w:val="23"/>
                            </w:rPr>
                            <m:t>I</m:t>
                          </m:r>
                        </m:e>
                        <m:sub>
                          <m:d>
                            <m:dPr>
                              <m:ctrlPr>
                                <w:rPr>
                                  <w:rFonts w:ascii="Cambria Math" w:hAnsi="Cambria Math" w:cs="SymbolMT"/>
                                  <w:i/>
                                  <w:sz w:val="23"/>
                                  <w:szCs w:val="23"/>
                                </w:rPr>
                              </m:ctrlPr>
                            </m:dPr>
                            <m:e>
                              <m:r>
                                <w:rPr>
                                  <w:rFonts w:ascii="Cambria Math" w:hAnsi="Cambria Math" w:cs="SymbolMT"/>
                                  <w:sz w:val="23"/>
                                  <w:szCs w:val="23"/>
                                </w:rPr>
                                <m:t>t</m:t>
                              </m:r>
                              <m:r>
                                <w:rPr>
                                  <w:rFonts w:ascii="Cambria Math" w:hAnsi="Cambria Math" w:cs="SymbolMT"/>
                                  <w:sz w:val="23"/>
                                  <w:szCs w:val="23"/>
                                </w:rPr>
                                <m:t>+</m:t>
                              </m:r>
                              <m:r>
                                <m:rPr>
                                  <m:sty m:val="p"/>
                                </m:rPr>
                                <w:rPr>
                                  <w:rFonts w:ascii="Cambria Math" w:hAnsi="Cambria Math" w:cs="SymbolMT"/>
                                  <w:sz w:val="23"/>
                                  <w:szCs w:val="23"/>
                                </w:rPr>
                                <m:t>Δ</m:t>
                              </m:r>
                              <m:r>
                                <w:rPr>
                                  <w:rFonts w:ascii="Cambria Math" w:hAnsi="Cambria Math" w:cs="SymbolMT"/>
                                  <w:sz w:val="23"/>
                                  <w:szCs w:val="23"/>
                                </w:rPr>
                                <m:t>t</m:t>
                              </m:r>
                            </m:e>
                          </m:d>
                        </m:sub>
                      </m:sSub>
                      <m:r>
                        <w:rPr>
                          <w:rFonts w:ascii="Cambria Math" w:hAnsi="Cambria Math" w:cs="SymbolMT"/>
                          <w:sz w:val="23"/>
                          <w:szCs w:val="23"/>
                        </w:rPr>
                        <m:t>+</m:t>
                      </m:r>
                      <m:sSub>
                        <m:sSubPr>
                          <m:ctrlPr>
                            <w:rPr>
                              <w:rFonts w:ascii="Cambria Math" w:hAnsi="Cambria Math" w:cs="SymbolMT"/>
                              <w:i/>
                              <w:sz w:val="23"/>
                              <w:szCs w:val="23"/>
                            </w:rPr>
                          </m:ctrlPr>
                        </m:sSubPr>
                        <m:e>
                          <m:r>
                            <w:rPr>
                              <w:rFonts w:ascii="Cambria Math" w:hAnsi="Cambria Math" w:cs="SymbolMT"/>
                              <w:sz w:val="23"/>
                              <w:szCs w:val="23"/>
                            </w:rPr>
                            <m:t>I</m:t>
                          </m:r>
                        </m:e>
                        <m:sub>
                          <m:r>
                            <w:rPr>
                              <w:rFonts w:ascii="Cambria Math" w:hAnsi="Cambria Math" w:cs="SymbolMT"/>
                              <w:sz w:val="23"/>
                              <w:szCs w:val="23"/>
                            </w:rPr>
                            <m:t>t</m:t>
                          </m:r>
                        </m:sub>
                      </m:sSub>
                    </m:num>
                    <m:den>
                      <m:r>
                        <w:rPr>
                          <w:rFonts w:ascii="Cambria Math" w:hAnsi="Cambria Math" w:cs="SymbolMT"/>
                          <w:sz w:val="23"/>
                          <w:szCs w:val="23"/>
                        </w:rPr>
                        <m:t>2</m:t>
                      </m:r>
                    </m:den>
                  </m:f>
                  <m:r>
                    <w:rPr>
                      <w:rFonts w:ascii="Cambria Math" w:hAnsi="Cambria Math" w:cs="SymbolMT"/>
                      <w:sz w:val="23"/>
                      <w:szCs w:val="23"/>
                    </w:rPr>
                    <m:t>∙</m:t>
                  </m:r>
                  <m:sSub>
                    <m:sSubPr>
                      <m:ctrlPr>
                        <w:rPr>
                          <w:rFonts w:ascii="Cambria Math" w:hAnsi="Cambria Math" w:cs="SymbolMT"/>
                          <w:sz w:val="23"/>
                          <w:szCs w:val="23"/>
                        </w:rPr>
                      </m:ctrlPr>
                    </m:sSubPr>
                    <m:e>
                      <m:r>
                        <m:rPr>
                          <m:sty m:val="p"/>
                        </m:rPr>
                        <w:rPr>
                          <w:rFonts w:ascii="Cambria Math" w:hAnsi="Cambria Math" w:cs="SymbolMT"/>
                          <w:sz w:val="23"/>
                          <w:szCs w:val="23"/>
                        </w:rPr>
                        <m:t>Δ</m:t>
                      </m:r>
                    </m:e>
                    <m:sub>
                      <m:r>
                        <w:rPr>
                          <w:rFonts w:ascii="Cambria Math" w:hAnsi="Cambria Math" w:cs="SymbolMT"/>
                          <w:sz w:val="23"/>
                          <w:szCs w:val="23"/>
                        </w:rPr>
                        <m:t>t</m:t>
                      </m:r>
                    </m:sub>
                  </m:sSub>
                </m:e>
              </m:nary>
            </m:e>
          </m:d>
          <m:r>
            <w:rPr>
              <w:rFonts w:ascii="Cambria Math" w:hAnsi="Cambria Math" w:cs="SymbolMT"/>
              <w:sz w:val="23"/>
              <w:szCs w:val="23"/>
            </w:rPr>
            <m:t>∙</m:t>
          </m:r>
          <m:r>
            <w:rPr>
              <w:rFonts w:ascii="Cambria Math" w:hAnsi="Cambria Math" w:cs="SymbolMT"/>
              <w:sz w:val="23"/>
              <w:szCs w:val="23"/>
            </w:rPr>
            <m:t>4</m:t>
          </m:r>
          <m:r>
            <w:rPr>
              <w:rFonts w:ascii="Cambria Math" w:hAnsi="Cambria Math" w:cs="SymbolMT"/>
              <w:sz w:val="23"/>
              <w:szCs w:val="23"/>
            </w:rPr>
            <m:t>π</m:t>
          </m:r>
          <m:r>
            <w:rPr>
              <w:rFonts w:ascii="Cambria Math" w:hAnsi="Cambria Math" w:cs="SymbolMT"/>
              <w:sz w:val="23"/>
              <w:szCs w:val="23"/>
            </w:rPr>
            <m:t>∙</m:t>
          </m:r>
          <m:sSup>
            <m:sSupPr>
              <m:ctrlPr>
                <w:rPr>
                  <w:rFonts w:ascii="Cambria Math" w:hAnsi="Cambria Math" w:cs="SymbolMT"/>
                  <w:i/>
                  <w:sz w:val="23"/>
                  <w:szCs w:val="23"/>
                </w:rPr>
              </m:ctrlPr>
            </m:sSupPr>
            <m:e>
              <m:r>
                <w:rPr>
                  <w:rFonts w:ascii="Cambria Math" w:hAnsi="Cambria Math" w:cs="SymbolMT"/>
                  <w:sz w:val="23"/>
                  <w:szCs w:val="23"/>
                </w:rPr>
                <m:t>r</m:t>
              </m:r>
            </m:e>
            <m:sup>
              <m:r>
                <w:rPr>
                  <w:rFonts w:ascii="Cambria Math" w:hAnsi="Cambria Math" w:cs="SymbolMT"/>
                  <w:sz w:val="23"/>
                  <w:szCs w:val="23"/>
                </w:rPr>
                <m:t>2</m:t>
              </m:r>
            </m:sup>
          </m:sSup>
        </m:oMath>
      </m:oMathPara>
    </w:p>
    <w:p w14:paraId="0D9051C2" w14:textId="77777777" w:rsidR="00FD4219" w:rsidRDefault="00FD4219" w:rsidP="00BE2933">
      <w:pPr>
        <w:tabs>
          <w:tab w:val="left" w:pos="1418"/>
        </w:tabs>
        <w:spacing w:beforeLines="100" w:before="240" w:afterLines="100" w:after="240"/>
        <w:ind w:left="1985"/>
        <w:jc w:val="both"/>
        <w:rPr>
          <w:sz w:val="22"/>
        </w:rPr>
      </w:pPr>
      <w:r>
        <w:rPr>
          <w:sz w:val="22"/>
        </w:rPr>
        <w:lastRenderedPageBreak/>
        <w:t>The numerical integration of the</w:t>
      </w:r>
      <w:r w:rsidRPr="00ED425F">
        <w:rPr>
          <w:strike/>
          <w:sz w:val="22"/>
        </w:rPr>
        <w:t xml:space="preserve"> radiation intensities</w:t>
      </w:r>
      <w:r>
        <w:rPr>
          <w:sz w:val="22"/>
        </w:rPr>
        <w:t xml:space="preserve"> </w:t>
      </w:r>
      <w:r w:rsidRPr="00ED425F">
        <w:rPr>
          <w:rFonts w:hint="eastAsia"/>
          <w:b/>
          <w:sz w:val="22"/>
          <w:u w:val="single"/>
        </w:rPr>
        <w:t>irradiance</w:t>
      </w:r>
      <w:r>
        <w:rPr>
          <w:rFonts w:hint="eastAsia"/>
          <w:sz w:val="22"/>
        </w:rPr>
        <w:t xml:space="preserve"> </w:t>
      </w:r>
      <w:r>
        <w:rPr>
          <w:i/>
          <w:iCs/>
          <w:sz w:val="22"/>
        </w:rPr>
        <w:t>I</w:t>
      </w:r>
      <w:r>
        <w:rPr>
          <w:i/>
          <w:iCs/>
          <w:sz w:val="14"/>
          <w:szCs w:val="14"/>
        </w:rPr>
        <w:t xml:space="preserve">t </w:t>
      </w:r>
      <w:r>
        <w:rPr>
          <w:sz w:val="22"/>
        </w:rPr>
        <w:t>[</w:t>
      </w:r>
      <w:r w:rsidRPr="00ED425F">
        <w:rPr>
          <w:b/>
          <w:sz w:val="22"/>
          <w:u w:val="single"/>
        </w:rPr>
        <w:t>k</w:t>
      </w:r>
      <w:r>
        <w:rPr>
          <w:sz w:val="22"/>
        </w:rPr>
        <w:t>W/m</w:t>
      </w:r>
      <w:r w:rsidRPr="00BF73E6">
        <w:rPr>
          <w:sz w:val="22"/>
          <w:vertAlign w:val="superscript"/>
        </w:rPr>
        <w:t>2</w:t>
      </w:r>
      <w:r>
        <w:rPr>
          <w:sz w:val="22"/>
        </w:rPr>
        <w:t xml:space="preserve">] over the total burning time delivers </w:t>
      </w:r>
      <w:proofErr w:type="spellStart"/>
      <w:r>
        <w:rPr>
          <w:i/>
          <w:iCs/>
          <w:sz w:val="22"/>
        </w:rPr>
        <w:t>dose</w:t>
      </w:r>
      <w:r w:rsidRPr="009E6AD0">
        <w:rPr>
          <w:i/>
          <w:iCs/>
          <w:sz w:val="14"/>
          <w:szCs w:val="14"/>
          <w:vertAlign w:val="subscript"/>
        </w:rPr>
        <w:t>measured</w:t>
      </w:r>
      <w:proofErr w:type="spellEnd"/>
      <w:r w:rsidRPr="009E6AD0">
        <w:rPr>
          <w:i/>
          <w:iCs/>
          <w:sz w:val="14"/>
          <w:szCs w:val="14"/>
          <w:vertAlign w:val="subscript"/>
        </w:rPr>
        <w:t xml:space="preserve"> </w:t>
      </w:r>
      <w:r>
        <w:rPr>
          <w:sz w:val="22"/>
        </w:rPr>
        <w:t xml:space="preserve">[kJ] at the distance </w:t>
      </w:r>
      <w:r>
        <w:rPr>
          <w:i/>
          <w:iCs/>
          <w:sz w:val="22"/>
        </w:rPr>
        <w:t xml:space="preserve">r </w:t>
      </w:r>
      <w:r>
        <w:rPr>
          <w:sz w:val="22"/>
        </w:rPr>
        <w:t>[m].</w:t>
      </w:r>
    </w:p>
    <w:p w14:paraId="749D2A68" w14:textId="03EDC724" w:rsidR="00FD4219" w:rsidRDefault="00FD4219" w:rsidP="00BE2933">
      <w:pPr>
        <w:spacing w:beforeLines="100" w:before="240" w:afterLines="100" w:after="240"/>
        <w:ind w:left="1985" w:hanging="567"/>
        <w:jc w:val="both"/>
        <w:rPr>
          <w:sz w:val="22"/>
        </w:rPr>
      </w:pPr>
      <w:r>
        <w:rPr>
          <w:sz w:val="22"/>
        </w:rPr>
        <w:t xml:space="preserve">(d) </w:t>
      </w:r>
      <w:r w:rsidR="00BE2933">
        <w:rPr>
          <w:sz w:val="22"/>
        </w:rPr>
        <w:tab/>
      </w:r>
      <w:r>
        <w:rPr>
          <w:sz w:val="22"/>
        </w:rPr>
        <w:t xml:space="preserve">To this end a graph is made showing the </w:t>
      </w:r>
      <w:r w:rsidRPr="00ED425F">
        <w:rPr>
          <w:strike/>
          <w:sz w:val="22"/>
        </w:rPr>
        <w:t xml:space="preserve">radiation level </w:t>
      </w:r>
      <w:r w:rsidRPr="00ED425F">
        <w:rPr>
          <w:rFonts w:hint="eastAsia"/>
          <w:b/>
          <w:sz w:val="22"/>
          <w:u w:val="single"/>
        </w:rPr>
        <w:t xml:space="preserve">irradiance </w:t>
      </w:r>
      <w:r>
        <w:rPr>
          <w:i/>
          <w:iCs/>
          <w:sz w:val="22"/>
        </w:rPr>
        <w:t xml:space="preserve">I </w:t>
      </w:r>
      <w:r>
        <w:rPr>
          <w:sz w:val="22"/>
        </w:rPr>
        <w:t>[kW/m</w:t>
      </w:r>
      <w:r w:rsidRPr="00BF73E6">
        <w:rPr>
          <w:sz w:val="22"/>
          <w:vertAlign w:val="superscript"/>
        </w:rPr>
        <w:t>2</w:t>
      </w:r>
      <w:r>
        <w:rPr>
          <w:sz w:val="22"/>
        </w:rPr>
        <w:t>] as a function of time. The complete radiation dose is calculated by integration of the smoothed and corrected</w:t>
      </w:r>
      <w:r>
        <w:rPr>
          <w:rFonts w:hint="eastAsia"/>
          <w:sz w:val="22"/>
        </w:rPr>
        <w:t xml:space="preserve"> </w:t>
      </w:r>
      <w:r>
        <w:rPr>
          <w:sz w:val="22"/>
        </w:rPr>
        <w:t>curve down</w:t>
      </w:r>
      <w:r w:rsidRPr="00ED425F">
        <w:rPr>
          <w:strike/>
          <w:sz w:val="22"/>
        </w:rPr>
        <w:t xml:space="preserve"> to 1 %</w:t>
      </w:r>
      <w:r>
        <w:rPr>
          <w:sz w:val="22"/>
        </w:rPr>
        <w:t xml:space="preserve"> to  5 % of </w:t>
      </w:r>
      <w:r>
        <w:rPr>
          <w:i/>
          <w:iCs/>
          <w:sz w:val="22"/>
        </w:rPr>
        <w:t>I</w:t>
      </w:r>
      <w:r>
        <w:rPr>
          <w:i/>
          <w:iCs/>
          <w:sz w:val="14"/>
          <w:szCs w:val="14"/>
        </w:rPr>
        <w:t>max</w:t>
      </w:r>
      <w:r>
        <w:rPr>
          <w:sz w:val="22"/>
        </w:rPr>
        <w:t>;</w:t>
      </w:r>
    </w:p>
    <w:p w14:paraId="4C70DB0E" w14:textId="04C3EA06" w:rsidR="00FD4219" w:rsidRDefault="00FD4219" w:rsidP="00BE2933">
      <w:pPr>
        <w:spacing w:beforeLines="100" w:before="240" w:afterLines="100" w:after="240"/>
        <w:ind w:left="1985" w:hanging="567"/>
        <w:jc w:val="both"/>
        <w:rPr>
          <w:sz w:val="22"/>
        </w:rPr>
      </w:pPr>
      <w:r>
        <w:rPr>
          <w:sz w:val="22"/>
        </w:rPr>
        <w:t xml:space="preserve">(e) </w:t>
      </w:r>
      <w:r w:rsidR="00BE2933">
        <w:rPr>
          <w:sz w:val="22"/>
        </w:rPr>
        <w:tab/>
      </w:r>
      <w:proofErr w:type="spellStart"/>
      <w:r>
        <w:rPr>
          <w:i/>
          <w:iCs/>
          <w:sz w:val="22"/>
        </w:rPr>
        <w:t>I</w:t>
      </w:r>
      <w:r>
        <w:rPr>
          <w:i/>
          <w:iCs/>
          <w:sz w:val="14"/>
          <w:szCs w:val="14"/>
        </w:rPr>
        <w:t>relevant</w:t>
      </w:r>
      <w:proofErr w:type="spellEnd"/>
      <w:r>
        <w:rPr>
          <w:i/>
          <w:iCs/>
          <w:sz w:val="14"/>
          <w:szCs w:val="14"/>
        </w:rPr>
        <w:t xml:space="preserve"> </w:t>
      </w:r>
      <w:r>
        <w:rPr>
          <w:sz w:val="22"/>
        </w:rPr>
        <w:t xml:space="preserve">is obtained from the maximum of the </w:t>
      </w:r>
      <w:r w:rsidRPr="00ED425F">
        <w:rPr>
          <w:b/>
          <w:sz w:val="22"/>
          <w:u w:val="single"/>
        </w:rPr>
        <w:t>s</w:t>
      </w:r>
      <w:r w:rsidRPr="00ED425F">
        <w:rPr>
          <w:rFonts w:hint="eastAsia"/>
          <w:b/>
          <w:sz w:val="22"/>
          <w:u w:val="single"/>
        </w:rPr>
        <w:t xml:space="preserve">moothed and corrected </w:t>
      </w:r>
      <w:r w:rsidRPr="008851E1">
        <w:rPr>
          <w:sz w:val="22"/>
        </w:rPr>
        <w:t xml:space="preserve">curve of </w:t>
      </w:r>
      <w:r w:rsidRPr="00ED425F">
        <w:rPr>
          <w:rFonts w:hint="eastAsia"/>
          <w:b/>
          <w:sz w:val="22"/>
          <w:u w:val="single"/>
        </w:rPr>
        <w:t xml:space="preserve">the measured </w:t>
      </w:r>
      <w:r w:rsidRPr="008851E1">
        <w:rPr>
          <w:sz w:val="22"/>
        </w:rPr>
        <w:t>heat radiation</w:t>
      </w:r>
      <w:r w:rsidRPr="00ED425F">
        <w:rPr>
          <w:rFonts w:hint="eastAsia"/>
          <w:b/>
          <w:sz w:val="22"/>
          <w:u w:val="single"/>
        </w:rPr>
        <w:t>.</w:t>
      </w:r>
      <w:r w:rsidRPr="00ED425F">
        <w:rPr>
          <w:b/>
          <w:sz w:val="22"/>
          <w:u w:val="single"/>
        </w:rPr>
        <w:t xml:space="preserve"> </w:t>
      </w:r>
      <w:proofErr w:type="spellStart"/>
      <w:r w:rsidRPr="00ED425F">
        <w:rPr>
          <w:b/>
          <w:i/>
          <w:iCs/>
          <w:sz w:val="22"/>
          <w:u w:val="single"/>
        </w:rPr>
        <w:t>I</w:t>
      </w:r>
      <w:r w:rsidRPr="00ED425F">
        <w:rPr>
          <w:b/>
          <w:i/>
          <w:iCs/>
          <w:sz w:val="22"/>
          <w:u w:val="single"/>
          <w:vertAlign w:val="subscript"/>
        </w:rPr>
        <w:t>calculated</w:t>
      </w:r>
      <w:proofErr w:type="spellEnd"/>
      <w:r w:rsidRPr="00ED425F">
        <w:rPr>
          <w:b/>
          <w:sz w:val="22"/>
          <w:u w:val="single"/>
        </w:rPr>
        <w:t xml:space="preserve"> </w:t>
      </w:r>
      <w:r w:rsidRPr="00ED425F">
        <w:rPr>
          <w:strike/>
          <w:sz w:val="22"/>
        </w:rPr>
        <w:t>calculated</w:t>
      </w:r>
      <w:r w:rsidRPr="008851E1">
        <w:rPr>
          <w:sz w:val="22"/>
        </w:rPr>
        <w:t xml:space="preserve"> </w:t>
      </w:r>
      <w:r w:rsidRPr="00ED425F">
        <w:rPr>
          <w:rFonts w:hint="eastAsia"/>
          <w:b/>
          <w:sz w:val="22"/>
          <w:u w:val="single"/>
        </w:rPr>
        <w:t xml:space="preserve">is the </w:t>
      </w:r>
      <w:r w:rsidRPr="00ED425F">
        <w:rPr>
          <w:strike/>
          <w:sz w:val="22"/>
        </w:rPr>
        <w:t>as</w:t>
      </w:r>
      <w:r w:rsidRPr="008851E1">
        <w:rPr>
          <w:sz w:val="22"/>
        </w:rPr>
        <w:t xml:space="preserve"> average value of the radiation </w:t>
      </w:r>
      <w:r w:rsidRPr="00ED425F">
        <w:rPr>
          <w:rFonts w:hint="eastAsia"/>
          <w:b/>
          <w:sz w:val="22"/>
          <w:u w:val="single"/>
        </w:rPr>
        <w:t xml:space="preserve">obtained </w:t>
      </w:r>
      <w:r w:rsidRPr="008851E1">
        <w:rPr>
          <w:sz w:val="22"/>
        </w:rPr>
        <w:t xml:space="preserve">by converting the integrated area in a rectangle of equal size during the same </w:t>
      </w:r>
      <w:r w:rsidRPr="00ED425F">
        <w:rPr>
          <w:rFonts w:hint="eastAsia"/>
          <w:b/>
          <w:sz w:val="22"/>
          <w:u w:val="single"/>
        </w:rPr>
        <w:t xml:space="preserve">total burning </w:t>
      </w:r>
      <w:r w:rsidRPr="008851E1">
        <w:rPr>
          <w:sz w:val="22"/>
        </w:rPr>
        <w:t>time</w:t>
      </w:r>
      <w:r w:rsidRPr="00ED425F">
        <w:rPr>
          <w:strike/>
          <w:sz w:val="22"/>
        </w:rPr>
        <w:t xml:space="preserve"> span</w:t>
      </w:r>
      <w:r w:rsidRPr="00ED425F">
        <w:rPr>
          <w:b/>
          <w:sz w:val="22"/>
          <w:u w:val="single"/>
        </w:rPr>
        <w:t xml:space="preserve"> </w:t>
      </w:r>
      <w:r w:rsidRPr="00ED425F">
        <w:rPr>
          <w:rFonts w:hint="eastAsia"/>
          <w:b/>
          <w:sz w:val="22"/>
          <w:u w:val="single"/>
        </w:rPr>
        <w:t xml:space="preserve">(see </w:t>
      </w:r>
      <w:r w:rsidR="001C2E02">
        <w:rPr>
          <w:b/>
          <w:sz w:val="22"/>
          <w:u w:val="single"/>
        </w:rPr>
        <w:t>f</w:t>
      </w:r>
      <w:r w:rsidRPr="00ED425F">
        <w:rPr>
          <w:rFonts w:hint="eastAsia"/>
          <w:b/>
          <w:sz w:val="22"/>
          <w:u w:val="single"/>
        </w:rPr>
        <w:t>igure 51.4.1)</w:t>
      </w:r>
      <w:r>
        <w:rPr>
          <w:sz w:val="22"/>
        </w:rPr>
        <w:t>;</w:t>
      </w:r>
    </w:p>
    <w:p w14:paraId="20908AEB" w14:textId="199C3ABE" w:rsidR="00FD4219" w:rsidRDefault="00FD4219" w:rsidP="00BE2933">
      <w:pPr>
        <w:spacing w:beforeLines="100" w:before="240" w:afterLines="100" w:after="240"/>
        <w:ind w:left="1985" w:hanging="567"/>
        <w:jc w:val="both"/>
        <w:rPr>
          <w:sz w:val="22"/>
        </w:rPr>
      </w:pPr>
      <w:r>
        <w:rPr>
          <w:sz w:val="22"/>
        </w:rPr>
        <w:t xml:space="preserve">(f) </w:t>
      </w:r>
      <w:r w:rsidR="00BE2933">
        <w:rPr>
          <w:sz w:val="22"/>
        </w:rPr>
        <w:tab/>
      </w:r>
      <w:r>
        <w:rPr>
          <w:sz w:val="22"/>
        </w:rPr>
        <w:t xml:space="preserve">The form factor </w:t>
      </w:r>
      <w:r>
        <w:rPr>
          <w:i/>
          <w:iCs/>
          <w:sz w:val="22"/>
        </w:rPr>
        <w:t xml:space="preserve">f </w:t>
      </w:r>
      <w:r>
        <w:rPr>
          <w:sz w:val="22"/>
        </w:rPr>
        <w:t>that must be taken into account during the maximum fire intensity can be averaged from the formula:</w:t>
      </w:r>
    </w:p>
    <w:p w14:paraId="642E2340" w14:textId="77777777" w:rsidR="00FD4219" w:rsidRDefault="00FD4219" w:rsidP="00BE2933">
      <w:pPr>
        <w:tabs>
          <w:tab w:val="left" w:pos="1418"/>
        </w:tabs>
        <w:spacing w:beforeLines="100" w:before="240" w:afterLines="100" w:after="240"/>
        <w:jc w:val="both"/>
        <w:rPr>
          <w:sz w:val="22"/>
        </w:rPr>
      </w:pPr>
      <m:oMathPara>
        <m:oMath>
          <m:r>
            <w:rPr>
              <w:rFonts w:ascii="Cambria Math" w:eastAsia="Cambria Math" w:hAnsi="Cambria Math" w:cs="Cambria Math"/>
              <w:sz w:val="22"/>
            </w:rPr>
            <m:t>f</m:t>
          </m:r>
          <m:r>
            <m:rPr>
              <m:sty m:val="p"/>
            </m:rPr>
            <w:rPr>
              <w:rFonts w:ascii="Cambria Math" w:eastAsia="Cambria Math" w:hAnsi="Cambria Math" w:cs="Cambria Math"/>
              <w:sz w:val="22"/>
            </w:rPr>
            <m:t>=</m:t>
          </m:r>
          <m:f>
            <m:fPr>
              <m:ctrlPr>
                <w:rPr>
                  <w:rFonts w:ascii="Cambria Math" w:eastAsia="Cambria Math" w:hAnsi="Cambria Math"/>
                  <w:sz w:val="22"/>
                </w:rPr>
              </m:ctrlPr>
            </m:fPr>
            <m:num>
              <m:sSub>
                <m:sSubPr>
                  <m:ctrlPr>
                    <w:rPr>
                      <w:rFonts w:ascii="Cambria Math" w:eastAsia="Cambria Math" w:hAnsi="Cambria Math" w:cs="Cambria Math"/>
                      <w:sz w:val="22"/>
                    </w:rPr>
                  </m:ctrlPr>
                </m:sSubPr>
                <m:e>
                  <m:r>
                    <w:rPr>
                      <w:rFonts w:ascii="Cambria Math" w:eastAsia="Cambria Math" w:hAnsi="Cambria Math" w:cs="Cambria Math"/>
                      <w:sz w:val="22"/>
                    </w:rPr>
                    <m:t>I</m:t>
                  </m:r>
                </m:e>
                <m:sub>
                  <m:r>
                    <w:rPr>
                      <w:rFonts w:ascii="Cambria Math" w:eastAsia="Cambria Math" w:hAnsi="Cambria Math" w:cs="Cambria Math"/>
                      <w:sz w:val="22"/>
                    </w:rPr>
                    <m:t>relevant</m:t>
                  </m:r>
                </m:sub>
              </m:sSub>
            </m:num>
            <m:den>
              <m:sSub>
                <m:sSubPr>
                  <m:ctrlPr>
                    <w:rPr>
                      <w:rFonts w:ascii="Cambria Math" w:eastAsia="Cambria Math" w:hAnsi="Cambria Math" w:cs="Cambria Math"/>
                      <w:sz w:val="22"/>
                    </w:rPr>
                  </m:ctrlPr>
                </m:sSubPr>
                <m:e>
                  <m:r>
                    <w:rPr>
                      <w:rFonts w:ascii="Cambria Math" w:eastAsia="Cambria Math" w:hAnsi="Cambria Math" w:cs="Cambria Math"/>
                      <w:sz w:val="22"/>
                    </w:rPr>
                    <m:t>I</m:t>
                  </m:r>
                </m:e>
                <m:sub>
                  <m:r>
                    <w:rPr>
                      <w:rFonts w:ascii="Cambria Math" w:eastAsia="Cambria Math" w:hAnsi="Cambria Math" w:cs="Cambria Math"/>
                      <w:sz w:val="22"/>
                    </w:rPr>
                    <m:t>calculated</m:t>
                  </m:r>
                </m:sub>
              </m:sSub>
            </m:den>
          </m:f>
        </m:oMath>
      </m:oMathPara>
    </w:p>
    <w:p w14:paraId="590B2BD6" w14:textId="08A87C2E" w:rsidR="00FD4219" w:rsidRDefault="00BE2933" w:rsidP="00BE2933">
      <w:pPr>
        <w:tabs>
          <w:tab w:val="left" w:pos="1418"/>
          <w:tab w:val="left" w:pos="1985"/>
        </w:tabs>
        <w:spacing w:beforeLines="100" w:before="240" w:afterLines="100" w:after="240"/>
        <w:jc w:val="both"/>
        <w:rPr>
          <w:sz w:val="22"/>
        </w:rPr>
      </w:pPr>
      <w:r>
        <w:rPr>
          <w:sz w:val="22"/>
        </w:rPr>
        <w:tab/>
      </w:r>
      <w:r w:rsidR="00FD4219">
        <w:rPr>
          <w:sz w:val="22"/>
        </w:rPr>
        <w:t xml:space="preserve">(g) </w:t>
      </w:r>
      <w:r>
        <w:rPr>
          <w:sz w:val="22"/>
        </w:rPr>
        <w:tab/>
      </w:r>
      <w:r w:rsidR="00FD4219">
        <w:rPr>
          <w:sz w:val="22"/>
        </w:rPr>
        <w:t xml:space="preserve">The corrected burning rate </w:t>
      </w:r>
      <w:r w:rsidR="00FD4219">
        <w:rPr>
          <w:i/>
          <w:iCs/>
          <w:sz w:val="22"/>
        </w:rPr>
        <w:t>A</w:t>
      </w:r>
      <w:r w:rsidR="00FD4219">
        <w:rPr>
          <w:i/>
          <w:iCs/>
          <w:sz w:val="22"/>
          <w:vertAlign w:val="subscript"/>
        </w:rPr>
        <w:t xml:space="preserve">c </w:t>
      </w:r>
      <w:r w:rsidR="00FD4219">
        <w:rPr>
          <w:i/>
          <w:iCs/>
          <w:sz w:val="14"/>
          <w:szCs w:val="14"/>
        </w:rPr>
        <w:t xml:space="preserve"> </w:t>
      </w:r>
      <w:r w:rsidR="00FD4219">
        <w:rPr>
          <w:sz w:val="22"/>
        </w:rPr>
        <w:t>is calculated as follows:</w:t>
      </w:r>
    </w:p>
    <w:p w14:paraId="73795396" w14:textId="77777777" w:rsidR="003F6A6C" w:rsidRPr="00601498" w:rsidRDefault="00090B32" w:rsidP="00601498">
      <w:pPr>
        <w:pStyle w:val="MSubp1"/>
        <w:tabs>
          <w:tab w:val="clear" w:pos="1985"/>
        </w:tabs>
        <w:ind w:left="1418" w:hanging="1418"/>
        <w:jc w:val="center"/>
        <w:rPr>
          <w:rFonts w:asciiTheme="majorBidi" w:hAnsiTheme="majorBidi" w:cstheme="majorBidi"/>
          <w:iCs/>
        </w:rPr>
      </w:pPr>
      <m:oMathPara>
        <m:oMath>
          <m:sSub>
            <m:sSubPr>
              <m:ctrlPr>
                <w:rPr>
                  <w:rFonts w:ascii="Cambria Math" w:hAnsi="Cambria Math" w:cstheme="majorBidi"/>
                  <w:i/>
                </w:rPr>
              </m:ctrlPr>
            </m:sSubPr>
            <m:e>
              <m:r>
                <m:rPr>
                  <m:nor/>
                </m:rPr>
                <w:rPr>
                  <w:rFonts w:asciiTheme="majorBidi" w:hAnsiTheme="majorBidi" w:cstheme="majorBidi"/>
                  <w:i/>
                </w:rPr>
                <m:t>A</m:t>
              </m:r>
            </m:e>
            <m:sub>
              <m:r>
                <m:rPr>
                  <m:nor/>
                </m:rPr>
                <w:rPr>
                  <w:rFonts w:asciiTheme="majorBidi" w:hAnsiTheme="majorBidi" w:cstheme="majorBidi"/>
                  <w:i/>
                </w:rPr>
                <m:t>c</m:t>
              </m:r>
            </m:sub>
          </m:sSub>
          <m:r>
            <m:rPr>
              <m:nor/>
            </m:rPr>
            <w:rPr>
              <w:rFonts w:asciiTheme="majorBidi" w:hAnsiTheme="majorBidi" w:cstheme="majorBidi"/>
              <w:iCs/>
            </w:rPr>
            <m:t> =</m:t>
          </m:r>
          <m:sSub>
            <m:sSubPr>
              <m:ctrlPr>
                <w:rPr>
                  <w:rFonts w:ascii="Cambria Math" w:hAnsi="Cambria Math" w:cstheme="majorBidi"/>
                  <w:iCs/>
                </w:rPr>
              </m:ctrlPr>
            </m:sSubPr>
            <m:e>
              <m:r>
                <m:rPr>
                  <m:nor/>
                </m:rPr>
                <w:rPr>
                  <w:rFonts w:asciiTheme="majorBidi" w:hAnsiTheme="majorBidi" w:cstheme="majorBidi"/>
                  <w:i/>
                </w:rPr>
                <m:t>A</m:t>
              </m:r>
            </m:e>
            <m:sub>
              <m:r>
                <m:rPr>
                  <m:nor/>
                </m:rPr>
                <w:rPr>
                  <w:rFonts w:asciiTheme="majorBidi" w:hAnsiTheme="majorBidi" w:cstheme="majorBidi"/>
                  <w:iCs/>
                </w:rPr>
                <m:t>10</m:t>
              </m:r>
              <m:r>
                <m:rPr>
                  <m:nor/>
                </m:rPr>
                <w:rPr>
                  <w:rFonts w:asciiTheme="majorBidi" w:hAnsiTheme="majorBidi" w:cstheme="majorBidi"/>
                  <w:i/>
                </w:rPr>
                <m:t>t</m:t>
              </m:r>
            </m:sub>
          </m:sSub>
          <m:r>
            <m:rPr>
              <m:nor/>
            </m:rPr>
            <w:rPr>
              <w:rFonts w:asciiTheme="majorBidi" w:hAnsiTheme="majorBidi" w:cstheme="majorBidi"/>
              <w:iCs/>
            </w:rPr>
            <m:t> </m:t>
          </m:r>
          <m:r>
            <m:rPr>
              <m:nor/>
            </m:rPr>
            <w:rPr>
              <w:rFonts w:ascii="Cambria Math" w:hAnsi="Cambria Math" w:cs="Cambria Math"/>
              <w:iCs/>
            </w:rPr>
            <m:t>⋅</m:t>
          </m:r>
          <m:r>
            <m:rPr>
              <m:nor/>
            </m:rPr>
            <w:rPr>
              <w:rFonts w:asciiTheme="majorBidi" w:hAnsiTheme="majorBidi" w:cstheme="majorBidi"/>
              <w:iCs/>
            </w:rPr>
            <m:t> </m:t>
          </m:r>
          <m:f>
            <m:fPr>
              <m:ctrlPr>
                <w:rPr>
                  <w:rFonts w:ascii="Cambria Math" w:hAnsi="Cambria Math" w:cstheme="majorBidi"/>
                  <w:iCs/>
                </w:rPr>
              </m:ctrlPr>
            </m:fPr>
            <m:num>
              <m:sSub>
                <m:sSubPr>
                  <m:ctrlPr>
                    <w:rPr>
                      <w:rFonts w:ascii="Cambria Math" w:hAnsi="Cambria Math" w:cstheme="majorBidi"/>
                      <w:i/>
                    </w:rPr>
                  </m:ctrlPr>
                </m:sSubPr>
                <m:e>
                  <m:r>
                    <m:rPr>
                      <m:nor/>
                    </m:rPr>
                    <w:rPr>
                      <w:rFonts w:asciiTheme="majorBidi" w:hAnsiTheme="majorBidi" w:cstheme="majorBidi"/>
                      <w:i/>
                    </w:rPr>
                    <m:t>H</m:t>
                  </m:r>
                </m:e>
                <m:sub>
                  <m:r>
                    <m:rPr>
                      <m:nor/>
                    </m:rPr>
                    <w:rPr>
                      <w:rFonts w:asciiTheme="majorBidi" w:hAnsiTheme="majorBidi" w:cstheme="majorBidi"/>
                      <w:i/>
                    </w:rPr>
                    <m:t>v</m:t>
                  </m:r>
                </m:sub>
              </m:sSub>
            </m:num>
            <m:den>
              <m:r>
                <m:rPr>
                  <m:nor/>
                </m:rPr>
                <w:rPr>
                  <w:rFonts w:asciiTheme="majorBidi" w:hAnsiTheme="majorBidi" w:cstheme="majorBidi"/>
                  <w:iCs/>
                </w:rPr>
                <m:t>33 500</m:t>
              </m:r>
            </m:den>
          </m:f>
          <m:r>
            <m:rPr>
              <m:nor/>
            </m:rPr>
            <w:rPr>
              <w:rFonts w:asciiTheme="majorBidi" w:hAnsiTheme="majorBidi" w:cstheme="majorBidi"/>
              <w:iCs/>
            </w:rPr>
            <m:t> </m:t>
          </m:r>
          <m:r>
            <m:rPr>
              <m:nor/>
            </m:rPr>
            <w:rPr>
              <w:rFonts w:ascii="Cambria Math" w:hAnsi="Cambria Math" w:cs="Cambria Math"/>
              <w:iCs/>
            </w:rPr>
            <m:t>⋅</m:t>
          </m:r>
          <m:r>
            <m:rPr>
              <m:nor/>
            </m:rPr>
            <w:rPr>
              <w:rFonts w:asciiTheme="majorBidi" w:hAnsiTheme="majorBidi" w:cstheme="majorBidi"/>
              <w:iCs/>
            </w:rPr>
            <m:t> </m:t>
          </m:r>
          <m:f>
            <m:fPr>
              <m:ctrlPr>
                <w:rPr>
                  <w:rFonts w:ascii="Cambria Math" w:hAnsi="Cambria Math" w:cstheme="majorBidi"/>
                  <w:iCs/>
                </w:rPr>
              </m:ctrlPr>
            </m:fPr>
            <m:num>
              <m:r>
                <m:rPr>
                  <m:nor/>
                </m:rPr>
                <w:rPr>
                  <w:rFonts w:asciiTheme="majorBidi" w:hAnsiTheme="majorBidi" w:cstheme="majorBidi"/>
                  <w:i/>
                </w:rPr>
                <m:t>η</m:t>
              </m:r>
            </m:num>
            <m:den>
              <m:r>
                <m:rPr>
                  <m:nor/>
                </m:rPr>
                <w:rPr>
                  <w:rFonts w:asciiTheme="majorBidi" w:hAnsiTheme="majorBidi" w:cstheme="majorBidi"/>
                  <w:iCs/>
                </w:rPr>
                <m:t>0.25</m:t>
              </m:r>
            </m:den>
          </m:f>
          <m:r>
            <m:rPr>
              <m:nor/>
            </m:rPr>
            <w:rPr>
              <w:rFonts w:asciiTheme="majorBidi" w:hAnsiTheme="majorBidi" w:cstheme="majorBidi"/>
              <w:iCs/>
            </w:rPr>
            <m:t> </m:t>
          </m:r>
          <m:r>
            <m:rPr>
              <m:nor/>
            </m:rPr>
            <w:rPr>
              <w:rFonts w:ascii="Cambria Math" w:hAnsi="Cambria Math" w:cs="Cambria Math"/>
              <w:iCs/>
            </w:rPr>
            <m:t>⋅</m:t>
          </m:r>
          <m:r>
            <m:rPr>
              <m:nor/>
            </m:rPr>
            <w:rPr>
              <w:rFonts w:asciiTheme="majorBidi" w:hAnsiTheme="majorBidi" w:cstheme="majorBidi"/>
              <w:iCs/>
            </w:rPr>
            <m:t> </m:t>
          </m:r>
          <m:f>
            <m:fPr>
              <m:ctrlPr>
                <w:rPr>
                  <w:rFonts w:ascii="Cambria Math" w:hAnsi="Cambria Math" w:cstheme="majorBidi"/>
                  <w:iCs/>
                </w:rPr>
              </m:ctrlPr>
            </m:fPr>
            <m:num>
              <m:r>
                <m:rPr>
                  <m:nor/>
                </m:rPr>
                <w:rPr>
                  <w:rFonts w:asciiTheme="majorBidi" w:hAnsiTheme="majorBidi" w:cstheme="majorBidi"/>
                  <w:i/>
                </w:rPr>
                <m:t>f</m:t>
              </m:r>
            </m:num>
            <m:den>
              <m:r>
                <m:rPr>
                  <m:nor/>
                </m:rPr>
                <w:rPr>
                  <w:rFonts w:asciiTheme="majorBidi" w:hAnsiTheme="majorBidi" w:cstheme="majorBidi"/>
                  <w:iCs/>
                </w:rPr>
                <m:t>2.78</m:t>
              </m:r>
            </m:den>
          </m:f>
        </m:oMath>
      </m:oMathPara>
    </w:p>
    <w:p w14:paraId="6219B077" w14:textId="27DB91FE" w:rsidR="00FD4219" w:rsidRDefault="00FD4219" w:rsidP="00BE2933">
      <w:pPr>
        <w:tabs>
          <w:tab w:val="left" w:pos="1418"/>
        </w:tabs>
        <w:spacing w:beforeLines="100" w:before="240" w:afterLines="100" w:after="240"/>
        <w:ind w:left="1985"/>
        <w:jc w:val="both"/>
        <w:rPr>
          <w:sz w:val="22"/>
        </w:rPr>
      </w:pPr>
      <w:r>
        <w:rPr>
          <w:sz w:val="22"/>
        </w:rPr>
        <w:t xml:space="preserve">Where </w:t>
      </w:r>
      <w:r>
        <w:rPr>
          <w:i/>
          <w:iCs/>
          <w:sz w:val="22"/>
        </w:rPr>
        <w:t>H</w:t>
      </w:r>
      <w:r w:rsidRPr="00670FE3">
        <w:rPr>
          <w:i/>
          <w:iCs/>
          <w:sz w:val="22"/>
          <w:vertAlign w:val="subscript"/>
        </w:rPr>
        <w:t>v</w:t>
      </w:r>
      <w:r>
        <w:rPr>
          <w:i/>
          <w:iCs/>
          <w:sz w:val="14"/>
          <w:szCs w:val="14"/>
        </w:rPr>
        <w:t xml:space="preserve"> </w:t>
      </w:r>
      <w:r>
        <w:rPr>
          <w:sz w:val="22"/>
        </w:rPr>
        <w:t xml:space="preserve">is the heat of combustion of the substance [kJ/kg] (i.e. reaction enthalpy of the burning reaction); </w:t>
      </w:r>
      <w:r>
        <w:rPr>
          <w:rFonts w:hint="eastAsia"/>
          <w:i/>
          <w:iCs/>
          <w:sz w:val="22"/>
        </w:rPr>
        <w:t>η</w:t>
      </w:r>
      <w:r>
        <w:rPr>
          <w:rFonts w:ascii="TimesNewRomanPS-ItalicMT" w:hAnsi="TimesNewRomanPS-ItalicMT" w:cs="TimesNewRomanPS-ItalicMT"/>
          <w:i/>
          <w:iCs/>
          <w:sz w:val="22"/>
        </w:rPr>
        <w:t xml:space="preserve"> </w:t>
      </w:r>
      <w:r>
        <w:rPr>
          <w:sz w:val="22"/>
        </w:rPr>
        <w:t xml:space="preserve">is the radiation efficiency and </w:t>
      </w:r>
      <w:r>
        <w:rPr>
          <w:i/>
          <w:iCs/>
          <w:sz w:val="22"/>
        </w:rPr>
        <w:t>f</w:t>
      </w:r>
      <w:r w:rsidRPr="005D058C">
        <w:rPr>
          <w:rFonts w:hint="eastAsia"/>
          <w:b/>
          <w:i/>
          <w:iCs/>
          <w:sz w:val="22"/>
          <w:u w:val="single"/>
        </w:rPr>
        <w:t xml:space="preserve"> is</w:t>
      </w:r>
      <w:r>
        <w:rPr>
          <w:i/>
          <w:iCs/>
          <w:sz w:val="22"/>
        </w:rPr>
        <w:t xml:space="preserve"> </w:t>
      </w:r>
      <w:r>
        <w:rPr>
          <w:sz w:val="22"/>
        </w:rPr>
        <w:t xml:space="preserve">the form factor. </w:t>
      </w:r>
      <w:r>
        <w:rPr>
          <w:i/>
          <w:iCs/>
          <w:sz w:val="22"/>
        </w:rPr>
        <w:t>A</w:t>
      </w:r>
      <w:r>
        <w:rPr>
          <w:i/>
          <w:iCs/>
          <w:sz w:val="14"/>
          <w:szCs w:val="14"/>
        </w:rPr>
        <w:t xml:space="preserve">C </w:t>
      </w:r>
      <w:r>
        <w:rPr>
          <w:sz w:val="22"/>
        </w:rPr>
        <w:t>is the corrected burning rate [kg/min] for a quantity of 10</w:t>
      </w:r>
      <w:r w:rsidR="0050428A">
        <w:rPr>
          <w:sz w:val="22"/>
        </w:rPr>
        <w:t> </w:t>
      </w:r>
      <w:r>
        <w:rPr>
          <w:sz w:val="22"/>
        </w:rPr>
        <w:t>000</w:t>
      </w:r>
      <w:r w:rsidR="0050428A">
        <w:rPr>
          <w:sz w:val="22"/>
        </w:rPr>
        <w:t> </w:t>
      </w:r>
      <w:r>
        <w:rPr>
          <w:sz w:val="22"/>
        </w:rPr>
        <w:t>kg.</w:t>
      </w:r>
    </w:p>
    <w:p w14:paraId="0E93A631" w14:textId="1AF8FCD2" w:rsidR="00FD4219" w:rsidRDefault="00FD4219" w:rsidP="00BE2933">
      <w:pPr>
        <w:tabs>
          <w:tab w:val="left" w:pos="1418"/>
        </w:tabs>
        <w:spacing w:beforeLines="100" w:before="240" w:afterLines="100" w:after="240"/>
        <w:jc w:val="both"/>
        <w:rPr>
          <w:sz w:val="22"/>
        </w:rPr>
      </w:pPr>
      <w:r>
        <w:rPr>
          <w:sz w:val="22"/>
        </w:rPr>
        <w:t>51.4.4.3</w:t>
      </w:r>
      <w:r w:rsidR="00BE2933">
        <w:rPr>
          <w:sz w:val="22"/>
        </w:rPr>
        <w:tab/>
      </w:r>
      <w:r>
        <w:rPr>
          <w:sz w:val="22"/>
        </w:rPr>
        <w:t>If a mass explosion or individual explosions or metallic projections (fragments) occur the substance or mixture is classified in the hazard class "explosives".</w:t>
      </w:r>
    </w:p>
    <w:p w14:paraId="515B5AED" w14:textId="6349DA9B" w:rsidR="00FD4219" w:rsidRDefault="00FD4219" w:rsidP="00BE2933">
      <w:pPr>
        <w:tabs>
          <w:tab w:val="left" w:pos="1418"/>
        </w:tabs>
        <w:spacing w:beforeLines="100" w:before="240" w:afterLines="100" w:after="240"/>
        <w:jc w:val="both"/>
        <w:rPr>
          <w:sz w:val="22"/>
        </w:rPr>
      </w:pPr>
      <w:r>
        <w:rPr>
          <w:sz w:val="22"/>
        </w:rPr>
        <w:t>51.4.4.4</w:t>
      </w:r>
      <w:r w:rsidR="00BE2933">
        <w:rPr>
          <w:sz w:val="22"/>
        </w:rPr>
        <w:tab/>
      </w:r>
      <w:r>
        <w:rPr>
          <w:sz w:val="22"/>
        </w:rPr>
        <w:t>The test results are assessed on the basis of the corrected burning rate A</w:t>
      </w:r>
      <w:r>
        <w:rPr>
          <w:sz w:val="14"/>
          <w:szCs w:val="14"/>
        </w:rPr>
        <w:t xml:space="preserve">C </w:t>
      </w:r>
      <w:r>
        <w:rPr>
          <w:sz w:val="22"/>
        </w:rPr>
        <w:t>for a quantity of 10</w:t>
      </w:r>
      <w:r w:rsidR="006E01A8">
        <w:rPr>
          <w:sz w:val="22"/>
        </w:rPr>
        <w:t> </w:t>
      </w:r>
      <w:r>
        <w:rPr>
          <w:sz w:val="22"/>
        </w:rPr>
        <w:t>000 kg of the packaged substance or mixture.</w:t>
      </w:r>
    </w:p>
    <w:p w14:paraId="38BC079F" w14:textId="3D3FE23C" w:rsidR="00FD4219" w:rsidRDefault="00FD4219" w:rsidP="00BE2933">
      <w:pPr>
        <w:tabs>
          <w:tab w:val="left" w:pos="1418"/>
        </w:tabs>
        <w:spacing w:beforeLines="100" w:before="240" w:afterLines="100" w:after="240"/>
        <w:jc w:val="both"/>
        <w:rPr>
          <w:sz w:val="22"/>
        </w:rPr>
      </w:pPr>
      <w:r>
        <w:rPr>
          <w:sz w:val="22"/>
        </w:rPr>
        <w:t>51.4.4.5</w:t>
      </w:r>
      <w:r w:rsidR="00BE2933">
        <w:rPr>
          <w:sz w:val="22"/>
        </w:rPr>
        <w:tab/>
      </w:r>
      <w:r>
        <w:rPr>
          <w:sz w:val="22"/>
        </w:rPr>
        <w:t xml:space="preserve">The test criteria for determining the burning </w:t>
      </w:r>
      <w:bookmarkStart w:id="5" w:name="OLE_LINK5"/>
      <w:bookmarkStart w:id="6" w:name="OLE_LINK6"/>
      <w:r>
        <w:rPr>
          <w:sz w:val="22"/>
        </w:rPr>
        <w:t>behaviour</w:t>
      </w:r>
      <w:bookmarkEnd w:id="5"/>
      <w:bookmarkEnd w:id="6"/>
      <w:r>
        <w:rPr>
          <w:sz w:val="22"/>
        </w:rPr>
        <w:t xml:space="preserve"> of substances or mixtures are:</w:t>
      </w:r>
    </w:p>
    <w:p w14:paraId="207D2A37" w14:textId="46261DC6" w:rsidR="00FD4219" w:rsidRDefault="00FD4219" w:rsidP="0050428A">
      <w:pPr>
        <w:tabs>
          <w:tab w:val="left" w:pos="2552"/>
        </w:tabs>
        <w:spacing w:beforeLines="100" w:before="240" w:afterLines="100" w:after="240"/>
        <w:ind w:left="2552" w:hanging="1134"/>
        <w:jc w:val="both"/>
        <w:rPr>
          <w:sz w:val="22"/>
        </w:rPr>
      </w:pPr>
      <w:r>
        <w:rPr>
          <w:sz w:val="22"/>
        </w:rPr>
        <w:t xml:space="preserve">Category 1: </w:t>
      </w:r>
      <w:r w:rsidR="0050428A">
        <w:rPr>
          <w:sz w:val="22"/>
        </w:rPr>
        <w:tab/>
      </w:r>
      <w:r>
        <w:rPr>
          <w:sz w:val="22"/>
        </w:rPr>
        <w:t>Any substance or mixture with a corrected burning rate A</w:t>
      </w:r>
      <w:r>
        <w:rPr>
          <w:sz w:val="14"/>
          <w:szCs w:val="14"/>
        </w:rPr>
        <w:t xml:space="preserve">C </w:t>
      </w:r>
      <w:r>
        <w:rPr>
          <w:sz w:val="22"/>
        </w:rPr>
        <w:t>equal to or greater than 300 kg/min but not more than 1200 kg/min;</w:t>
      </w:r>
    </w:p>
    <w:p w14:paraId="7CC95672" w14:textId="4C1C4515" w:rsidR="00FD4219" w:rsidRDefault="00FD4219" w:rsidP="0050428A">
      <w:pPr>
        <w:tabs>
          <w:tab w:val="left" w:pos="2552"/>
        </w:tabs>
        <w:spacing w:beforeLines="100" w:before="240" w:afterLines="100" w:after="240"/>
        <w:ind w:left="2552" w:hanging="1134"/>
        <w:jc w:val="both"/>
        <w:rPr>
          <w:sz w:val="22"/>
        </w:rPr>
      </w:pPr>
      <w:r>
        <w:rPr>
          <w:sz w:val="22"/>
        </w:rPr>
        <w:t xml:space="preserve">Category 2: </w:t>
      </w:r>
      <w:r w:rsidR="0050428A">
        <w:rPr>
          <w:sz w:val="22"/>
        </w:rPr>
        <w:tab/>
      </w:r>
      <w:r>
        <w:rPr>
          <w:sz w:val="22"/>
        </w:rPr>
        <w:t>Any substance or mixture with a corrected burning rate A</w:t>
      </w:r>
      <w:r>
        <w:rPr>
          <w:sz w:val="14"/>
          <w:szCs w:val="14"/>
        </w:rPr>
        <w:t xml:space="preserve">C </w:t>
      </w:r>
      <w:r>
        <w:rPr>
          <w:sz w:val="22"/>
        </w:rPr>
        <w:t>equal to or greater than 140 kg/min but less than 300 kg/min;</w:t>
      </w:r>
    </w:p>
    <w:p w14:paraId="530644C8" w14:textId="351E5EC8" w:rsidR="00FD4219" w:rsidRDefault="00FD4219" w:rsidP="0050428A">
      <w:pPr>
        <w:tabs>
          <w:tab w:val="left" w:pos="2552"/>
        </w:tabs>
        <w:spacing w:beforeLines="100" w:before="240" w:afterLines="100" w:after="240"/>
        <w:ind w:left="2552" w:hanging="1134"/>
        <w:jc w:val="both"/>
        <w:rPr>
          <w:sz w:val="22"/>
        </w:rPr>
      </w:pPr>
      <w:r>
        <w:rPr>
          <w:sz w:val="22"/>
        </w:rPr>
        <w:t xml:space="preserve">Category 3: </w:t>
      </w:r>
      <w:r w:rsidR="0050428A">
        <w:rPr>
          <w:sz w:val="22"/>
        </w:rPr>
        <w:tab/>
      </w:r>
      <w:r>
        <w:rPr>
          <w:sz w:val="22"/>
        </w:rPr>
        <w:t>Any substance or mixture with a corrected burning rate A</w:t>
      </w:r>
      <w:r>
        <w:rPr>
          <w:sz w:val="14"/>
          <w:szCs w:val="14"/>
        </w:rPr>
        <w:t xml:space="preserve">C </w:t>
      </w:r>
      <w:r>
        <w:rPr>
          <w:sz w:val="22"/>
        </w:rPr>
        <w:t>equal to or greater than 60 kg/min but less than 140 kg/min;</w:t>
      </w:r>
    </w:p>
    <w:p w14:paraId="32897FC1" w14:textId="55AFE24D" w:rsidR="00FD4219" w:rsidRDefault="00FD4219" w:rsidP="0050428A">
      <w:pPr>
        <w:tabs>
          <w:tab w:val="left" w:pos="2552"/>
        </w:tabs>
        <w:spacing w:beforeLines="100" w:before="240" w:afterLines="100" w:after="240"/>
        <w:ind w:left="2552" w:hanging="1134"/>
        <w:jc w:val="both"/>
        <w:rPr>
          <w:sz w:val="22"/>
        </w:rPr>
      </w:pPr>
      <w:r>
        <w:rPr>
          <w:sz w:val="22"/>
        </w:rPr>
        <w:t xml:space="preserve">Category 4: </w:t>
      </w:r>
      <w:r w:rsidR="0050428A">
        <w:rPr>
          <w:sz w:val="22"/>
        </w:rPr>
        <w:tab/>
      </w:r>
      <w:r>
        <w:rPr>
          <w:sz w:val="22"/>
        </w:rPr>
        <w:t>Any substance or mixture with a corrected burning rate A</w:t>
      </w:r>
      <w:r>
        <w:rPr>
          <w:sz w:val="14"/>
          <w:szCs w:val="14"/>
        </w:rPr>
        <w:t xml:space="preserve">C </w:t>
      </w:r>
      <w:r>
        <w:rPr>
          <w:sz w:val="22"/>
        </w:rPr>
        <w:t>less than 60 kg/min.</w:t>
      </w:r>
    </w:p>
    <w:p w14:paraId="5FF6D372" w14:textId="25D9412E" w:rsidR="00FD4219" w:rsidRDefault="00BE2933" w:rsidP="00BE2933">
      <w:pPr>
        <w:tabs>
          <w:tab w:val="left" w:pos="1418"/>
        </w:tabs>
        <w:spacing w:beforeLines="100" w:before="240" w:afterLines="100" w:after="240"/>
        <w:jc w:val="both"/>
        <w:rPr>
          <w:sz w:val="22"/>
        </w:rPr>
      </w:pPr>
      <w:r>
        <w:rPr>
          <w:sz w:val="22"/>
        </w:rPr>
        <w:tab/>
      </w:r>
      <w:r w:rsidR="00FD4219">
        <w:rPr>
          <w:sz w:val="22"/>
        </w:rPr>
        <w:t xml:space="preserve">Any substance or mixture with a corrected burning rate greater than 1200 kg/min is classified as an explosive (See </w:t>
      </w:r>
      <w:r w:rsidR="00CE65B1">
        <w:rPr>
          <w:sz w:val="22"/>
        </w:rPr>
        <w:t>c</w:t>
      </w:r>
      <w:r w:rsidR="00FD4219">
        <w:rPr>
          <w:sz w:val="22"/>
        </w:rPr>
        <w:t xml:space="preserve">hapter 2.1 of the </w:t>
      </w:r>
      <w:r w:rsidR="00FD4219" w:rsidRPr="00DC264B">
        <w:rPr>
          <w:i/>
          <w:iCs/>
          <w:sz w:val="22"/>
        </w:rPr>
        <w:t>GHS</w:t>
      </w:r>
      <w:r w:rsidR="00FD4219">
        <w:rPr>
          <w:sz w:val="22"/>
        </w:rPr>
        <w:t>).</w:t>
      </w:r>
    </w:p>
    <w:p w14:paraId="7C1BC816" w14:textId="2DC00270" w:rsidR="00FD4219" w:rsidRDefault="00FD4219" w:rsidP="00BE2933">
      <w:pPr>
        <w:keepNext/>
        <w:keepLines/>
        <w:spacing w:beforeLines="50" w:before="120" w:afterLines="50" w:after="120"/>
        <w:jc w:val="center"/>
        <w:rPr>
          <w:b/>
          <w:bCs/>
          <w:sz w:val="22"/>
        </w:rPr>
      </w:pPr>
      <w:r w:rsidRPr="00DC264B">
        <w:rPr>
          <w:rFonts w:hint="eastAsia"/>
          <w:b/>
          <w:bCs/>
          <w:sz w:val="22"/>
        </w:rPr>
        <w:lastRenderedPageBreak/>
        <w:t>F</w:t>
      </w:r>
      <w:r w:rsidRPr="00DC264B">
        <w:rPr>
          <w:b/>
          <w:bCs/>
          <w:sz w:val="22"/>
        </w:rPr>
        <w:t>igure 51.4.1: Measurement of radiation as a function of time</w:t>
      </w:r>
    </w:p>
    <w:p w14:paraId="6A328E63" w14:textId="6D36332C" w:rsidR="00F11AFA" w:rsidRDefault="00F11AFA" w:rsidP="00BE2933">
      <w:pPr>
        <w:keepNext/>
        <w:keepLines/>
        <w:spacing w:beforeLines="50" w:before="120" w:afterLines="50" w:after="120"/>
        <w:jc w:val="center"/>
        <w:rPr>
          <w:b/>
          <w:bCs/>
          <w:sz w:val="22"/>
        </w:rPr>
      </w:pPr>
    </w:p>
    <w:p w14:paraId="1A2D1BAE" w14:textId="53560F27" w:rsidR="00F11AFA" w:rsidRDefault="0050428A" w:rsidP="00BE2933">
      <w:pPr>
        <w:keepNext/>
        <w:keepLines/>
        <w:spacing w:beforeLines="50" w:before="120" w:afterLines="50" w:after="120"/>
        <w:jc w:val="center"/>
        <w:rPr>
          <w:b/>
          <w:bCs/>
          <w:sz w:val="22"/>
        </w:rPr>
      </w:pPr>
      <w:r>
        <w:rPr>
          <w:strike/>
          <w:noProof/>
          <w:lang w:val="en-US"/>
        </w:rPr>
        <mc:AlternateContent>
          <mc:Choice Requires="wps">
            <w:drawing>
              <wp:anchor distT="0" distB="0" distL="114300" distR="114300" simplePos="0" relativeHeight="251658240" behindDoc="0" locked="0" layoutInCell="1" allowOverlap="1" wp14:anchorId="590E1166" wp14:editId="61E0DD82">
                <wp:simplePos x="0" y="0"/>
                <wp:positionH relativeFrom="column">
                  <wp:posOffset>-129076</wp:posOffset>
                </wp:positionH>
                <wp:positionV relativeFrom="paragraph">
                  <wp:posOffset>64367</wp:posOffset>
                </wp:positionV>
                <wp:extent cx="6567975" cy="3038708"/>
                <wp:effectExtent l="0" t="0" r="23495" b="28575"/>
                <wp:wrapNone/>
                <wp:docPr id="4" name="Straight Connector 4"/>
                <wp:cNvGraphicFramePr/>
                <a:graphic xmlns:a="http://schemas.openxmlformats.org/drawingml/2006/main">
                  <a:graphicData uri="http://schemas.microsoft.com/office/word/2010/wordprocessingShape">
                    <wps:wsp>
                      <wps:cNvCnPr/>
                      <wps:spPr>
                        <a:xfrm flipV="1">
                          <a:off x="0" y="0"/>
                          <a:ext cx="6567975" cy="30387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C4D4E"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5.05pt" to="50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" strokecolor="black [3213]" strokeweight="1.5pt"/>
            </w:pict>
          </mc:Fallback>
        </mc:AlternateContent>
      </w:r>
      <w:r w:rsidRPr="003B5227">
        <w:rPr>
          <w:rFonts w:asciiTheme="majorBidi" w:hAnsiTheme="majorBidi" w:cstheme="majorBidi"/>
          <w:noProof/>
        </w:rPr>
        <w:drawing>
          <wp:inline distT="0" distB="0" distL="0" distR="0" wp14:anchorId="2032C99E" wp14:editId="4C2F0C15">
            <wp:extent cx="6120765" cy="3330250"/>
            <wp:effectExtent l="0" t="0" r="0" b="3810"/>
            <wp:docPr id="185" name="Picture 185" descr="Irradiance mesur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rradiance mesure-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330250"/>
                    </a:xfrm>
                    <a:prstGeom prst="rect">
                      <a:avLst/>
                    </a:prstGeom>
                    <a:noFill/>
                    <a:ln>
                      <a:noFill/>
                    </a:ln>
                  </pic:spPr>
                </pic:pic>
              </a:graphicData>
            </a:graphic>
          </wp:inline>
        </w:drawing>
      </w:r>
    </w:p>
    <w:p w14:paraId="7486738B" w14:textId="77777777" w:rsidR="00F11AFA" w:rsidRDefault="00F11AFA" w:rsidP="00BE2933">
      <w:pPr>
        <w:keepNext/>
        <w:keepLines/>
        <w:spacing w:beforeLines="50" w:before="120" w:afterLines="50" w:after="120"/>
        <w:jc w:val="center"/>
        <w:rPr>
          <w:b/>
          <w:bCs/>
          <w:sz w:val="22"/>
        </w:rPr>
      </w:pPr>
    </w:p>
    <w:p w14:paraId="7FB804F1" w14:textId="77777777" w:rsidR="00F11AFA" w:rsidRDefault="00F11AFA" w:rsidP="00BE2933">
      <w:pPr>
        <w:keepNext/>
        <w:keepLines/>
        <w:spacing w:beforeLines="50" w:before="120" w:afterLines="50" w:after="120"/>
        <w:jc w:val="center"/>
        <w:rPr>
          <w:b/>
          <w:bCs/>
          <w:sz w:val="22"/>
        </w:rPr>
      </w:pPr>
    </w:p>
    <w:p w14:paraId="50D7E941" w14:textId="068F5683" w:rsidR="00FD4219" w:rsidRDefault="00FD4219" w:rsidP="00187340">
      <w:pPr>
        <w:keepNext/>
        <w:keepLines/>
        <w:jc w:val="center"/>
      </w:pPr>
      <w:r>
        <w:rPr>
          <w:noProof/>
          <w:lang w:val="en-US"/>
        </w:rPr>
        <w:drawing>
          <wp:inline distT="0" distB="0" distL="0" distR="0" wp14:anchorId="4D1A5179" wp14:editId="76F3E053">
            <wp:extent cx="6111100" cy="3334215"/>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006" cy="3342893"/>
                    </a:xfrm>
                    <a:prstGeom prst="rect">
                      <a:avLst/>
                    </a:prstGeom>
                    <a:noFill/>
                    <a:ln>
                      <a:noFill/>
                    </a:ln>
                  </pic:spPr>
                </pic:pic>
              </a:graphicData>
            </a:graphic>
          </wp:inline>
        </w:drawing>
      </w:r>
    </w:p>
    <w:p w14:paraId="061C46CC" w14:textId="14A84635" w:rsidR="00FD4219" w:rsidRDefault="00FD4219" w:rsidP="00BE2933">
      <w:pPr>
        <w:keepNext/>
        <w:keepLines/>
        <w:jc w:val="both"/>
      </w:pPr>
    </w:p>
    <w:p w14:paraId="05D4ADF8" w14:textId="6297CA36" w:rsidR="00FD4219" w:rsidRPr="006F605F" w:rsidRDefault="00FD4219" w:rsidP="005E0E7B">
      <w:pPr>
        <w:tabs>
          <w:tab w:val="left" w:pos="1418"/>
        </w:tabs>
        <w:spacing w:beforeLines="100" w:before="240" w:afterLines="100" w:after="240"/>
        <w:jc w:val="both"/>
        <w:rPr>
          <w:b/>
          <w:bCs/>
          <w:sz w:val="22"/>
        </w:rPr>
      </w:pPr>
      <w:r w:rsidRPr="00F413F0">
        <w:rPr>
          <w:rFonts w:hint="eastAsia"/>
          <w:b/>
          <w:bCs/>
          <w:sz w:val="22"/>
        </w:rPr>
        <w:t>5</w:t>
      </w:r>
      <w:r w:rsidRPr="00F413F0">
        <w:rPr>
          <w:b/>
          <w:bCs/>
          <w:sz w:val="22"/>
        </w:rPr>
        <w:t>1.4.5</w:t>
      </w:r>
      <w:r w:rsidR="005E0E7B">
        <w:rPr>
          <w:b/>
          <w:bCs/>
          <w:sz w:val="22"/>
        </w:rPr>
        <w:tab/>
      </w:r>
      <w:r w:rsidRPr="006F605F">
        <w:rPr>
          <w:b/>
          <w:bCs/>
          <w:i/>
          <w:sz w:val="22"/>
        </w:rPr>
        <w:t>Examples of results</w:t>
      </w:r>
    </w:p>
    <w:p w14:paraId="4B22BCDD" w14:textId="00B268F2" w:rsidR="00FD4219" w:rsidRDefault="005E0E7B" w:rsidP="005E0E7B">
      <w:pPr>
        <w:tabs>
          <w:tab w:val="left" w:pos="1418"/>
        </w:tabs>
        <w:spacing w:beforeLines="100" w:before="240" w:afterLines="100" w:after="240"/>
        <w:jc w:val="both"/>
        <w:rPr>
          <w:sz w:val="22"/>
        </w:rPr>
      </w:pPr>
      <w:r>
        <w:rPr>
          <w:sz w:val="22"/>
        </w:rPr>
        <w:tab/>
      </w:r>
      <w:r w:rsidR="00FD4219" w:rsidRPr="006F605F">
        <w:rPr>
          <w:sz w:val="22"/>
        </w:rPr>
        <w:t>A compilation for the test results and classification data for more than 200 industrial</w:t>
      </w:r>
      <w:r w:rsidR="00FD4219">
        <w:rPr>
          <w:sz w:val="22"/>
        </w:rPr>
        <w:t xml:space="preserve"> </w:t>
      </w:r>
      <w:r w:rsidR="00FD4219" w:rsidRPr="006F605F">
        <w:rPr>
          <w:sz w:val="22"/>
        </w:rPr>
        <w:t>nitrocellulose products is given in appendix 11.</w:t>
      </w:r>
    </w:p>
    <w:p w14:paraId="0EB445DA" w14:textId="56F413C0" w:rsidR="00FD4219" w:rsidRDefault="00FD4219" w:rsidP="0050428A">
      <w:pPr>
        <w:keepNext/>
        <w:keepLines/>
        <w:widowControl w:val="0"/>
        <w:tabs>
          <w:tab w:val="left" w:pos="1418"/>
        </w:tabs>
        <w:spacing w:after="240" w:line="240" w:lineRule="auto"/>
        <w:jc w:val="both"/>
        <w:rPr>
          <w:rFonts w:ascii="TimesNewRoman,BoldItalic" w:eastAsiaTheme="minorEastAsia" w:hAnsi="TimesNewRoman,BoldItalic" w:cs="TimesNewRoman,BoldItalic"/>
          <w:b/>
          <w:bCs/>
          <w:i/>
          <w:iCs/>
          <w:sz w:val="22"/>
          <w:szCs w:val="22"/>
          <w:lang w:val="en-US"/>
        </w:rPr>
      </w:pPr>
      <w:r>
        <w:rPr>
          <w:rFonts w:ascii="TimesNewRoman,Bold" w:eastAsiaTheme="minorEastAsia" w:hAnsi="TimesNewRoman,Bold" w:cs="TimesNewRoman,Bold"/>
          <w:b/>
          <w:bCs/>
          <w:sz w:val="22"/>
          <w:szCs w:val="22"/>
          <w:lang w:val="en-US"/>
        </w:rPr>
        <w:lastRenderedPageBreak/>
        <w:t>51.4.6</w:t>
      </w:r>
      <w:r w:rsidR="005E0E7B">
        <w:rPr>
          <w:rFonts w:ascii="TimesNewRoman,Bold" w:eastAsiaTheme="minorEastAsia" w:hAnsi="TimesNewRoman,Bold" w:cs="TimesNewRoman,Bold"/>
          <w:b/>
          <w:bCs/>
          <w:sz w:val="22"/>
          <w:szCs w:val="22"/>
          <w:lang w:val="en-US"/>
        </w:rPr>
        <w:tab/>
      </w:r>
      <w:r>
        <w:rPr>
          <w:rFonts w:ascii="TimesNewRoman,BoldItalic" w:eastAsiaTheme="minorEastAsia" w:hAnsi="TimesNewRoman,BoldItalic" w:cs="TimesNewRoman,BoldItalic"/>
          <w:b/>
          <w:bCs/>
          <w:i/>
          <w:iCs/>
          <w:sz w:val="22"/>
          <w:szCs w:val="22"/>
          <w:lang w:val="en-US"/>
        </w:rPr>
        <w:t>Example of a calculation</w:t>
      </w:r>
    </w:p>
    <w:p w14:paraId="34E86E53" w14:textId="77777777"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NC-formulation (nitrogen content 10.7 % to 11.2 %) wetted with 30 % isopropanol:</w:t>
      </w:r>
    </w:p>
    <w:p w14:paraId="53DD2D7C" w14:textId="37836BDB"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Mass of the tested NC formulation:</w:t>
      </w:r>
      <w:r w:rsidR="00187340">
        <w:rPr>
          <w:sz w:val="22"/>
        </w:rPr>
        <w:tab/>
      </w:r>
      <w:r w:rsidR="00187340">
        <w:rPr>
          <w:sz w:val="22"/>
        </w:rPr>
        <w:tab/>
      </w:r>
      <w:r w:rsidR="00187340">
        <w:rPr>
          <w:sz w:val="22"/>
        </w:rPr>
        <w:tab/>
      </w:r>
      <w:r w:rsidRPr="006F605F">
        <w:rPr>
          <w:i/>
          <w:sz w:val="22"/>
        </w:rPr>
        <w:t>m</w:t>
      </w:r>
      <w:r w:rsidRPr="006F605F">
        <w:rPr>
          <w:sz w:val="22"/>
        </w:rPr>
        <w:t xml:space="preserve"> = 285 kg</w:t>
      </w:r>
    </w:p>
    <w:p w14:paraId="6726C4E3" w14:textId="2960223A" w:rsidR="00FD4219" w:rsidRPr="006F605F" w:rsidRDefault="00FD4219" w:rsidP="000C5C67">
      <w:pPr>
        <w:keepNext/>
        <w:keepLines/>
        <w:tabs>
          <w:tab w:val="left" w:pos="1418"/>
        </w:tabs>
        <w:spacing w:after="200" w:line="240" w:lineRule="auto"/>
        <w:ind w:firstLineChars="644" w:firstLine="1422"/>
        <w:jc w:val="both"/>
        <w:rPr>
          <w:sz w:val="22"/>
        </w:rPr>
      </w:pPr>
      <w:r w:rsidRPr="005D058C">
        <w:rPr>
          <w:rFonts w:hint="eastAsia"/>
          <w:b/>
          <w:sz w:val="22"/>
          <w:u w:val="single"/>
        </w:rPr>
        <w:t>T</w:t>
      </w:r>
      <w:r w:rsidRPr="005D058C">
        <w:rPr>
          <w:b/>
          <w:sz w:val="22"/>
          <w:u w:val="single"/>
        </w:rPr>
        <w:t>o</w:t>
      </w:r>
      <w:r w:rsidRPr="005D058C">
        <w:rPr>
          <w:rFonts w:hint="eastAsia"/>
          <w:b/>
          <w:sz w:val="22"/>
          <w:u w:val="single"/>
        </w:rPr>
        <w:t>tal b</w:t>
      </w:r>
      <w:r w:rsidRPr="005D058C">
        <w:rPr>
          <w:b/>
          <w:sz w:val="22"/>
          <w:u w:val="single"/>
        </w:rPr>
        <w:t>urning</w:t>
      </w:r>
      <w:r>
        <w:rPr>
          <w:sz w:val="22"/>
        </w:rPr>
        <w:t xml:space="preserve"> </w:t>
      </w:r>
      <w:proofErr w:type="spellStart"/>
      <w:r w:rsidRPr="005D058C">
        <w:rPr>
          <w:rFonts w:hint="eastAsia"/>
          <w:strike/>
          <w:sz w:val="22"/>
        </w:rPr>
        <w:t>B</w:t>
      </w:r>
      <w:r w:rsidRPr="005D058C">
        <w:rPr>
          <w:strike/>
          <w:sz w:val="22"/>
        </w:rPr>
        <w:t>urning</w:t>
      </w:r>
      <w:proofErr w:type="spellEnd"/>
      <w:r w:rsidRPr="006F605F">
        <w:rPr>
          <w:sz w:val="22"/>
        </w:rPr>
        <w:t xml:space="preserve"> time:</w:t>
      </w:r>
      <w:r w:rsidR="00187340">
        <w:rPr>
          <w:sz w:val="22"/>
        </w:rPr>
        <w:tab/>
      </w:r>
      <w:r w:rsidR="00187340">
        <w:rPr>
          <w:sz w:val="22"/>
        </w:rPr>
        <w:tab/>
      </w:r>
      <w:r w:rsidR="00187340">
        <w:rPr>
          <w:sz w:val="22"/>
        </w:rPr>
        <w:tab/>
      </w:r>
      <w:r w:rsidRPr="006F605F">
        <w:rPr>
          <w:i/>
          <w:sz w:val="22"/>
        </w:rPr>
        <w:t>t</w:t>
      </w:r>
      <w:r w:rsidRPr="006F605F">
        <w:rPr>
          <w:sz w:val="22"/>
        </w:rPr>
        <w:t xml:space="preserve"> = 9.7 min</w:t>
      </w:r>
    </w:p>
    <w:p w14:paraId="555C264F" w14:textId="7F42C505"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Form factor:</w:t>
      </w:r>
      <w:r w:rsidR="00187340">
        <w:rPr>
          <w:sz w:val="22"/>
        </w:rPr>
        <w:tab/>
      </w:r>
      <w:r w:rsidR="00187340">
        <w:rPr>
          <w:sz w:val="22"/>
        </w:rPr>
        <w:tab/>
      </w:r>
      <w:r w:rsidR="00187340">
        <w:rPr>
          <w:sz w:val="22"/>
        </w:rPr>
        <w:tab/>
      </w:r>
      <w:r w:rsidR="00187340">
        <w:rPr>
          <w:sz w:val="22"/>
        </w:rPr>
        <w:tab/>
      </w:r>
      <w:r w:rsidR="00187340">
        <w:rPr>
          <w:sz w:val="22"/>
        </w:rPr>
        <w:tab/>
      </w:r>
      <w:r w:rsidR="00187340">
        <w:rPr>
          <w:sz w:val="22"/>
        </w:rPr>
        <w:tab/>
      </w:r>
      <w:r w:rsidRPr="006F605F">
        <w:rPr>
          <w:i/>
          <w:sz w:val="22"/>
        </w:rPr>
        <w:t xml:space="preserve">f </w:t>
      </w:r>
      <w:r w:rsidRPr="006F605F">
        <w:rPr>
          <w:sz w:val="22"/>
        </w:rPr>
        <w:t>= 3.73</w:t>
      </w:r>
    </w:p>
    <w:p w14:paraId="4B36897A" w14:textId="1CBC8BCC" w:rsidR="00FD4219" w:rsidRPr="006F605F" w:rsidRDefault="00FD4219" w:rsidP="000C5C67">
      <w:pPr>
        <w:keepNext/>
        <w:keepLines/>
        <w:tabs>
          <w:tab w:val="left" w:pos="1418"/>
        </w:tabs>
        <w:spacing w:after="200" w:line="240" w:lineRule="auto"/>
        <w:ind w:firstLineChars="644" w:firstLine="1417"/>
        <w:jc w:val="both"/>
        <w:rPr>
          <w:sz w:val="22"/>
        </w:rPr>
      </w:pPr>
      <w:r w:rsidRPr="006F605F">
        <w:rPr>
          <w:sz w:val="22"/>
        </w:rPr>
        <w:t>Radiation efficiency:</w:t>
      </w:r>
      <w:r w:rsidR="00187340">
        <w:rPr>
          <w:sz w:val="22"/>
        </w:rPr>
        <w:tab/>
      </w:r>
      <w:r w:rsidR="00187340">
        <w:rPr>
          <w:sz w:val="22"/>
        </w:rPr>
        <w:tab/>
      </w:r>
      <w:r w:rsidR="00187340">
        <w:rPr>
          <w:sz w:val="22"/>
        </w:rPr>
        <w:tab/>
      </w:r>
      <w:r w:rsidR="00187340">
        <w:rPr>
          <w:sz w:val="22"/>
        </w:rPr>
        <w:tab/>
      </w:r>
      <w:r w:rsidR="00187340">
        <w:rPr>
          <w:sz w:val="22"/>
        </w:rPr>
        <w:tab/>
      </w:r>
      <w:r w:rsidRPr="006F605F">
        <w:rPr>
          <w:rFonts w:hint="eastAsia"/>
          <w:i/>
          <w:sz w:val="22"/>
        </w:rPr>
        <w:t>η</w:t>
      </w:r>
      <w:r w:rsidRPr="006F605F">
        <w:rPr>
          <w:sz w:val="22"/>
        </w:rPr>
        <w:t xml:space="preserve"> = 0.24</w:t>
      </w:r>
    </w:p>
    <w:p w14:paraId="0644F2ED" w14:textId="64A04148" w:rsidR="00FD4219" w:rsidRPr="006F605F" w:rsidRDefault="00FD4219" w:rsidP="000C5C67">
      <w:pPr>
        <w:keepNext/>
        <w:keepLines/>
        <w:spacing w:after="200" w:line="240" w:lineRule="auto"/>
        <w:ind w:firstLineChars="641" w:firstLine="1416"/>
        <w:jc w:val="both"/>
        <w:rPr>
          <w:sz w:val="22"/>
        </w:rPr>
      </w:pPr>
      <w:r w:rsidRPr="005D058C">
        <w:rPr>
          <w:rFonts w:hint="eastAsia"/>
          <w:b/>
          <w:sz w:val="22"/>
          <w:u w:val="single"/>
        </w:rPr>
        <w:t>Heat</w:t>
      </w:r>
      <w:r w:rsidRPr="005D058C">
        <w:rPr>
          <w:strike/>
          <w:sz w:val="22"/>
        </w:rPr>
        <w:t xml:space="preserve"> Enthalpy</w:t>
      </w:r>
      <w:r w:rsidRPr="006F605F">
        <w:rPr>
          <w:sz w:val="22"/>
        </w:rPr>
        <w:t xml:space="preserve"> of combustion:</w:t>
      </w:r>
      <w:r w:rsidR="00187340">
        <w:rPr>
          <w:sz w:val="22"/>
        </w:rPr>
        <w:tab/>
      </w:r>
      <w:r w:rsidR="00187340">
        <w:rPr>
          <w:sz w:val="22"/>
        </w:rPr>
        <w:tab/>
      </w:r>
      <w:r w:rsidR="00187340">
        <w:rPr>
          <w:sz w:val="22"/>
        </w:rPr>
        <w:tab/>
      </w:r>
      <w:r w:rsidRPr="006F605F">
        <w:rPr>
          <w:i/>
          <w:sz w:val="22"/>
        </w:rPr>
        <w:t>H</w:t>
      </w:r>
      <w:r w:rsidRPr="006F605F">
        <w:rPr>
          <w:i/>
          <w:sz w:val="22"/>
          <w:vertAlign w:val="subscript"/>
        </w:rPr>
        <w:t>v</w:t>
      </w:r>
      <w:r w:rsidRPr="006F605F">
        <w:rPr>
          <w:sz w:val="22"/>
        </w:rPr>
        <w:t xml:space="preserve"> = 15626 kJ/kg</w:t>
      </w:r>
    </w:p>
    <w:p w14:paraId="1E282D44" w14:textId="265335D7" w:rsidR="00FD4219" w:rsidRDefault="00FD4219" w:rsidP="0050428A">
      <w:pPr>
        <w:tabs>
          <w:tab w:val="left" w:pos="1418"/>
        </w:tabs>
        <w:spacing w:after="240" w:line="240" w:lineRule="auto"/>
        <w:ind w:firstLineChars="644" w:firstLine="1417"/>
        <w:jc w:val="both"/>
        <w:rPr>
          <w:sz w:val="22"/>
        </w:rPr>
      </w:pPr>
      <w:r w:rsidRPr="006F605F">
        <w:rPr>
          <w:sz w:val="22"/>
        </w:rPr>
        <w:t>Calculation of the burning rate A:</w:t>
      </w:r>
    </w:p>
    <w:p w14:paraId="065D41E7" w14:textId="77777777" w:rsidR="00FD4219" w:rsidRDefault="00FD4219" w:rsidP="00187340">
      <w:pPr>
        <w:spacing w:beforeLines="100" w:before="240" w:afterLines="100" w:after="240"/>
        <w:ind w:firstLineChars="902" w:firstLine="1984"/>
        <w:jc w:val="both"/>
        <w:rPr>
          <w:sz w:val="22"/>
        </w:rPr>
      </w:pPr>
      <w:r w:rsidRPr="00F5303C">
        <w:rPr>
          <w:position w:val="-24"/>
          <w:sz w:val="22"/>
        </w:rPr>
        <w:object w:dxaOrig="2780" w:dyaOrig="620" w14:anchorId="0C10A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pt;height:31.3pt" o:ole="">
            <v:imagedata r:id="rId13" o:title=""/>
          </v:shape>
          <o:OLEObject Type="Embed" ProgID="Equation.DSMT4" ShapeID="_x0000_i1025" DrawAspect="Content" ObjectID="_1774087612" r:id="rId14"/>
        </w:object>
      </w:r>
    </w:p>
    <w:p w14:paraId="42B5F73C" w14:textId="77777777" w:rsidR="00FD4219" w:rsidRDefault="00FD4219" w:rsidP="00187340">
      <w:pPr>
        <w:spacing w:beforeLines="100" w:before="240" w:afterLines="100" w:after="240"/>
        <w:ind w:firstLineChars="644" w:firstLine="1417"/>
        <w:jc w:val="both"/>
        <w:rPr>
          <w:sz w:val="22"/>
        </w:rPr>
      </w:pPr>
      <w:r w:rsidRPr="00F5303C">
        <w:rPr>
          <w:sz w:val="22"/>
        </w:rPr>
        <w:t>Calculation of the burning rate A</w:t>
      </w:r>
      <w:r w:rsidRPr="00764B1F">
        <w:rPr>
          <w:sz w:val="22"/>
          <w:vertAlign w:val="subscript"/>
        </w:rPr>
        <w:t>10t</w:t>
      </w:r>
      <w:r w:rsidRPr="00F5303C">
        <w:rPr>
          <w:sz w:val="22"/>
        </w:rPr>
        <w:t>:</w:t>
      </w:r>
    </w:p>
    <w:p w14:paraId="59DA9B1A" w14:textId="77777777" w:rsidR="00FD4219" w:rsidRDefault="00FD4219" w:rsidP="00187340">
      <w:pPr>
        <w:spacing w:beforeLines="100" w:before="240" w:afterLines="100" w:after="240"/>
        <w:ind w:firstLineChars="644" w:firstLine="1417"/>
        <w:jc w:val="both"/>
        <w:rPr>
          <w:sz w:val="22"/>
        </w:rPr>
      </w:pPr>
      <w:r w:rsidRPr="00F5303C">
        <w:rPr>
          <w:position w:val="-30"/>
          <w:sz w:val="22"/>
        </w:rPr>
        <w:object w:dxaOrig="5640" w:dyaOrig="859" w14:anchorId="753A9D86">
          <v:shape id="_x0000_i1026" type="#_x0000_t75" style="width:282.4pt;height:43pt" o:ole="">
            <v:imagedata r:id="rId15" o:title=""/>
          </v:shape>
          <o:OLEObject Type="Embed" ProgID="Equation.DSMT4" ShapeID="_x0000_i1026" DrawAspect="Content" ObjectID="_1774087613" r:id="rId16"/>
        </w:object>
      </w:r>
    </w:p>
    <w:p w14:paraId="327D1A46" w14:textId="77777777" w:rsidR="00FD4219" w:rsidRDefault="00FD4219" w:rsidP="00187340">
      <w:pPr>
        <w:spacing w:beforeLines="100" w:before="240" w:afterLines="100" w:after="240"/>
        <w:ind w:firstLineChars="644" w:firstLine="1417"/>
        <w:jc w:val="both"/>
        <w:rPr>
          <w:rFonts w:ascii="TimesNewRoman,Italic" w:eastAsiaTheme="minorEastAsia" w:hAnsi="TimesNewRoman,Italic" w:cs="TimesNewRoman,Italic"/>
          <w:iCs/>
          <w:sz w:val="22"/>
          <w:szCs w:val="22"/>
          <w:lang w:val="en-US"/>
        </w:rPr>
      </w:pPr>
      <w:r>
        <w:rPr>
          <w:rFonts w:ascii="TimesNewRoman" w:eastAsiaTheme="minorEastAsia" w:hAnsi="TimesNewRoman" w:cs="TimesNewRoman"/>
          <w:sz w:val="22"/>
          <w:szCs w:val="22"/>
          <w:lang w:val="en-US"/>
        </w:rPr>
        <w:t>Ca</w:t>
      </w:r>
      <w:r w:rsidRPr="0089219D">
        <w:rPr>
          <w:rFonts w:ascii="TimesNewRoman" w:eastAsiaTheme="minorEastAsia" w:hAnsi="TimesNewRoman" w:cs="TimesNewRoman"/>
          <w:sz w:val="22"/>
          <w:szCs w:val="22"/>
          <w:lang w:val="en-US"/>
        </w:rPr>
        <w:t xml:space="preserve">lculation of the corrected burning rate </w:t>
      </w:r>
      <w:r w:rsidRPr="0089219D">
        <w:rPr>
          <w:rFonts w:ascii="TimesNewRoman,Italic" w:eastAsiaTheme="minorEastAsia" w:hAnsi="TimesNewRoman,Italic" w:cs="TimesNewRoman,Italic"/>
          <w:i/>
          <w:iCs/>
          <w:sz w:val="22"/>
          <w:szCs w:val="22"/>
          <w:lang w:val="en-US"/>
        </w:rPr>
        <w:t>Ac</w:t>
      </w:r>
      <w:r w:rsidRPr="0089219D">
        <w:rPr>
          <w:rFonts w:ascii="TimesNewRoman,Italic" w:eastAsiaTheme="minorEastAsia" w:hAnsi="TimesNewRoman,Italic" w:cs="TimesNewRoman,Italic"/>
          <w:iCs/>
          <w:sz w:val="22"/>
          <w:szCs w:val="22"/>
          <w:lang w:val="en-US"/>
        </w:rPr>
        <w:t>:</w:t>
      </w:r>
    </w:p>
    <w:p w14:paraId="0465C381" w14:textId="77777777" w:rsidR="00FD4219" w:rsidRDefault="00FD4219" w:rsidP="00187340">
      <w:pPr>
        <w:spacing w:beforeLines="100" w:before="240" w:afterLines="100" w:after="240"/>
        <w:ind w:firstLineChars="644" w:firstLine="1417"/>
        <w:jc w:val="both"/>
        <w:rPr>
          <w:sz w:val="22"/>
        </w:rPr>
      </w:pPr>
      <w:r w:rsidRPr="008A43A5">
        <w:rPr>
          <w:position w:val="-58"/>
          <w:sz w:val="22"/>
        </w:rPr>
        <w:object w:dxaOrig="7080" w:dyaOrig="1280" w14:anchorId="64BA04A1">
          <v:shape id="_x0000_i1027" type="#_x0000_t75" style="width:353.45pt;height:63.6pt" o:ole="">
            <v:imagedata r:id="rId17" o:title=""/>
          </v:shape>
          <o:OLEObject Type="Embed" ProgID="Equation.DSMT4" ShapeID="_x0000_i1027" DrawAspect="Content" ObjectID="_1774087614" r:id="rId18"/>
        </w:object>
      </w:r>
    </w:p>
    <w:p w14:paraId="4F09D7B2" w14:textId="77777777" w:rsidR="00FD4219" w:rsidRDefault="00FD4219" w:rsidP="00187340">
      <w:pPr>
        <w:spacing w:beforeLines="100" w:before="240" w:afterLines="100" w:after="240"/>
        <w:ind w:firstLineChars="644" w:firstLine="1417"/>
        <w:jc w:val="both"/>
        <w:rPr>
          <w:rFonts w:ascii="TimesNewRoman" w:eastAsiaTheme="minorEastAsia" w:hAnsi="TimesNewRoman" w:cs="TimesNewRoman"/>
          <w:sz w:val="22"/>
          <w:szCs w:val="22"/>
          <w:lang w:val="en-US"/>
        </w:rPr>
      </w:pPr>
      <w:r>
        <w:rPr>
          <w:rFonts w:ascii="TimesNewRoman" w:eastAsiaTheme="minorEastAsia" w:hAnsi="TimesNewRoman" w:cs="TimesNewRoman"/>
          <w:sz w:val="22"/>
          <w:szCs w:val="22"/>
          <w:lang w:val="en-US"/>
        </w:rPr>
        <w:t>The desensitized explosive is classified in category 2.</w:t>
      </w:r>
    </w:p>
    <w:p w14:paraId="47A4AB78" w14:textId="77777777" w:rsidR="00FD4219" w:rsidRDefault="00FD4219" w:rsidP="000C5C67">
      <w:pPr>
        <w:widowControl w:val="0"/>
        <w:spacing w:after="200" w:line="240" w:lineRule="auto"/>
        <w:jc w:val="both"/>
        <w:rPr>
          <w:rFonts w:ascii="TimesNewRoman,BoldItalic" w:eastAsiaTheme="minorEastAsia" w:hAnsi="TimesNewRoman,BoldItalic" w:cs="TimesNewRoman,BoldItalic"/>
          <w:b/>
          <w:bCs/>
          <w:i/>
          <w:iCs/>
          <w:sz w:val="22"/>
          <w:szCs w:val="22"/>
          <w:lang w:val="en-US"/>
        </w:rPr>
      </w:pPr>
      <w:r>
        <w:rPr>
          <w:rFonts w:ascii="TimesNewRoman,BoldItalic" w:eastAsiaTheme="minorEastAsia" w:hAnsi="TimesNewRoman,BoldItalic" w:cs="TimesNewRoman,BoldItalic"/>
          <w:b/>
          <w:bCs/>
          <w:i/>
          <w:iCs/>
          <w:sz w:val="22"/>
          <w:szCs w:val="22"/>
          <w:lang w:val="en-US"/>
        </w:rPr>
        <w:t>References</w:t>
      </w:r>
    </w:p>
    <w:p w14:paraId="1352F256" w14:textId="7BF7EC97" w:rsidR="00FD4219" w:rsidRPr="00187340" w:rsidRDefault="00FD4219" w:rsidP="0050428A">
      <w:pPr>
        <w:tabs>
          <w:tab w:val="left" w:pos="567"/>
        </w:tabs>
        <w:spacing w:after="200" w:line="240" w:lineRule="auto"/>
        <w:jc w:val="both"/>
        <w:rPr>
          <w:i/>
          <w:iCs/>
          <w:sz w:val="22"/>
        </w:rPr>
      </w:pPr>
      <w:r w:rsidRPr="00187340">
        <w:rPr>
          <w:i/>
          <w:iCs/>
          <w:sz w:val="22"/>
        </w:rPr>
        <w:t xml:space="preserve">[1] </w:t>
      </w:r>
      <w:r w:rsidR="00187340">
        <w:rPr>
          <w:i/>
          <w:iCs/>
          <w:sz w:val="22"/>
        </w:rPr>
        <w:tab/>
      </w:r>
      <w:r w:rsidRPr="00187340">
        <w:rPr>
          <w:i/>
          <w:iCs/>
          <w:sz w:val="22"/>
        </w:rPr>
        <w:t>German "Guideline for the assignment of substances which may show explosive properties to Storage Groups (SprengLR011)"</w:t>
      </w:r>
    </w:p>
    <w:p w14:paraId="70279B9D" w14:textId="2F6BBA45" w:rsidR="00FD4219" w:rsidRPr="00187340" w:rsidRDefault="00FD4219" w:rsidP="0050428A">
      <w:pPr>
        <w:tabs>
          <w:tab w:val="left" w:pos="567"/>
        </w:tabs>
        <w:spacing w:after="200" w:line="240" w:lineRule="auto"/>
        <w:jc w:val="both"/>
        <w:rPr>
          <w:i/>
          <w:iCs/>
          <w:sz w:val="22"/>
        </w:rPr>
      </w:pPr>
      <w:r w:rsidRPr="00187340">
        <w:rPr>
          <w:i/>
          <w:iCs/>
          <w:sz w:val="22"/>
        </w:rPr>
        <w:t xml:space="preserve">[2] </w:t>
      </w:r>
      <w:r w:rsidR="00187340">
        <w:rPr>
          <w:i/>
          <w:iCs/>
          <w:sz w:val="22"/>
        </w:rPr>
        <w:tab/>
      </w:r>
      <w:r w:rsidRPr="00187340">
        <w:rPr>
          <w:i/>
          <w:iCs/>
          <w:sz w:val="22"/>
        </w:rPr>
        <w:t>Thermal radiation hazards from organic peroxides, Roberts, T.A. and Merrifield, R., J. Loss. Prev. Process Ind. 1990, 3, 244.</w:t>
      </w:r>
    </w:p>
    <w:p w14:paraId="3A89D617" w14:textId="43163C64" w:rsidR="00FD4219" w:rsidRPr="00187340" w:rsidRDefault="00FD4219" w:rsidP="0050428A">
      <w:pPr>
        <w:tabs>
          <w:tab w:val="left" w:pos="567"/>
        </w:tabs>
        <w:spacing w:after="200" w:line="240" w:lineRule="auto"/>
        <w:jc w:val="both"/>
        <w:rPr>
          <w:i/>
          <w:iCs/>
          <w:sz w:val="22"/>
        </w:rPr>
      </w:pPr>
      <w:r w:rsidRPr="00187340">
        <w:rPr>
          <w:i/>
          <w:iCs/>
          <w:sz w:val="22"/>
        </w:rPr>
        <w:t xml:space="preserve">[3] </w:t>
      </w:r>
      <w:r w:rsidR="00187340">
        <w:rPr>
          <w:i/>
          <w:iCs/>
          <w:sz w:val="22"/>
        </w:rPr>
        <w:tab/>
      </w:r>
      <w:r w:rsidRPr="00187340">
        <w:rPr>
          <w:i/>
          <w:iCs/>
          <w:sz w:val="22"/>
        </w:rPr>
        <w:t>Thermal radiation hazard and separation distances for industrial cellulose nitrate, Roberts, T.A. and Merrifield, R., J. Loss. Prev. Process Ind. 1992, 5,311.</w:t>
      </w:r>
    </w:p>
    <w:p w14:paraId="54E6F42A" w14:textId="22BFF01C" w:rsidR="00FD4219" w:rsidRPr="00187340" w:rsidRDefault="00FD4219" w:rsidP="0050428A">
      <w:pPr>
        <w:tabs>
          <w:tab w:val="left" w:pos="567"/>
        </w:tabs>
        <w:spacing w:after="200" w:line="240" w:lineRule="auto"/>
        <w:jc w:val="both"/>
        <w:rPr>
          <w:i/>
          <w:iCs/>
          <w:sz w:val="22"/>
        </w:rPr>
      </w:pPr>
      <w:r w:rsidRPr="00187340">
        <w:rPr>
          <w:i/>
          <w:iCs/>
          <w:sz w:val="22"/>
        </w:rPr>
        <w:t xml:space="preserve">[4] </w:t>
      </w:r>
      <w:r w:rsidR="00187340">
        <w:rPr>
          <w:i/>
          <w:iCs/>
          <w:sz w:val="22"/>
        </w:rPr>
        <w:tab/>
      </w:r>
      <w:r w:rsidRPr="00187340">
        <w:rPr>
          <w:i/>
          <w:iCs/>
          <w:sz w:val="22"/>
        </w:rPr>
        <w:t>Storage of Organic Peroxides, Publication Series on Dangerous Substances 8 (PGS 8), Ministries of Social Affairs and of the Interior, The State Secretary of Housing, Spatial Planning and Environment (VROM), The Netherlands 2006.</w:t>
      </w:r>
    </w:p>
    <w:p w14:paraId="3B31D7DC" w14:textId="4405D56A" w:rsidR="00FD4219" w:rsidRPr="00187340" w:rsidRDefault="00FD4219" w:rsidP="0050428A">
      <w:pPr>
        <w:tabs>
          <w:tab w:val="left" w:pos="567"/>
        </w:tabs>
        <w:spacing w:after="200" w:line="240" w:lineRule="auto"/>
        <w:jc w:val="both"/>
        <w:rPr>
          <w:i/>
          <w:iCs/>
          <w:sz w:val="22"/>
        </w:rPr>
      </w:pPr>
      <w:r w:rsidRPr="00187340">
        <w:rPr>
          <w:i/>
          <w:iCs/>
          <w:sz w:val="22"/>
        </w:rPr>
        <w:t xml:space="preserve">[5] </w:t>
      </w:r>
      <w:r w:rsidR="00187340">
        <w:rPr>
          <w:i/>
          <w:iCs/>
          <w:sz w:val="22"/>
        </w:rPr>
        <w:tab/>
      </w:r>
      <w:r w:rsidRPr="00187340">
        <w:rPr>
          <w:i/>
          <w:iCs/>
          <w:sz w:val="22"/>
        </w:rPr>
        <w:t>The storage and handling of organic peroxides, Guidance Note CS21, Health and Safety Executive, 1998, United Kingdom</w:t>
      </w:r>
      <w:r w:rsidRPr="00187340">
        <w:rPr>
          <w:rFonts w:hint="eastAsia"/>
          <w:i/>
          <w:iCs/>
          <w:sz w:val="22"/>
        </w:rPr>
        <w:t>.</w:t>
      </w:r>
    </w:p>
    <w:p w14:paraId="0232DC48" w14:textId="2E8ED65F" w:rsidR="00FD4219" w:rsidRPr="00187340" w:rsidRDefault="00FD4219" w:rsidP="00187340">
      <w:pPr>
        <w:tabs>
          <w:tab w:val="left" w:pos="567"/>
        </w:tabs>
        <w:spacing w:beforeLines="100" w:before="240" w:afterLines="100" w:after="240"/>
        <w:jc w:val="both"/>
        <w:rPr>
          <w:b/>
          <w:i/>
          <w:iCs/>
          <w:sz w:val="22"/>
          <w:u w:val="single"/>
        </w:rPr>
      </w:pPr>
      <w:r w:rsidRPr="00187340">
        <w:rPr>
          <w:b/>
          <w:i/>
          <w:iCs/>
          <w:sz w:val="22"/>
          <w:u w:val="single"/>
        </w:rPr>
        <w:t>[</w:t>
      </w:r>
      <w:r w:rsidRPr="00187340">
        <w:rPr>
          <w:rFonts w:hint="eastAsia"/>
          <w:b/>
          <w:i/>
          <w:iCs/>
          <w:sz w:val="22"/>
          <w:u w:val="single"/>
        </w:rPr>
        <w:t>6</w:t>
      </w:r>
      <w:r w:rsidRPr="00187340">
        <w:rPr>
          <w:b/>
          <w:i/>
          <w:iCs/>
          <w:sz w:val="22"/>
          <w:u w:val="single"/>
        </w:rPr>
        <w:t xml:space="preserve">] </w:t>
      </w:r>
      <w:r w:rsidR="00187340">
        <w:rPr>
          <w:b/>
          <w:i/>
          <w:iCs/>
          <w:sz w:val="22"/>
          <w:u w:val="single"/>
        </w:rPr>
        <w:tab/>
      </w:r>
      <w:r w:rsidRPr="00187340">
        <w:rPr>
          <w:b/>
          <w:i/>
          <w:iCs/>
          <w:sz w:val="22"/>
          <w:u w:val="single"/>
        </w:rPr>
        <w:t>Organic Peroxides</w:t>
      </w:r>
      <w:r w:rsidRPr="00187340">
        <w:rPr>
          <w:rFonts w:hint="eastAsia"/>
          <w:b/>
          <w:i/>
          <w:iCs/>
          <w:sz w:val="22"/>
          <w:u w:val="single"/>
        </w:rPr>
        <w:t>:</w:t>
      </w:r>
      <w:r w:rsidRPr="00187340">
        <w:rPr>
          <w:b/>
          <w:i/>
          <w:iCs/>
          <w:sz w:val="22"/>
          <w:u w:val="single"/>
        </w:rPr>
        <w:t xml:space="preserve"> Storage </w:t>
      </w:r>
      <w:r w:rsidRPr="00187340">
        <w:rPr>
          <w:rFonts w:hint="eastAsia"/>
          <w:b/>
          <w:i/>
          <w:iCs/>
          <w:sz w:val="22"/>
          <w:u w:val="single"/>
        </w:rPr>
        <w:t>(</w:t>
      </w:r>
      <w:r w:rsidRPr="00187340">
        <w:rPr>
          <w:b/>
          <w:i/>
          <w:iCs/>
          <w:sz w:val="22"/>
          <w:u w:val="single"/>
        </w:rPr>
        <w:t>Guideline for the labour-safe, environment</w:t>
      </w:r>
      <w:r w:rsidRPr="00187340">
        <w:rPr>
          <w:rFonts w:hint="eastAsia"/>
          <w:b/>
          <w:i/>
          <w:iCs/>
          <w:sz w:val="22"/>
          <w:u w:val="single"/>
        </w:rPr>
        <w:t>-</w:t>
      </w:r>
      <w:r w:rsidRPr="00187340">
        <w:rPr>
          <w:b/>
          <w:i/>
          <w:iCs/>
          <w:sz w:val="22"/>
          <w:u w:val="single"/>
        </w:rPr>
        <w:t>safe and fire-safe storage of organic peroxides</w:t>
      </w:r>
      <w:r w:rsidRPr="00187340">
        <w:rPr>
          <w:rFonts w:hint="eastAsia"/>
          <w:b/>
          <w:i/>
          <w:iCs/>
          <w:sz w:val="22"/>
          <w:u w:val="single"/>
        </w:rPr>
        <w:t>)</w:t>
      </w:r>
      <w:r w:rsidRPr="00187340">
        <w:rPr>
          <w:b/>
          <w:i/>
          <w:iCs/>
          <w:sz w:val="22"/>
          <w:u w:val="single"/>
        </w:rPr>
        <w:t xml:space="preserve">, </w:t>
      </w:r>
      <w:r w:rsidRPr="00187340">
        <w:rPr>
          <w:rFonts w:hint="eastAsia"/>
          <w:b/>
          <w:i/>
          <w:iCs/>
          <w:sz w:val="22"/>
          <w:u w:val="single"/>
        </w:rPr>
        <w:t xml:space="preserve">Hazardous </w:t>
      </w:r>
      <w:r w:rsidRPr="00187340">
        <w:rPr>
          <w:b/>
          <w:i/>
          <w:iCs/>
          <w:sz w:val="22"/>
          <w:u w:val="single"/>
        </w:rPr>
        <w:t>Substances</w:t>
      </w:r>
      <w:r w:rsidRPr="00187340">
        <w:rPr>
          <w:rFonts w:hint="eastAsia"/>
          <w:b/>
          <w:i/>
          <w:iCs/>
          <w:sz w:val="22"/>
          <w:u w:val="single"/>
        </w:rPr>
        <w:t xml:space="preserve"> Publication Series</w:t>
      </w:r>
      <w:r w:rsidRPr="00187340">
        <w:rPr>
          <w:b/>
          <w:i/>
          <w:iCs/>
          <w:sz w:val="22"/>
          <w:u w:val="single"/>
        </w:rPr>
        <w:t xml:space="preserve"> 8</w:t>
      </w:r>
      <w:r w:rsidRPr="00187340">
        <w:rPr>
          <w:rFonts w:hint="eastAsia"/>
          <w:b/>
          <w:i/>
          <w:iCs/>
          <w:sz w:val="22"/>
          <w:u w:val="single"/>
        </w:rPr>
        <w:t xml:space="preserve">:2011 </w:t>
      </w:r>
      <w:r w:rsidRPr="00187340">
        <w:rPr>
          <w:b/>
          <w:i/>
          <w:iCs/>
          <w:sz w:val="22"/>
          <w:u w:val="single"/>
        </w:rPr>
        <w:t xml:space="preserve">(PGS 8:2011) </w:t>
      </w:r>
      <w:r w:rsidRPr="00187340">
        <w:rPr>
          <w:rFonts w:hint="eastAsia"/>
          <w:b/>
          <w:i/>
          <w:iCs/>
          <w:sz w:val="22"/>
          <w:u w:val="single"/>
        </w:rPr>
        <w:t>version 1.0</w:t>
      </w:r>
      <w:r w:rsidRPr="00187340">
        <w:rPr>
          <w:b/>
          <w:i/>
          <w:iCs/>
          <w:sz w:val="22"/>
          <w:u w:val="single"/>
        </w:rPr>
        <w:t xml:space="preserve">, </w:t>
      </w:r>
      <w:r w:rsidRPr="00187340">
        <w:rPr>
          <w:rFonts w:hint="eastAsia"/>
          <w:b/>
          <w:i/>
          <w:iCs/>
          <w:sz w:val="22"/>
          <w:u w:val="single"/>
        </w:rPr>
        <w:t>December</w:t>
      </w:r>
      <w:r w:rsidRPr="00187340">
        <w:rPr>
          <w:b/>
          <w:i/>
          <w:iCs/>
          <w:sz w:val="22"/>
          <w:u w:val="single"/>
        </w:rPr>
        <w:t xml:space="preserve"> 20</w:t>
      </w:r>
      <w:r w:rsidRPr="00187340">
        <w:rPr>
          <w:rFonts w:hint="eastAsia"/>
          <w:b/>
          <w:i/>
          <w:iCs/>
          <w:sz w:val="22"/>
          <w:u w:val="single"/>
        </w:rPr>
        <w:t>11</w:t>
      </w:r>
      <w:r w:rsidRPr="00187340">
        <w:rPr>
          <w:b/>
          <w:i/>
          <w:iCs/>
          <w:sz w:val="22"/>
          <w:u w:val="single"/>
        </w:rPr>
        <w:t>.</w:t>
      </w:r>
      <w:r w:rsidR="00C25621">
        <w:rPr>
          <w:b/>
          <w:i/>
          <w:iCs/>
          <w:sz w:val="22"/>
          <w:u w:val="single"/>
        </w:rPr>
        <w:t>”</w:t>
      </w:r>
    </w:p>
    <w:p w14:paraId="313169A8" w14:textId="15749B8A" w:rsidR="0002673F" w:rsidRPr="0002673F" w:rsidRDefault="00E76F11" w:rsidP="0050428A">
      <w:pPr>
        <w:spacing w:before="240"/>
        <w:jc w:val="center"/>
        <w:rPr>
          <w:u w:val="single"/>
          <w:lang w:val="en-AU" w:eastAsia="en-AU"/>
        </w:rPr>
      </w:pPr>
      <w:r>
        <w:rPr>
          <w:u w:val="single"/>
        </w:rPr>
        <w:tab/>
      </w:r>
      <w:r>
        <w:rPr>
          <w:u w:val="single"/>
        </w:rPr>
        <w:tab/>
      </w:r>
      <w:r>
        <w:rPr>
          <w:u w:val="single"/>
        </w:rPr>
        <w:tab/>
      </w:r>
    </w:p>
    <w:sectPr w:rsidR="0002673F" w:rsidRPr="0002673F" w:rsidSect="00AB2474">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BC9" w14:textId="77777777" w:rsidR="00AD01A9" w:rsidRDefault="00AD01A9"/>
  </w:endnote>
  <w:endnote w:type="continuationSeparator" w:id="0">
    <w:p w14:paraId="62593AB0" w14:textId="77777777" w:rsidR="00AD01A9" w:rsidRDefault="00AD01A9"/>
  </w:endnote>
  <w:endnote w:type="continuationNotice" w:id="1">
    <w:p w14:paraId="29F75500" w14:textId="77777777" w:rsidR="00AD01A9" w:rsidRDefault="00AD0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BB56" w14:textId="77777777" w:rsidR="00AD01A9" w:rsidRPr="000B175B" w:rsidRDefault="00AD01A9" w:rsidP="000B175B">
      <w:pPr>
        <w:tabs>
          <w:tab w:val="right" w:pos="2155"/>
        </w:tabs>
        <w:spacing w:after="80"/>
        <w:ind w:left="680"/>
        <w:rPr>
          <w:u w:val="single"/>
        </w:rPr>
      </w:pPr>
      <w:r>
        <w:rPr>
          <w:u w:val="single"/>
        </w:rPr>
        <w:tab/>
      </w:r>
    </w:p>
  </w:footnote>
  <w:footnote w:type="continuationSeparator" w:id="0">
    <w:p w14:paraId="4CD18719" w14:textId="77777777" w:rsidR="00AD01A9" w:rsidRPr="00FC68B7" w:rsidRDefault="00AD01A9" w:rsidP="00FC68B7">
      <w:pPr>
        <w:tabs>
          <w:tab w:val="left" w:pos="2155"/>
        </w:tabs>
        <w:spacing w:after="80"/>
        <w:ind w:left="680"/>
        <w:rPr>
          <w:u w:val="single"/>
        </w:rPr>
      </w:pPr>
      <w:r>
        <w:rPr>
          <w:u w:val="single"/>
        </w:rPr>
        <w:tab/>
      </w:r>
    </w:p>
  </w:footnote>
  <w:footnote w:type="continuationNotice" w:id="1">
    <w:p w14:paraId="21A79E64" w14:textId="77777777" w:rsidR="00AD01A9" w:rsidRDefault="00AD01A9"/>
  </w:footnote>
  <w:footnote w:id="2">
    <w:p w14:paraId="6C9849A6" w14:textId="085AC72C" w:rsidR="00FD4219" w:rsidRPr="00654359" w:rsidRDefault="00FD4219" w:rsidP="00F4687F">
      <w:pPr>
        <w:pStyle w:val="FootnoteText"/>
        <w:tabs>
          <w:tab w:val="clear" w:pos="1021"/>
          <w:tab w:val="left" w:pos="567"/>
        </w:tabs>
        <w:ind w:left="0" w:right="0" w:firstLine="0"/>
        <w:jc w:val="both"/>
        <w:rPr>
          <w:sz w:val="22"/>
          <w:szCs w:val="22"/>
        </w:rPr>
      </w:pPr>
      <w:r w:rsidRPr="00F4687F">
        <w:rPr>
          <w:rStyle w:val="FootnoteReference"/>
          <w:sz w:val="20"/>
        </w:rPr>
        <w:footnoteRef/>
      </w:r>
      <w:r w:rsidRPr="00F4687F">
        <w:rPr>
          <w:sz w:val="20"/>
        </w:rPr>
        <w:t xml:space="preserve"> </w:t>
      </w:r>
      <w:r w:rsidR="00F4687F">
        <w:rPr>
          <w:sz w:val="20"/>
        </w:rPr>
        <w:tab/>
      </w:r>
      <w:r w:rsidRPr="00654359">
        <w:rPr>
          <w:i/>
          <w:iCs/>
          <w:sz w:val="22"/>
          <w:szCs w:val="22"/>
        </w:rPr>
        <w:t>The exothermic decomposition energy should be determined using the explosive already desensitized</w:t>
      </w:r>
      <w:r w:rsidRPr="00654359">
        <w:rPr>
          <w:rFonts w:hint="eastAsia"/>
          <w:i/>
          <w:iCs/>
          <w:sz w:val="22"/>
          <w:szCs w:val="22"/>
        </w:rPr>
        <w:t xml:space="preserve"> </w:t>
      </w:r>
      <w:r w:rsidRPr="00654359">
        <w:rPr>
          <w:i/>
          <w:iCs/>
          <w:sz w:val="22"/>
          <w:szCs w:val="22"/>
        </w:rPr>
        <w:t>(i.e.: the homogenous solid or liquids mixture formed by the explosive and the substance(s) used to suppress its explosive properties). The exothermic decomposition energy may be estimated using a suitable calorimetric technique (see section 20, subsection 20.3.3.3 in part II of</w:t>
      </w:r>
      <w:r w:rsidRPr="00654359">
        <w:rPr>
          <w:rFonts w:hint="eastAsia"/>
          <w:i/>
          <w:iCs/>
          <w:sz w:val="22"/>
          <w:szCs w:val="22"/>
        </w:rPr>
        <w:t xml:space="preserve"> </w:t>
      </w:r>
      <w:r w:rsidRPr="00654359">
        <w:rPr>
          <w:i/>
          <w:iCs/>
          <w:sz w:val="22"/>
          <w:szCs w:val="22"/>
        </w:rPr>
        <w:t>this "Manual").</w:t>
      </w:r>
    </w:p>
  </w:footnote>
  <w:footnote w:id="3">
    <w:p w14:paraId="294E4E95" w14:textId="5E093A8F" w:rsidR="00FD4219" w:rsidRPr="00654359" w:rsidRDefault="00FD4219" w:rsidP="00654359">
      <w:pPr>
        <w:pStyle w:val="FootnoteText"/>
        <w:tabs>
          <w:tab w:val="left" w:pos="567"/>
        </w:tabs>
        <w:rPr>
          <w:sz w:val="22"/>
          <w:szCs w:val="22"/>
        </w:rPr>
      </w:pPr>
      <w:r>
        <w:rPr>
          <w:rStyle w:val="FootnoteReference"/>
        </w:rPr>
        <w:footnoteRef/>
      </w:r>
      <w:r>
        <w:t xml:space="preserve"> </w:t>
      </w:r>
      <w:r w:rsidR="00654359">
        <w:tab/>
      </w:r>
      <w:r w:rsidRPr="00654359">
        <w:rPr>
          <w:i/>
          <w:iCs/>
          <w:sz w:val="22"/>
          <w:szCs w:val="22"/>
        </w:rPr>
        <w:t>If the type l (a) test is not carried out test 6 (a) cannot be waived.</w:t>
      </w:r>
    </w:p>
  </w:footnote>
  <w:footnote w:id="4">
    <w:p w14:paraId="3C29658C" w14:textId="090222FE" w:rsidR="00FD4219" w:rsidRPr="00527B0D" w:rsidRDefault="00527B0D" w:rsidP="00FB7BEB">
      <w:pPr>
        <w:pStyle w:val="FootnoteText"/>
        <w:tabs>
          <w:tab w:val="clear" w:pos="1021"/>
          <w:tab w:val="left" w:pos="567"/>
          <w:tab w:val="right" w:pos="1134"/>
        </w:tabs>
        <w:rPr>
          <w:sz w:val="22"/>
          <w:szCs w:val="22"/>
        </w:rPr>
      </w:pPr>
      <w:r>
        <w:rPr>
          <w:sz w:val="22"/>
          <w:szCs w:val="22"/>
        </w:rPr>
        <w:tab/>
      </w:r>
      <w:r w:rsidR="00FD4219" w:rsidRPr="00527B0D">
        <w:rPr>
          <w:rStyle w:val="FootnoteReference"/>
          <w:sz w:val="22"/>
          <w:szCs w:val="22"/>
        </w:rPr>
        <w:footnoteRef/>
      </w:r>
      <w:r w:rsidR="00FD4219" w:rsidRPr="00527B0D">
        <w:rPr>
          <w:sz w:val="22"/>
          <w:szCs w:val="22"/>
        </w:rPr>
        <w:t xml:space="preserve"> </w:t>
      </w:r>
      <w:r>
        <w:rPr>
          <w:sz w:val="22"/>
          <w:szCs w:val="22"/>
        </w:rPr>
        <w:tab/>
      </w:r>
      <w:r w:rsidR="00FD4219" w:rsidRPr="00527B0D">
        <w:rPr>
          <w:i/>
          <w:iCs/>
          <w:sz w:val="22"/>
          <w:szCs w:val="22"/>
        </w:rPr>
        <w:t>Should be determined by a suitable technique e.g. combustion calorimeter.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79373843" w:rsidR="001E4270" w:rsidRDefault="001E4270" w:rsidP="001E4270">
    <w:pPr>
      <w:pStyle w:val="Header"/>
    </w:pPr>
    <w:r>
      <w:t>UN/SCETDG/6</w:t>
    </w:r>
    <w:r w:rsidR="007D166A">
      <w:t>4</w:t>
    </w:r>
    <w:r>
      <w:t>/INF.</w:t>
    </w:r>
    <w:r w:rsidR="00F87A76">
      <w:t>5</w:t>
    </w:r>
  </w:p>
  <w:p w14:paraId="646E741E" w14:textId="5676482B" w:rsidR="006C0DC6" w:rsidRPr="008D17C6" w:rsidRDefault="001E4270" w:rsidP="001E4270">
    <w:pPr>
      <w:pStyle w:val="Header"/>
    </w:pPr>
    <w:r>
      <w:t>UN/SCEGHS/</w:t>
    </w:r>
    <w:r w:rsidR="007D166A">
      <w:t>46</w:t>
    </w:r>
    <w:r>
      <w:t>/INF.</w:t>
    </w:r>
    <w:r w:rsidR="000F68C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2407AB49" w:rsidR="001E4270" w:rsidRDefault="001E4270" w:rsidP="001E4270">
    <w:pPr>
      <w:pStyle w:val="Header"/>
      <w:jc w:val="right"/>
    </w:pPr>
    <w:r>
      <w:t>UN/SCETDG/6</w:t>
    </w:r>
    <w:r w:rsidR="007D166A">
      <w:t>4</w:t>
    </w:r>
    <w:r>
      <w:t>/INF.</w:t>
    </w:r>
    <w:r w:rsidR="000F68CC">
      <w:t>5</w:t>
    </w:r>
  </w:p>
  <w:p w14:paraId="791F0B15" w14:textId="5542D93F" w:rsidR="006C0DC6" w:rsidRPr="008D17C6" w:rsidRDefault="001E4270" w:rsidP="001E4270">
    <w:pPr>
      <w:pStyle w:val="Header"/>
      <w:jc w:val="right"/>
    </w:pPr>
    <w:r>
      <w:t>UN/SCEGHS/4</w:t>
    </w:r>
    <w:r w:rsidR="007D166A">
      <w:t>6</w:t>
    </w:r>
    <w:r>
      <w:t>/INF.</w:t>
    </w:r>
    <w:r w:rsidR="000F68CC">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B56DF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C1C0A"/>
    <w:multiLevelType w:val="hybridMultilevel"/>
    <w:tmpl w:val="B41A022A"/>
    <w:lvl w:ilvl="0" w:tplc="E61A362C">
      <w:start w:val="16"/>
      <w:numFmt w:val="bullet"/>
      <w:lvlText w:val="-"/>
      <w:lvlJc w:val="left"/>
      <w:pPr>
        <w:ind w:left="2049" w:hanging="36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4"/>
  </w:num>
  <w:num w:numId="3" w16cid:durableId="233050477">
    <w:abstractNumId w:val="2"/>
  </w:num>
  <w:num w:numId="4" w16cid:durableId="321392605">
    <w:abstractNumId w:val="3"/>
  </w:num>
  <w:num w:numId="5" w16cid:durableId="721635733">
    <w:abstractNumId w:val="2"/>
  </w:num>
  <w:num w:numId="6" w16cid:durableId="388190297">
    <w:abstractNumId w:val="1"/>
  </w:num>
  <w:num w:numId="7" w16cid:durableId="62992668">
    <w:abstractNumId w:val="0"/>
  </w:num>
  <w:num w:numId="8" w16cid:durableId="1522160988">
    <w:abstractNumId w:val="4"/>
  </w:num>
  <w:num w:numId="9" w16cid:durableId="756167775">
    <w:abstractNumId w:val="0"/>
  </w:num>
  <w:num w:numId="10" w16cid:durableId="2131362124">
    <w:abstractNumId w:val="4"/>
  </w:num>
  <w:num w:numId="11" w16cid:durableId="542256101">
    <w:abstractNumId w:val="0"/>
  </w:num>
  <w:num w:numId="12" w16cid:durableId="156028358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CE7"/>
    <w:rsid w:val="00013D99"/>
    <w:rsid w:val="00015101"/>
    <w:rsid w:val="000204EA"/>
    <w:rsid w:val="00020892"/>
    <w:rsid w:val="00020C9D"/>
    <w:rsid w:val="00020FFC"/>
    <w:rsid w:val="0002214E"/>
    <w:rsid w:val="000254D0"/>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440"/>
    <w:rsid w:val="00051969"/>
    <w:rsid w:val="00053756"/>
    <w:rsid w:val="00054C58"/>
    <w:rsid w:val="0005512E"/>
    <w:rsid w:val="00055796"/>
    <w:rsid w:val="00057F51"/>
    <w:rsid w:val="000609DB"/>
    <w:rsid w:val="00062CB5"/>
    <w:rsid w:val="00064B0A"/>
    <w:rsid w:val="0006754E"/>
    <w:rsid w:val="00067811"/>
    <w:rsid w:val="000700D3"/>
    <w:rsid w:val="00070393"/>
    <w:rsid w:val="00071A4F"/>
    <w:rsid w:val="000723E7"/>
    <w:rsid w:val="00072C8C"/>
    <w:rsid w:val="00073119"/>
    <w:rsid w:val="000737EC"/>
    <w:rsid w:val="000739C6"/>
    <w:rsid w:val="00073F4A"/>
    <w:rsid w:val="00076279"/>
    <w:rsid w:val="00076E62"/>
    <w:rsid w:val="000778B2"/>
    <w:rsid w:val="000803B3"/>
    <w:rsid w:val="000814D8"/>
    <w:rsid w:val="000815E2"/>
    <w:rsid w:val="00081647"/>
    <w:rsid w:val="00081F44"/>
    <w:rsid w:val="00083694"/>
    <w:rsid w:val="00083C33"/>
    <w:rsid w:val="000877CA"/>
    <w:rsid w:val="00090A51"/>
    <w:rsid w:val="00090B32"/>
    <w:rsid w:val="000931C0"/>
    <w:rsid w:val="0009390A"/>
    <w:rsid w:val="00096CD4"/>
    <w:rsid w:val="000A0664"/>
    <w:rsid w:val="000A18E8"/>
    <w:rsid w:val="000A22EE"/>
    <w:rsid w:val="000A3E88"/>
    <w:rsid w:val="000A5146"/>
    <w:rsid w:val="000A7BCC"/>
    <w:rsid w:val="000B0600"/>
    <w:rsid w:val="000B175B"/>
    <w:rsid w:val="000B3A0F"/>
    <w:rsid w:val="000B4C96"/>
    <w:rsid w:val="000C1589"/>
    <w:rsid w:val="000C1817"/>
    <w:rsid w:val="000C25B7"/>
    <w:rsid w:val="000C38D0"/>
    <w:rsid w:val="000C56DF"/>
    <w:rsid w:val="000C5B0B"/>
    <w:rsid w:val="000C5C67"/>
    <w:rsid w:val="000C6544"/>
    <w:rsid w:val="000C6A00"/>
    <w:rsid w:val="000D030A"/>
    <w:rsid w:val="000D191F"/>
    <w:rsid w:val="000D2788"/>
    <w:rsid w:val="000D39F8"/>
    <w:rsid w:val="000D3B0C"/>
    <w:rsid w:val="000D7DB6"/>
    <w:rsid w:val="000E0415"/>
    <w:rsid w:val="000E1DC7"/>
    <w:rsid w:val="000E1ED2"/>
    <w:rsid w:val="000E2D4D"/>
    <w:rsid w:val="000E45CC"/>
    <w:rsid w:val="000E51CE"/>
    <w:rsid w:val="000F2CE1"/>
    <w:rsid w:val="000F368C"/>
    <w:rsid w:val="000F3DDC"/>
    <w:rsid w:val="000F5414"/>
    <w:rsid w:val="000F5A97"/>
    <w:rsid w:val="000F68CC"/>
    <w:rsid w:val="000F6C7B"/>
    <w:rsid w:val="00100A9D"/>
    <w:rsid w:val="00101B7C"/>
    <w:rsid w:val="00102373"/>
    <w:rsid w:val="001035FB"/>
    <w:rsid w:val="001046E7"/>
    <w:rsid w:val="0010538B"/>
    <w:rsid w:val="001059D2"/>
    <w:rsid w:val="00106B35"/>
    <w:rsid w:val="00107042"/>
    <w:rsid w:val="00107853"/>
    <w:rsid w:val="00110386"/>
    <w:rsid w:val="0011098D"/>
    <w:rsid w:val="00110DF6"/>
    <w:rsid w:val="00111F3F"/>
    <w:rsid w:val="0011793B"/>
    <w:rsid w:val="00120412"/>
    <w:rsid w:val="001220B8"/>
    <w:rsid w:val="00123D08"/>
    <w:rsid w:val="001240C5"/>
    <w:rsid w:val="0012566D"/>
    <w:rsid w:val="001261CA"/>
    <w:rsid w:val="0013106B"/>
    <w:rsid w:val="0013236A"/>
    <w:rsid w:val="00132EE2"/>
    <w:rsid w:val="0013397C"/>
    <w:rsid w:val="00134593"/>
    <w:rsid w:val="0013518F"/>
    <w:rsid w:val="001362CB"/>
    <w:rsid w:val="0013641F"/>
    <w:rsid w:val="00137D36"/>
    <w:rsid w:val="00142C3A"/>
    <w:rsid w:val="00144075"/>
    <w:rsid w:val="00144078"/>
    <w:rsid w:val="00144B03"/>
    <w:rsid w:val="001454ED"/>
    <w:rsid w:val="00146CED"/>
    <w:rsid w:val="001547CA"/>
    <w:rsid w:val="00155B79"/>
    <w:rsid w:val="00156F3C"/>
    <w:rsid w:val="0015785A"/>
    <w:rsid w:val="00160C11"/>
    <w:rsid w:val="00161228"/>
    <w:rsid w:val="00161847"/>
    <w:rsid w:val="001621FA"/>
    <w:rsid w:val="00162BF7"/>
    <w:rsid w:val="00163012"/>
    <w:rsid w:val="00163D0D"/>
    <w:rsid w:val="00164D21"/>
    <w:rsid w:val="00165823"/>
    <w:rsid w:val="0016583F"/>
    <w:rsid w:val="00172643"/>
    <w:rsid w:val="00172F8E"/>
    <w:rsid w:val="001806E6"/>
    <w:rsid w:val="001836E3"/>
    <w:rsid w:val="00187340"/>
    <w:rsid w:val="00187735"/>
    <w:rsid w:val="001879A6"/>
    <w:rsid w:val="00190AEA"/>
    <w:rsid w:val="001915C2"/>
    <w:rsid w:val="001954AF"/>
    <w:rsid w:val="001960F9"/>
    <w:rsid w:val="00196CD0"/>
    <w:rsid w:val="001A1B3F"/>
    <w:rsid w:val="001A264D"/>
    <w:rsid w:val="001A2C53"/>
    <w:rsid w:val="001A3CE1"/>
    <w:rsid w:val="001A42F3"/>
    <w:rsid w:val="001A5687"/>
    <w:rsid w:val="001A59DF"/>
    <w:rsid w:val="001B1308"/>
    <w:rsid w:val="001B1F42"/>
    <w:rsid w:val="001B3435"/>
    <w:rsid w:val="001B39D5"/>
    <w:rsid w:val="001B4B04"/>
    <w:rsid w:val="001B5F9C"/>
    <w:rsid w:val="001B7FE6"/>
    <w:rsid w:val="001C2E02"/>
    <w:rsid w:val="001C40FD"/>
    <w:rsid w:val="001C5CDB"/>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C8A"/>
    <w:rsid w:val="00211D0D"/>
    <w:rsid w:val="00211E0B"/>
    <w:rsid w:val="00217B73"/>
    <w:rsid w:val="00217CC8"/>
    <w:rsid w:val="00221E24"/>
    <w:rsid w:val="00222B5A"/>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2273"/>
    <w:rsid w:val="00255AC8"/>
    <w:rsid w:val="002570BC"/>
    <w:rsid w:val="00257E45"/>
    <w:rsid w:val="00262488"/>
    <w:rsid w:val="00263951"/>
    <w:rsid w:val="00265671"/>
    <w:rsid w:val="00266898"/>
    <w:rsid w:val="00270FDB"/>
    <w:rsid w:val="0027313E"/>
    <w:rsid w:val="00274178"/>
    <w:rsid w:val="00275D77"/>
    <w:rsid w:val="00280F08"/>
    <w:rsid w:val="00284A54"/>
    <w:rsid w:val="00285613"/>
    <w:rsid w:val="00286529"/>
    <w:rsid w:val="00286659"/>
    <w:rsid w:val="00293172"/>
    <w:rsid w:val="0029346B"/>
    <w:rsid w:val="002A1567"/>
    <w:rsid w:val="002A22D5"/>
    <w:rsid w:val="002A3649"/>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5D30"/>
    <w:rsid w:val="002D64AB"/>
    <w:rsid w:val="002D7571"/>
    <w:rsid w:val="002E0624"/>
    <w:rsid w:val="002E6284"/>
    <w:rsid w:val="002E6E4A"/>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1D8E"/>
    <w:rsid w:val="003229D8"/>
    <w:rsid w:val="00323C69"/>
    <w:rsid w:val="0032442E"/>
    <w:rsid w:val="0032489E"/>
    <w:rsid w:val="003265CA"/>
    <w:rsid w:val="00334839"/>
    <w:rsid w:val="00334D85"/>
    <w:rsid w:val="00335DF4"/>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77C6B"/>
    <w:rsid w:val="003807E5"/>
    <w:rsid w:val="00380AA8"/>
    <w:rsid w:val="00380DC7"/>
    <w:rsid w:val="003819B1"/>
    <w:rsid w:val="00382D6C"/>
    <w:rsid w:val="003841B8"/>
    <w:rsid w:val="00385DF6"/>
    <w:rsid w:val="00385E68"/>
    <w:rsid w:val="003864F3"/>
    <w:rsid w:val="0038656E"/>
    <w:rsid w:val="00387A81"/>
    <w:rsid w:val="00390529"/>
    <w:rsid w:val="00390C1F"/>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1F1"/>
    <w:rsid w:val="003F6227"/>
    <w:rsid w:val="003F668F"/>
    <w:rsid w:val="003F686C"/>
    <w:rsid w:val="003F6A6C"/>
    <w:rsid w:val="003F6DAE"/>
    <w:rsid w:val="003F7973"/>
    <w:rsid w:val="003F7A75"/>
    <w:rsid w:val="004012E2"/>
    <w:rsid w:val="004018B6"/>
    <w:rsid w:val="00401917"/>
    <w:rsid w:val="00401E46"/>
    <w:rsid w:val="0040598C"/>
    <w:rsid w:val="004071D6"/>
    <w:rsid w:val="004072DB"/>
    <w:rsid w:val="004073A5"/>
    <w:rsid w:val="00410733"/>
    <w:rsid w:val="004108EE"/>
    <w:rsid w:val="00411445"/>
    <w:rsid w:val="00411F2B"/>
    <w:rsid w:val="00415934"/>
    <w:rsid w:val="004160C6"/>
    <w:rsid w:val="004164E7"/>
    <w:rsid w:val="0042111E"/>
    <w:rsid w:val="0042234A"/>
    <w:rsid w:val="004230C0"/>
    <w:rsid w:val="0042588C"/>
    <w:rsid w:val="00426C3A"/>
    <w:rsid w:val="00426C9C"/>
    <w:rsid w:val="00426D71"/>
    <w:rsid w:val="00431C5B"/>
    <w:rsid w:val="00431EFF"/>
    <w:rsid w:val="0043232C"/>
    <w:rsid w:val="004325CB"/>
    <w:rsid w:val="0043583A"/>
    <w:rsid w:val="00435DEA"/>
    <w:rsid w:val="00436257"/>
    <w:rsid w:val="0043783F"/>
    <w:rsid w:val="00437EFC"/>
    <w:rsid w:val="00440809"/>
    <w:rsid w:val="0044372F"/>
    <w:rsid w:val="004440E5"/>
    <w:rsid w:val="00445149"/>
    <w:rsid w:val="004458CC"/>
    <w:rsid w:val="00446DE4"/>
    <w:rsid w:val="00447E1A"/>
    <w:rsid w:val="00451562"/>
    <w:rsid w:val="00451A36"/>
    <w:rsid w:val="0045333F"/>
    <w:rsid w:val="00460BCA"/>
    <w:rsid w:val="00460DD9"/>
    <w:rsid w:val="0046228F"/>
    <w:rsid w:val="0046451A"/>
    <w:rsid w:val="004665E5"/>
    <w:rsid w:val="00466D75"/>
    <w:rsid w:val="00467122"/>
    <w:rsid w:val="0046712E"/>
    <w:rsid w:val="00467927"/>
    <w:rsid w:val="00472A25"/>
    <w:rsid w:val="0047508E"/>
    <w:rsid w:val="004750BF"/>
    <w:rsid w:val="00475B8E"/>
    <w:rsid w:val="0047615E"/>
    <w:rsid w:val="004774B9"/>
    <w:rsid w:val="0048269B"/>
    <w:rsid w:val="0048291A"/>
    <w:rsid w:val="0049018F"/>
    <w:rsid w:val="004901B7"/>
    <w:rsid w:val="00490282"/>
    <w:rsid w:val="004922E5"/>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6259"/>
    <w:rsid w:val="004C7AF7"/>
    <w:rsid w:val="004D16C5"/>
    <w:rsid w:val="004D5CB2"/>
    <w:rsid w:val="004D6E91"/>
    <w:rsid w:val="004D7EFA"/>
    <w:rsid w:val="004E09B1"/>
    <w:rsid w:val="004E1C33"/>
    <w:rsid w:val="004E45BF"/>
    <w:rsid w:val="004E478E"/>
    <w:rsid w:val="004E5083"/>
    <w:rsid w:val="004E55F4"/>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28A"/>
    <w:rsid w:val="005043A8"/>
    <w:rsid w:val="00505384"/>
    <w:rsid w:val="00506B40"/>
    <w:rsid w:val="005070CA"/>
    <w:rsid w:val="0051079A"/>
    <w:rsid w:val="00515AB9"/>
    <w:rsid w:val="00516318"/>
    <w:rsid w:val="0051748D"/>
    <w:rsid w:val="00517A1B"/>
    <w:rsid w:val="00520683"/>
    <w:rsid w:val="00521801"/>
    <w:rsid w:val="0052461A"/>
    <w:rsid w:val="00525275"/>
    <w:rsid w:val="0052543F"/>
    <w:rsid w:val="00525BAC"/>
    <w:rsid w:val="00526E8A"/>
    <w:rsid w:val="005279DC"/>
    <w:rsid w:val="00527B0D"/>
    <w:rsid w:val="005319AF"/>
    <w:rsid w:val="00532EF8"/>
    <w:rsid w:val="00533A8F"/>
    <w:rsid w:val="00534E29"/>
    <w:rsid w:val="005356FB"/>
    <w:rsid w:val="005357E0"/>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3200"/>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0E7B"/>
    <w:rsid w:val="005E27AB"/>
    <w:rsid w:val="005E37E7"/>
    <w:rsid w:val="005E45A4"/>
    <w:rsid w:val="005E46D3"/>
    <w:rsid w:val="005E55E7"/>
    <w:rsid w:val="005E743D"/>
    <w:rsid w:val="005F2648"/>
    <w:rsid w:val="005F3939"/>
    <w:rsid w:val="00600487"/>
    <w:rsid w:val="00601498"/>
    <w:rsid w:val="006021E2"/>
    <w:rsid w:val="00602EE8"/>
    <w:rsid w:val="00602FF5"/>
    <w:rsid w:val="00603143"/>
    <w:rsid w:val="006034C6"/>
    <w:rsid w:val="00603789"/>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0842"/>
    <w:rsid w:val="00631531"/>
    <w:rsid w:val="00633B07"/>
    <w:rsid w:val="00633ED0"/>
    <w:rsid w:val="00634702"/>
    <w:rsid w:val="00637050"/>
    <w:rsid w:val="0064019F"/>
    <w:rsid w:val="00640B26"/>
    <w:rsid w:val="00640D06"/>
    <w:rsid w:val="00640FD5"/>
    <w:rsid w:val="00641F8E"/>
    <w:rsid w:val="00642B1E"/>
    <w:rsid w:val="0064354A"/>
    <w:rsid w:val="00643E18"/>
    <w:rsid w:val="0064479D"/>
    <w:rsid w:val="00654359"/>
    <w:rsid w:val="006545BA"/>
    <w:rsid w:val="00655D3A"/>
    <w:rsid w:val="00656D10"/>
    <w:rsid w:val="00661F7A"/>
    <w:rsid w:val="00662ABC"/>
    <w:rsid w:val="006632CE"/>
    <w:rsid w:val="00665595"/>
    <w:rsid w:val="006666F6"/>
    <w:rsid w:val="0066697D"/>
    <w:rsid w:val="00666C72"/>
    <w:rsid w:val="006743E5"/>
    <w:rsid w:val="00675396"/>
    <w:rsid w:val="00675B9D"/>
    <w:rsid w:val="00676FD8"/>
    <w:rsid w:val="0068043C"/>
    <w:rsid w:val="00681E12"/>
    <w:rsid w:val="006879C9"/>
    <w:rsid w:val="00687A18"/>
    <w:rsid w:val="00690159"/>
    <w:rsid w:val="00691F20"/>
    <w:rsid w:val="00693543"/>
    <w:rsid w:val="0069379A"/>
    <w:rsid w:val="00693F47"/>
    <w:rsid w:val="00694263"/>
    <w:rsid w:val="006944AB"/>
    <w:rsid w:val="00694E7D"/>
    <w:rsid w:val="00695C1E"/>
    <w:rsid w:val="00696786"/>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977"/>
    <w:rsid w:val="006C3F77"/>
    <w:rsid w:val="006C41F5"/>
    <w:rsid w:val="006C52B9"/>
    <w:rsid w:val="006D2106"/>
    <w:rsid w:val="006D22B5"/>
    <w:rsid w:val="006D36D1"/>
    <w:rsid w:val="006D383D"/>
    <w:rsid w:val="006D633D"/>
    <w:rsid w:val="006D6655"/>
    <w:rsid w:val="006D703B"/>
    <w:rsid w:val="006E01A8"/>
    <w:rsid w:val="006E0806"/>
    <w:rsid w:val="006E191D"/>
    <w:rsid w:val="006E20C4"/>
    <w:rsid w:val="006E2A58"/>
    <w:rsid w:val="006E2CE0"/>
    <w:rsid w:val="006E3500"/>
    <w:rsid w:val="006E41A2"/>
    <w:rsid w:val="006E41F6"/>
    <w:rsid w:val="006E564B"/>
    <w:rsid w:val="006E7306"/>
    <w:rsid w:val="006E762C"/>
    <w:rsid w:val="006E7CEF"/>
    <w:rsid w:val="006F03A0"/>
    <w:rsid w:val="006F17B5"/>
    <w:rsid w:val="006F18BB"/>
    <w:rsid w:val="006F2413"/>
    <w:rsid w:val="006F6A76"/>
    <w:rsid w:val="006F764C"/>
    <w:rsid w:val="00700E12"/>
    <w:rsid w:val="00702BA6"/>
    <w:rsid w:val="00706D51"/>
    <w:rsid w:val="00707163"/>
    <w:rsid w:val="007077BB"/>
    <w:rsid w:val="0071349F"/>
    <w:rsid w:val="007164A1"/>
    <w:rsid w:val="00717E07"/>
    <w:rsid w:val="00720197"/>
    <w:rsid w:val="00720DEB"/>
    <w:rsid w:val="00720E11"/>
    <w:rsid w:val="00723019"/>
    <w:rsid w:val="00724C9D"/>
    <w:rsid w:val="00725594"/>
    <w:rsid w:val="0072632A"/>
    <w:rsid w:val="00726D36"/>
    <w:rsid w:val="00727E7C"/>
    <w:rsid w:val="0073084C"/>
    <w:rsid w:val="00730E44"/>
    <w:rsid w:val="007316E1"/>
    <w:rsid w:val="007326E1"/>
    <w:rsid w:val="00733AAE"/>
    <w:rsid w:val="00735880"/>
    <w:rsid w:val="00736209"/>
    <w:rsid w:val="007372E2"/>
    <w:rsid w:val="0074105E"/>
    <w:rsid w:val="007435D4"/>
    <w:rsid w:val="00743E53"/>
    <w:rsid w:val="00744B01"/>
    <w:rsid w:val="00745024"/>
    <w:rsid w:val="007468B8"/>
    <w:rsid w:val="00751CF6"/>
    <w:rsid w:val="00752A06"/>
    <w:rsid w:val="00752BD5"/>
    <w:rsid w:val="00753142"/>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475D"/>
    <w:rsid w:val="007750C3"/>
    <w:rsid w:val="00780296"/>
    <w:rsid w:val="00781A60"/>
    <w:rsid w:val="00782394"/>
    <w:rsid w:val="00783AF2"/>
    <w:rsid w:val="00783AF8"/>
    <w:rsid w:val="0078417F"/>
    <w:rsid w:val="00786A3A"/>
    <w:rsid w:val="00787C77"/>
    <w:rsid w:val="00790122"/>
    <w:rsid w:val="007908D5"/>
    <w:rsid w:val="007915AE"/>
    <w:rsid w:val="00792ECE"/>
    <w:rsid w:val="007955EA"/>
    <w:rsid w:val="00795FBF"/>
    <w:rsid w:val="00796282"/>
    <w:rsid w:val="00797987"/>
    <w:rsid w:val="007A0B9E"/>
    <w:rsid w:val="007A1FCE"/>
    <w:rsid w:val="007A3FBD"/>
    <w:rsid w:val="007A4977"/>
    <w:rsid w:val="007A5788"/>
    <w:rsid w:val="007A67F6"/>
    <w:rsid w:val="007A6903"/>
    <w:rsid w:val="007A6A94"/>
    <w:rsid w:val="007A6DEC"/>
    <w:rsid w:val="007B0262"/>
    <w:rsid w:val="007B69BC"/>
    <w:rsid w:val="007B6BA5"/>
    <w:rsid w:val="007B7FB2"/>
    <w:rsid w:val="007C0C97"/>
    <w:rsid w:val="007C2FDE"/>
    <w:rsid w:val="007C3390"/>
    <w:rsid w:val="007C464F"/>
    <w:rsid w:val="007C47A6"/>
    <w:rsid w:val="007C4F4B"/>
    <w:rsid w:val="007C6044"/>
    <w:rsid w:val="007D0460"/>
    <w:rsid w:val="007D166A"/>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14FA"/>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3FDD"/>
    <w:rsid w:val="008349EC"/>
    <w:rsid w:val="00834D4E"/>
    <w:rsid w:val="00835E0D"/>
    <w:rsid w:val="00836AF7"/>
    <w:rsid w:val="0083763A"/>
    <w:rsid w:val="00841915"/>
    <w:rsid w:val="00844454"/>
    <w:rsid w:val="00844BB4"/>
    <w:rsid w:val="00847D11"/>
    <w:rsid w:val="0085028A"/>
    <w:rsid w:val="0085031B"/>
    <w:rsid w:val="00851AF3"/>
    <w:rsid w:val="00857A7A"/>
    <w:rsid w:val="0086000D"/>
    <w:rsid w:val="00862284"/>
    <w:rsid w:val="0086381B"/>
    <w:rsid w:val="00865A21"/>
    <w:rsid w:val="008668D2"/>
    <w:rsid w:val="00870885"/>
    <w:rsid w:val="00870D13"/>
    <w:rsid w:val="00870F32"/>
    <w:rsid w:val="00871FD5"/>
    <w:rsid w:val="0087209B"/>
    <w:rsid w:val="008735C1"/>
    <w:rsid w:val="00873D04"/>
    <w:rsid w:val="00874D99"/>
    <w:rsid w:val="00874FB8"/>
    <w:rsid w:val="00882090"/>
    <w:rsid w:val="00884EB0"/>
    <w:rsid w:val="008852E3"/>
    <w:rsid w:val="00887755"/>
    <w:rsid w:val="0088790D"/>
    <w:rsid w:val="0089033B"/>
    <w:rsid w:val="00890B04"/>
    <w:rsid w:val="00892C6A"/>
    <w:rsid w:val="0089306E"/>
    <w:rsid w:val="00896186"/>
    <w:rsid w:val="00897025"/>
    <w:rsid w:val="008979B1"/>
    <w:rsid w:val="00897BD7"/>
    <w:rsid w:val="008A0704"/>
    <w:rsid w:val="008A31A4"/>
    <w:rsid w:val="008A3CFD"/>
    <w:rsid w:val="008A6B25"/>
    <w:rsid w:val="008A6C1B"/>
    <w:rsid w:val="008A6C4F"/>
    <w:rsid w:val="008A753A"/>
    <w:rsid w:val="008A7F3B"/>
    <w:rsid w:val="008B37A8"/>
    <w:rsid w:val="008B40B7"/>
    <w:rsid w:val="008B52E8"/>
    <w:rsid w:val="008B5B41"/>
    <w:rsid w:val="008B6E26"/>
    <w:rsid w:val="008C03B3"/>
    <w:rsid w:val="008C0D56"/>
    <w:rsid w:val="008C0DD5"/>
    <w:rsid w:val="008C23DB"/>
    <w:rsid w:val="008C2C1C"/>
    <w:rsid w:val="008C3353"/>
    <w:rsid w:val="008C34B0"/>
    <w:rsid w:val="008C3769"/>
    <w:rsid w:val="008C3FFB"/>
    <w:rsid w:val="008C6690"/>
    <w:rsid w:val="008C7E14"/>
    <w:rsid w:val="008D02E6"/>
    <w:rsid w:val="008D17C6"/>
    <w:rsid w:val="008D314A"/>
    <w:rsid w:val="008D3D37"/>
    <w:rsid w:val="008D3F4B"/>
    <w:rsid w:val="008D55AE"/>
    <w:rsid w:val="008D5665"/>
    <w:rsid w:val="008E0E46"/>
    <w:rsid w:val="008E0FB3"/>
    <w:rsid w:val="008E1F9C"/>
    <w:rsid w:val="008E4640"/>
    <w:rsid w:val="008E4C4C"/>
    <w:rsid w:val="008E4F84"/>
    <w:rsid w:val="008E573F"/>
    <w:rsid w:val="008E615F"/>
    <w:rsid w:val="008E64AE"/>
    <w:rsid w:val="008F02B0"/>
    <w:rsid w:val="008F1EFA"/>
    <w:rsid w:val="008F29C1"/>
    <w:rsid w:val="008F3CB0"/>
    <w:rsid w:val="008F57BA"/>
    <w:rsid w:val="008F583E"/>
    <w:rsid w:val="0090052B"/>
    <w:rsid w:val="0090084C"/>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43"/>
    <w:rsid w:val="00931073"/>
    <w:rsid w:val="00931544"/>
    <w:rsid w:val="00933D9F"/>
    <w:rsid w:val="00934703"/>
    <w:rsid w:val="0093545E"/>
    <w:rsid w:val="00936565"/>
    <w:rsid w:val="009376D1"/>
    <w:rsid w:val="009377BF"/>
    <w:rsid w:val="009400C5"/>
    <w:rsid w:val="0094040C"/>
    <w:rsid w:val="00940847"/>
    <w:rsid w:val="009426A9"/>
    <w:rsid w:val="00942AED"/>
    <w:rsid w:val="0094386E"/>
    <w:rsid w:val="009440D4"/>
    <w:rsid w:val="009449FD"/>
    <w:rsid w:val="00944D71"/>
    <w:rsid w:val="00946F0A"/>
    <w:rsid w:val="0095174D"/>
    <w:rsid w:val="00951778"/>
    <w:rsid w:val="00952BE3"/>
    <w:rsid w:val="009557E3"/>
    <w:rsid w:val="00956805"/>
    <w:rsid w:val="00956B99"/>
    <w:rsid w:val="00957170"/>
    <w:rsid w:val="00957AD6"/>
    <w:rsid w:val="009612BF"/>
    <w:rsid w:val="00963CBA"/>
    <w:rsid w:val="0096659B"/>
    <w:rsid w:val="00966CD7"/>
    <w:rsid w:val="00967A9F"/>
    <w:rsid w:val="009702C1"/>
    <w:rsid w:val="009715EE"/>
    <w:rsid w:val="00974146"/>
    <w:rsid w:val="00974A8D"/>
    <w:rsid w:val="00974ABE"/>
    <w:rsid w:val="00974C60"/>
    <w:rsid w:val="00974F4C"/>
    <w:rsid w:val="0097538A"/>
    <w:rsid w:val="0098016B"/>
    <w:rsid w:val="00984D89"/>
    <w:rsid w:val="00986710"/>
    <w:rsid w:val="00987072"/>
    <w:rsid w:val="0098707E"/>
    <w:rsid w:val="0099001C"/>
    <w:rsid w:val="00991261"/>
    <w:rsid w:val="00991430"/>
    <w:rsid w:val="009914AC"/>
    <w:rsid w:val="00994CDC"/>
    <w:rsid w:val="00995B50"/>
    <w:rsid w:val="009966FF"/>
    <w:rsid w:val="00997975"/>
    <w:rsid w:val="009A05C9"/>
    <w:rsid w:val="009A0D5F"/>
    <w:rsid w:val="009A1082"/>
    <w:rsid w:val="009A3206"/>
    <w:rsid w:val="009A38A7"/>
    <w:rsid w:val="009A3C08"/>
    <w:rsid w:val="009A527C"/>
    <w:rsid w:val="009A5B4A"/>
    <w:rsid w:val="009B0B5F"/>
    <w:rsid w:val="009B43E1"/>
    <w:rsid w:val="009B4939"/>
    <w:rsid w:val="009B4C08"/>
    <w:rsid w:val="009B4C66"/>
    <w:rsid w:val="009B55EC"/>
    <w:rsid w:val="009B58E9"/>
    <w:rsid w:val="009B6D3A"/>
    <w:rsid w:val="009B71F3"/>
    <w:rsid w:val="009C17AC"/>
    <w:rsid w:val="009C1FAD"/>
    <w:rsid w:val="009C31E7"/>
    <w:rsid w:val="009C36B5"/>
    <w:rsid w:val="009D0EC7"/>
    <w:rsid w:val="009D0FA6"/>
    <w:rsid w:val="009D1B37"/>
    <w:rsid w:val="009D274E"/>
    <w:rsid w:val="009D3E9E"/>
    <w:rsid w:val="009D49A6"/>
    <w:rsid w:val="009D623C"/>
    <w:rsid w:val="009D6F7F"/>
    <w:rsid w:val="009E72B5"/>
    <w:rsid w:val="009E7885"/>
    <w:rsid w:val="009F16FB"/>
    <w:rsid w:val="009F2CD4"/>
    <w:rsid w:val="009F3106"/>
    <w:rsid w:val="009F3A17"/>
    <w:rsid w:val="009F6CAF"/>
    <w:rsid w:val="00A029AA"/>
    <w:rsid w:val="00A035BD"/>
    <w:rsid w:val="00A10C19"/>
    <w:rsid w:val="00A124CA"/>
    <w:rsid w:val="00A1350E"/>
    <w:rsid w:val="00A1355C"/>
    <w:rsid w:val="00A13C53"/>
    <w:rsid w:val="00A1427D"/>
    <w:rsid w:val="00A1523F"/>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382"/>
    <w:rsid w:val="00A457A0"/>
    <w:rsid w:val="00A463F1"/>
    <w:rsid w:val="00A5220D"/>
    <w:rsid w:val="00A52B4E"/>
    <w:rsid w:val="00A530ED"/>
    <w:rsid w:val="00A5477E"/>
    <w:rsid w:val="00A55FB2"/>
    <w:rsid w:val="00A56F76"/>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701"/>
    <w:rsid w:val="00A958C8"/>
    <w:rsid w:val="00A97CF2"/>
    <w:rsid w:val="00AA332B"/>
    <w:rsid w:val="00AA496B"/>
    <w:rsid w:val="00AA5028"/>
    <w:rsid w:val="00AA63F2"/>
    <w:rsid w:val="00AB1332"/>
    <w:rsid w:val="00AB16DB"/>
    <w:rsid w:val="00AB2474"/>
    <w:rsid w:val="00AB304B"/>
    <w:rsid w:val="00AB3FD6"/>
    <w:rsid w:val="00AB4960"/>
    <w:rsid w:val="00AB6BC1"/>
    <w:rsid w:val="00AB720C"/>
    <w:rsid w:val="00AC081C"/>
    <w:rsid w:val="00AC1F45"/>
    <w:rsid w:val="00AC244A"/>
    <w:rsid w:val="00AC34C7"/>
    <w:rsid w:val="00AC35ED"/>
    <w:rsid w:val="00AC461C"/>
    <w:rsid w:val="00AC4E2F"/>
    <w:rsid w:val="00AC5EBB"/>
    <w:rsid w:val="00AD01A9"/>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25598"/>
    <w:rsid w:val="00B30179"/>
    <w:rsid w:val="00B325A9"/>
    <w:rsid w:val="00B339D3"/>
    <w:rsid w:val="00B339F1"/>
    <w:rsid w:val="00B33EC0"/>
    <w:rsid w:val="00B33FCC"/>
    <w:rsid w:val="00B34F79"/>
    <w:rsid w:val="00B36BD5"/>
    <w:rsid w:val="00B37E3C"/>
    <w:rsid w:val="00B40E23"/>
    <w:rsid w:val="00B47B0C"/>
    <w:rsid w:val="00B47D1B"/>
    <w:rsid w:val="00B5151F"/>
    <w:rsid w:val="00B520F8"/>
    <w:rsid w:val="00B523F6"/>
    <w:rsid w:val="00B52E4E"/>
    <w:rsid w:val="00B53CBD"/>
    <w:rsid w:val="00B54DCB"/>
    <w:rsid w:val="00B54E47"/>
    <w:rsid w:val="00B56DFB"/>
    <w:rsid w:val="00B5742C"/>
    <w:rsid w:val="00B577F4"/>
    <w:rsid w:val="00B60B23"/>
    <w:rsid w:val="00B61246"/>
    <w:rsid w:val="00B647CA"/>
    <w:rsid w:val="00B66E5A"/>
    <w:rsid w:val="00B70F63"/>
    <w:rsid w:val="00B74353"/>
    <w:rsid w:val="00B74835"/>
    <w:rsid w:val="00B762D3"/>
    <w:rsid w:val="00B777E7"/>
    <w:rsid w:val="00B81E12"/>
    <w:rsid w:val="00B82B44"/>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97C0C"/>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2933"/>
    <w:rsid w:val="00BE37C1"/>
    <w:rsid w:val="00BE4F74"/>
    <w:rsid w:val="00BE5A07"/>
    <w:rsid w:val="00BE6017"/>
    <w:rsid w:val="00BE618E"/>
    <w:rsid w:val="00BE62C1"/>
    <w:rsid w:val="00BE6BC5"/>
    <w:rsid w:val="00BE7994"/>
    <w:rsid w:val="00BF3D59"/>
    <w:rsid w:val="00BF3DB3"/>
    <w:rsid w:val="00C005D2"/>
    <w:rsid w:val="00C01A22"/>
    <w:rsid w:val="00C02C0D"/>
    <w:rsid w:val="00C030C9"/>
    <w:rsid w:val="00C04DFB"/>
    <w:rsid w:val="00C07F9E"/>
    <w:rsid w:val="00C10641"/>
    <w:rsid w:val="00C10DD8"/>
    <w:rsid w:val="00C127CB"/>
    <w:rsid w:val="00C133DE"/>
    <w:rsid w:val="00C17699"/>
    <w:rsid w:val="00C1778D"/>
    <w:rsid w:val="00C17A9E"/>
    <w:rsid w:val="00C2005D"/>
    <w:rsid w:val="00C21C5A"/>
    <w:rsid w:val="00C225E1"/>
    <w:rsid w:val="00C23A6D"/>
    <w:rsid w:val="00C25621"/>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543D"/>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221C"/>
    <w:rsid w:val="00CB3349"/>
    <w:rsid w:val="00CB41D0"/>
    <w:rsid w:val="00CB63D5"/>
    <w:rsid w:val="00CB70D1"/>
    <w:rsid w:val="00CC1344"/>
    <w:rsid w:val="00CC1E4F"/>
    <w:rsid w:val="00CC2F7D"/>
    <w:rsid w:val="00CC44E0"/>
    <w:rsid w:val="00CC4AD6"/>
    <w:rsid w:val="00CC61DC"/>
    <w:rsid w:val="00CC7176"/>
    <w:rsid w:val="00CD033E"/>
    <w:rsid w:val="00CD17F6"/>
    <w:rsid w:val="00CD3CFB"/>
    <w:rsid w:val="00CE063D"/>
    <w:rsid w:val="00CE1200"/>
    <w:rsid w:val="00CE3324"/>
    <w:rsid w:val="00CE34AF"/>
    <w:rsid w:val="00CE4A8F"/>
    <w:rsid w:val="00CE4B9D"/>
    <w:rsid w:val="00CE58BA"/>
    <w:rsid w:val="00CE65B1"/>
    <w:rsid w:val="00CF1787"/>
    <w:rsid w:val="00CF2085"/>
    <w:rsid w:val="00CF2EA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6E2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C16"/>
    <w:rsid w:val="00D40F26"/>
    <w:rsid w:val="00D411B9"/>
    <w:rsid w:val="00D42106"/>
    <w:rsid w:val="00D43252"/>
    <w:rsid w:val="00D440B2"/>
    <w:rsid w:val="00D45103"/>
    <w:rsid w:val="00D45C05"/>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0310"/>
    <w:rsid w:val="00D90D8D"/>
    <w:rsid w:val="00D91C9C"/>
    <w:rsid w:val="00D978C6"/>
    <w:rsid w:val="00D9799C"/>
    <w:rsid w:val="00DA077E"/>
    <w:rsid w:val="00DA094B"/>
    <w:rsid w:val="00DA2989"/>
    <w:rsid w:val="00DA3054"/>
    <w:rsid w:val="00DA3A98"/>
    <w:rsid w:val="00DA4AC8"/>
    <w:rsid w:val="00DA67AD"/>
    <w:rsid w:val="00DB0543"/>
    <w:rsid w:val="00DB2A67"/>
    <w:rsid w:val="00DB2BED"/>
    <w:rsid w:val="00DB56A9"/>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17D30"/>
    <w:rsid w:val="00E23A8C"/>
    <w:rsid w:val="00E257C2"/>
    <w:rsid w:val="00E26913"/>
    <w:rsid w:val="00E2751F"/>
    <w:rsid w:val="00E329E0"/>
    <w:rsid w:val="00E34AA3"/>
    <w:rsid w:val="00E369CA"/>
    <w:rsid w:val="00E405EE"/>
    <w:rsid w:val="00E4125F"/>
    <w:rsid w:val="00E41B04"/>
    <w:rsid w:val="00E43A7D"/>
    <w:rsid w:val="00E443CE"/>
    <w:rsid w:val="00E45BD9"/>
    <w:rsid w:val="00E45DAE"/>
    <w:rsid w:val="00E46488"/>
    <w:rsid w:val="00E5292C"/>
    <w:rsid w:val="00E52E79"/>
    <w:rsid w:val="00E565F3"/>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76F11"/>
    <w:rsid w:val="00E80F5F"/>
    <w:rsid w:val="00E826C0"/>
    <w:rsid w:val="00E828B8"/>
    <w:rsid w:val="00E82C0F"/>
    <w:rsid w:val="00E82C26"/>
    <w:rsid w:val="00E83A5C"/>
    <w:rsid w:val="00E85856"/>
    <w:rsid w:val="00E85ED4"/>
    <w:rsid w:val="00E874C0"/>
    <w:rsid w:val="00E87921"/>
    <w:rsid w:val="00E87EC4"/>
    <w:rsid w:val="00E916A2"/>
    <w:rsid w:val="00E9209F"/>
    <w:rsid w:val="00E92D7D"/>
    <w:rsid w:val="00E92E05"/>
    <w:rsid w:val="00E96630"/>
    <w:rsid w:val="00E9682C"/>
    <w:rsid w:val="00E96D11"/>
    <w:rsid w:val="00E97278"/>
    <w:rsid w:val="00E97F8A"/>
    <w:rsid w:val="00EA0243"/>
    <w:rsid w:val="00EA149C"/>
    <w:rsid w:val="00EA2095"/>
    <w:rsid w:val="00EA250D"/>
    <w:rsid w:val="00EA264E"/>
    <w:rsid w:val="00EA2D43"/>
    <w:rsid w:val="00EA3A41"/>
    <w:rsid w:val="00EA47FF"/>
    <w:rsid w:val="00EA4CA3"/>
    <w:rsid w:val="00EA78F8"/>
    <w:rsid w:val="00EA7F49"/>
    <w:rsid w:val="00EB1FE7"/>
    <w:rsid w:val="00EB20A4"/>
    <w:rsid w:val="00EB2355"/>
    <w:rsid w:val="00EB3339"/>
    <w:rsid w:val="00EB430E"/>
    <w:rsid w:val="00EB4E1C"/>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AEA"/>
    <w:rsid w:val="00F10E8A"/>
    <w:rsid w:val="00F11AF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4687F"/>
    <w:rsid w:val="00F52A98"/>
    <w:rsid w:val="00F52B1B"/>
    <w:rsid w:val="00F53A2D"/>
    <w:rsid w:val="00F53EDA"/>
    <w:rsid w:val="00F54239"/>
    <w:rsid w:val="00F5472A"/>
    <w:rsid w:val="00F562E7"/>
    <w:rsid w:val="00F5718D"/>
    <w:rsid w:val="00F61158"/>
    <w:rsid w:val="00F618D8"/>
    <w:rsid w:val="00F62DB5"/>
    <w:rsid w:val="00F64510"/>
    <w:rsid w:val="00F65F0D"/>
    <w:rsid w:val="00F66BB0"/>
    <w:rsid w:val="00F707E4"/>
    <w:rsid w:val="00F70F95"/>
    <w:rsid w:val="00F73A93"/>
    <w:rsid w:val="00F73C2D"/>
    <w:rsid w:val="00F74EC8"/>
    <w:rsid w:val="00F75508"/>
    <w:rsid w:val="00F75E10"/>
    <w:rsid w:val="00F7753D"/>
    <w:rsid w:val="00F811D5"/>
    <w:rsid w:val="00F81B78"/>
    <w:rsid w:val="00F8280A"/>
    <w:rsid w:val="00F82CF4"/>
    <w:rsid w:val="00F84D17"/>
    <w:rsid w:val="00F85B02"/>
    <w:rsid w:val="00F85F34"/>
    <w:rsid w:val="00F86C61"/>
    <w:rsid w:val="00F87A76"/>
    <w:rsid w:val="00F91443"/>
    <w:rsid w:val="00F92E92"/>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356F"/>
    <w:rsid w:val="00FB4695"/>
    <w:rsid w:val="00FB48D5"/>
    <w:rsid w:val="00FB5541"/>
    <w:rsid w:val="00FB7BEB"/>
    <w:rsid w:val="00FC3D2E"/>
    <w:rsid w:val="00FC4669"/>
    <w:rsid w:val="00FC4874"/>
    <w:rsid w:val="00FC4F4B"/>
    <w:rsid w:val="00FC63C4"/>
    <w:rsid w:val="00FC68B7"/>
    <w:rsid w:val="00FC6DE3"/>
    <w:rsid w:val="00FD1AE3"/>
    <w:rsid w:val="00FD4219"/>
    <w:rsid w:val="00FD4F7E"/>
    <w:rsid w:val="00FD7BF6"/>
    <w:rsid w:val="00FE4D53"/>
    <w:rsid w:val="00FE57F9"/>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paragraph" w:customStyle="1" w:styleId="MSubp1">
    <w:name w:val="MSubp1"/>
    <w:basedOn w:val="BodyTextIndent"/>
    <w:qFormat/>
    <w:rsid w:val="003F6A6C"/>
    <w:pPr>
      <w:tabs>
        <w:tab w:val="left" w:pos="-1440"/>
        <w:tab w:val="left" w:pos="-142"/>
        <w:tab w:val="left" w:pos="1985"/>
        <w:tab w:val="left" w:pos="11518"/>
      </w:tabs>
      <w:suppressAutoHyphens w:val="0"/>
      <w:spacing w:after="240" w:line="240" w:lineRule="auto"/>
      <w:ind w:left="1985" w:hanging="567"/>
      <w:jc w:val="both"/>
    </w:pPr>
    <w:rPr>
      <w:sz w:val="22"/>
    </w:rPr>
  </w:style>
  <w:style w:type="paragraph" w:styleId="BodyTextIndent">
    <w:name w:val="Body Text Indent"/>
    <w:basedOn w:val="Normal"/>
    <w:link w:val="BodyTextIndentChar"/>
    <w:semiHidden/>
    <w:unhideWhenUsed/>
    <w:rsid w:val="003F6A6C"/>
    <w:pPr>
      <w:spacing w:after="120"/>
      <w:ind w:left="283"/>
    </w:pPr>
  </w:style>
  <w:style w:type="character" w:customStyle="1" w:styleId="BodyTextIndentChar">
    <w:name w:val="Body Text Indent Char"/>
    <w:basedOn w:val="DefaultParagraphFont"/>
    <w:link w:val="BodyTextIndent"/>
    <w:semiHidden/>
    <w:rsid w:val="003F6A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C3DDE485-B78D-4F19-A6E8-A84FE0324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8</Pages>
  <Words>2655</Words>
  <Characters>13544</Characters>
  <Application>Microsoft Office Word</Application>
  <DocSecurity>0</DocSecurity>
  <Lines>260</Lines>
  <Paragraphs>144</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2</cp:revision>
  <cp:lastPrinted>2023-04-26T12:51:00Z</cp:lastPrinted>
  <dcterms:created xsi:type="dcterms:W3CDTF">2024-04-08T11:20:00Z</dcterms:created>
  <dcterms:modified xsi:type="dcterms:W3CDTF">2024-04-08T11:20:00Z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