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E00BA3D" w14:textId="77777777" w:rsidTr="00B20551">
        <w:trPr>
          <w:cantSplit/>
          <w:trHeight w:hRule="exact" w:val="851"/>
        </w:trPr>
        <w:tc>
          <w:tcPr>
            <w:tcW w:w="1276" w:type="dxa"/>
            <w:tcBorders>
              <w:bottom w:val="single" w:sz="4" w:space="0" w:color="auto"/>
            </w:tcBorders>
            <w:vAlign w:val="bottom"/>
          </w:tcPr>
          <w:p w14:paraId="239AA125" w14:textId="77777777" w:rsidR="009E6CB7" w:rsidRPr="00360643" w:rsidRDefault="009E6CB7" w:rsidP="00B20551">
            <w:pPr>
              <w:spacing w:after="80"/>
            </w:pPr>
          </w:p>
        </w:tc>
        <w:tc>
          <w:tcPr>
            <w:tcW w:w="2268" w:type="dxa"/>
            <w:tcBorders>
              <w:bottom w:val="single" w:sz="4" w:space="0" w:color="auto"/>
            </w:tcBorders>
            <w:vAlign w:val="bottom"/>
          </w:tcPr>
          <w:p w14:paraId="7E24CD2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DF1A4C" w14:textId="2D958772" w:rsidR="009E6CB7" w:rsidRPr="00D47EEA" w:rsidRDefault="00C939C9" w:rsidP="00C939C9">
            <w:pPr>
              <w:jc w:val="right"/>
            </w:pPr>
            <w:r w:rsidRPr="00C939C9">
              <w:rPr>
                <w:sz w:val="40"/>
              </w:rPr>
              <w:t>ECE</w:t>
            </w:r>
            <w:r>
              <w:t>/CEP/AC.13/2024/5</w:t>
            </w:r>
          </w:p>
        </w:tc>
      </w:tr>
      <w:tr w:rsidR="009E6CB7" w14:paraId="4FD3F5B8" w14:textId="77777777" w:rsidTr="00B20551">
        <w:trPr>
          <w:cantSplit/>
          <w:trHeight w:hRule="exact" w:val="2835"/>
        </w:trPr>
        <w:tc>
          <w:tcPr>
            <w:tcW w:w="1276" w:type="dxa"/>
            <w:tcBorders>
              <w:top w:val="single" w:sz="4" w:space="0" w:color="auto"/>
              <w:bottom w:val="single" w:sz="12" w:space="0" w:color="auto"/>
            </w:tcBorders>
          </w:tcPr>
          <w:p w14:paraId="5CF58DD3" w14:textId="77777777" w:rsidR="009E6CB7" w:rsidRDefault="00686A48" w:rsidP="00B20551">
            <w:pPr>
              <w:spacing w:before="120"/>
            </w:pPr>
            <w:r>
              <w:rPr>
                <w:noProof/>
                <w:lang w:val="fr-CH" w:eastAsia="fr-CH"/>
              </w:rPr>
              <w:drawing>
                <wp:inline distT="0" distB="0" distL="0" distR="0" wp14:anchorId="6EDCB0B7" wp14:editId="237453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4EC5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511FF99" w14:textId="77777777" w:rsidR="009E6CB7" w:rsidRDefault="00C939C9" w:rsidP="00C939C9">
            <w:pPr>
              <w:spacing w:before="240" w:line="240" w:lineRule="exact"/>
            </w:pPr>
            <w:r>
              <w:t>Distr.: General</w:t>
            </w:r>
          </w:p>
          <w:p w14:paraId="57CD1D7C" w14:textId="77777777" w:rsidR="00C939C9" w:rsidRDefault="00C939C9" w:rsidP="00C939C9">
            <w:pPr>
              <w:spacing w:line="240" w:lineRule="exact"/>
            </w:pPr>
            <w:r>
              <w:t>20 March 2024</w:t>
            </w:r>
          </w:p>
          <w:p w14:paraId="20C7581F" w14:textId="77777777" w:rsidR="00C939C9" w:rsidRDefault="00C939C9" w:rsidP="00C939C9">
            <w:pPr>
              <w:spacing w:line="240" w:lineRule="exact"/>
            </w:pPr>
          </w:p>
          <w:p w14:paraId="0FF89E0C" w14:textId="1A8C6F03" w:rsidR="00C939C9" w:rsidRDefault="00C939C9" w:rsidP="00C939C9">
            <w:pPr>
              <w:spacing w:line="240" w:lineRule="exact"/>
            </w:pPr>
            <w:r>
              <w:t>Original: English</w:t>
            </w:r>
          </w:p>
        </w:tc>
      </w:tr>
    </w:tbl>
    <w:p w14:paraId="3F78456E" w14:textId="77777777" w:rsidR="00C939C9" w:rsidRPr="00673BC2" w:rsidRDefault="00C939C9" w:rsidP="004011CC">
      <w:pPr>
        <w:spacing w:before="120"/>
        <w:rPr>
          <w:b/>
          <w:sz w:val="28"/>
          <w:szCs w:val="28"/>
        </w:rPr>
      </w:pPr>
      <w:r w:rsidRPr="00673BC2">
        <w:rPr>
          <w:b/>
          <w:sz w:val="28"/>
          <w:szCs w:val="28"/>
        </w:rPr>
        <w:t>Economic Commission for Europe</w:t>
      </w:r>
    </w:p>
    <w:p w14:paraId="040C6EE5" w14:textId="77777777" w:rsidR="00C939C9" w:rsidRDefault="00C939C9" w:rsidP="004011CC">
      <w:pPr>
        <w:spacing w:before="120" w:line="240" w:lineRule="auto"/>
        <w:rPr>
          <w:bCs/>
          <w:sz w:val="28"/>
          <w:szCs w:val="28"/>
        </w:rPr>
      </w:pPr>
      <w:r w:rsidRPr="00673BC2">
        <w:rPr>
          <w:bCs/>
          <w:sz w:val="28"/>
          <w:szCs w:val="28"/>
        </w:rPr>
        <w:t>Committee on Environmental Policy</w:t>
      </w:r>
    </w:p>
    <w:p w14:paraId="6C070A2D" w14:textId="77777777" w:rsidR="00C939C9" w:rsidRPr="0004604D" w:rsidRDefault="00C939C9"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68685D85" w14:textId="77777777" w:rsidR="00C939C9" w:rsidRPr="00C939C9" w:rsidRDefault="00C939C9" w:rsidP="00C939C9">
      <w:pPr>
        <w:suppressAutoHyphens/>
        <w:kinsoku w:val="0"/>
        <w:overflowPunct w:val="0"/>
        <w:autoSpaceDE w:val="0"/>
        <w:autoSpaceDN w:val="0"/>
        <w:adjustRightInd w:val="0"/>
        <w:snapToGrid w:val="0"/>
        <w:spacing w:before="120"/>
        <w:rPr>
          <w:rFonts w:eastAsia="SimSun"/>
          <w:b/>
          <w:lang w:eastAsia="zh-CN"/>
        </w:rPr>
      </w:pPr>
      <w:r w:rsidRPr="00C939C9">
        <w:rPr>
          <w:rFonts w:eastAsia="SimSun"/>
          <w:b/>
          <w:bCs/>
          <w:lang w:val="en-US" w:eastAsia="zh-CN"/>
        </w:rPr>
        <w:t>Nineteenth</w:t>
      </w:r>
      <w:r w:rsidRPr="00C939C9">
        <w:rPr>
          <w:rFonts w:eastAsia="SimSun"/>
          <w:b/>
          <w:lang w:eastAsia="zh-CN"/>
        </w:rPr>
        <w:t xml:space="preserve"> meeting</w:t>
      </w:r>
    </w:p>
    <w:p w14:paraId="06D8992D" w14:textId="77777777" w:rsidR="00C939C9" w:rsidRPr="00C939C9" w:rsidRDefault="00C939C9" w:rsidP="00C939C9">
      <w:pPr>
        <w:suppressAutoHyphens/>
        <w:kinsoku w:val="0"/>
        <w:overflowPunct w:val="0"/>
        <w:autoSpaceDE w:val="0"/>
        <w:autoSpaceDN w:val="0"/>
        <w:adjustRightInd w:val="0"/>
        <w:snapToGrid w:val="0"/>
        <w:rPr>
          <w:rFonts w:eastAsia="SimSun"/>
          <w:lang w:eastAsia="zh-CN"/>
        </w:rPr>
      </w:pPr>
      <w:r w:rsidRPr="00C939C9">
        <w:rPr>
          <w:rFonts w:eastAsia="SimSun"/>
          <w:lang w:eastAsia="zh-CN"/>
        </w:rPr>
        <w:t>Geneva, 29, 30 and 31 May 2024</w:t>
      </w:r>
    </w:p>
    <w:p w14:paraId="3E790F5E" w14:textId="77777777" w:rsidR="00C939C9" w:rsidRPr="00C939C9" w:rsidRDefault="00C939C9" w:rsidP="00C939C9">
      <w:pPr>
        <w:suppressAutoHyphens/>
        <w:kinsoku w:val="0"/>
        <w:overflowPunct w:val="0"/>
        <w:autoSpaceDE w:val="0"/>
        <w:autoSpaceDN w:val="0"/>
        <w:adjustRightInd w:val="0"/>
        <w:snapToGrid w:val="0"/>
        <w:rPr>
          <w:rFonts w:eastAsia="SimSun"/>
          <w:lang w:eastAsia="zh-CN"/>
        </w:rPr>
      </w:pPr>
      <w:r w:rsidRPr="00C939C9">
        <w:rPr>
          <w:rFonts w:eastAsia="SimSun"/>
          <w:lang w:eastAsia="zh-CN"/>
        </w:rPr>
        <w:t>Item 9 of the provisional agenda</w:t>
      </w:r>
    </w:p>
    <w:p w14:paraId="0EACD715" w14:textId="69BA8A4C" w:rsidR="00C939C9" w:rsidRPr="00C939C9" w:rsidRDefault="00C939C9" w:rsidP="008472AB">
      <w:pPr>
        <w:suppressAutoHyphens/>
        <w:kinsoku w:val="0"/>
        <w:overflowPunct w:val="0"/>
        <w:autoSpaceDE w:val="0"/>
        <w:autoSpaceDN w:val="0"/>
        <w:adjustRightInd w:val="0"/>
        <w:snapToGrid w:val="0"/>
        <w:rPr>
          <w:rFonts w:eastAsia="SimSun"/>
          <w:b/>
          <w:bCs/>
          <w:lang w:eastAsia="en-US"/>
        </w:rPr>
      </w:pPr>
      <w:r w:rsidRPr="00C939C9">
        <w:rPr>
          <w:rFonts w:eastAsia="SimSun"/>
          <w:b/>
          <w:bCs/>
          <w:lang w:eastAsia="en-US"/>
        </w:rPr>
        <w:t xml:space="preserve">Final proposal for developing a toolkit on whole institution </w:t>
      </w:r>
      <w:r w:rsidR="00DA653B">
        <w:rPr>
          <w:rFonts w:eastAsia="SimSun"/>
          <w:b/>
          <w:bCs/>
          <w:lang w:eastAsia="en-US"/>
        </w:rPr>
        <w:br/>
      </w:r>
      <w:r w:rsidRPr="00C939C9">
        <w:rPr>
          <w:rFonts w:eastAsia="SimSun"/>
          <w:b/>
          <w:bCs/>
          <w:lang w:eastAsia="en-US"/>
        </w:rPr>
        <w:t>approach and education for sustainable development</w:t>
      </w:r>
    </w:p>
    <w:p w14:paraId="17C3ECD7" w14:textId="77777777" w:rsidR="00C939C9" w:rsidRPr="00C939C9" w:rsidRDefault="00C939C9" w:rsidP="00C939C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rFonts w:eastAsia="SimSun"/>
          <w:b/>
          <w:sz w:val="28"/>
          <w:lang w:eastAsia="en-US"/>
        </w:rPr>
      </w:pPr>
      <w:r w:rsidRPr="00C939C9">
        <w:rPr>
          <w:rFonts w:eastAsia="SimSun"/>
          <w:b/>
          <w:sz w:val="28"/>
          <w:lang w:eastAsia="en-US"/>
        </w:rPr>
        <w:tab/>
      </w:r>
      <w:r w:rsidRPr="00C939C9">
        <w:rPr>
          <w:rFonts w:eastAsia="SimSun"/>
          <w:b/>
          <w:sz w:val="28"/>
          <w:lang w:eastAsia="en-US"/>
        </w:rPr>
        <w:tab/>
        <w:t>Final proposal for developing a toolkit on “Whole institution approach and education for sustainable development</w:t>
      </w:r>
      <w:bookmarkStart w:id="0" w:name="_Hlk129877013"/>
      <w:r w:rsidRPr="00C939C9">
        <w:rPr>
          <w:rFonts w:eastAsia="SimSun"/>
          <w:b/>
          <w:sz w:val="28"/>
          <w:lang w:eastAsia="en-US"/>
        </w:rPr>
        <w:t>”</w:t>
      </w:r>
    </w:p>
    <w:bookmarkEnd w:id="0"/>
    <w:p w14:paraId="5261AE06" w14:textId="403A0B62" w:rsidR="00C939C9" w:rsidRPr="00C939C9" w:rsidRDefault="00C939C9" w:rsidP="009F6F1E">
      <w:pPr>
        <w:pStyle w:val="H1G"/>
        <w:rPr>
          <w:rFonts w:eastAsia="SimSun"/>
          <w:lang w:eastAsia="en-US"/>
        </w:rPr>
      </w:pPr>
      <w:r w:rsidRPr="00C939C9">
        <w:rPr>
          <w:rFonts w:eastAsia="SimSun"/>
          <w:lang w:eastAsia="en-US"/>
        </w:rPr>
        <w:tab/>
      </w:r>
      <w:r w:rsidRPr="00C939C9">
        <w:rPr>
          <w:rFonts w:eastAsia="SimSun"/>
          <w:lang w:eastAsia="en-US"/>
        </w:rPr>
        <w:tab/>
      </w:r>
      <w:r w:rsidR="009F6F1E" w:rsidRPr="009F6F1E">
        <w:rPr>
          <w:rFonts w:eastAsia="SimSun"/>
          <w:lang w:eastAsia="en-US"/>
        </w:rPr>
        <w:t>Note by experts supervised by the Steering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939C9" w14:paraId="4FEF0C7D" w14:textId="77777777">
        <w:trPr>
          <w:jc w:val="center"/>
        </w:trPr>
        <w:tc>
          <w:tcPr>
            <w:tcW w:w="9637" w:type="dxa"/>
            <w:shd w:val="clear" w:color="auto" w:fill="auto"/>
          </w:tcPr>
          <w:p w14:paraId="1FC7D2CF" w14:textId="21C1C06E" w:rsidR="00C939C9" w:rsidRPr="00C6263E" w:rsidRDefault="0090604C">
            <w:pPr>
              <w:spacing w:before="240" w:after="120"/>
              <w:ind w:left="255"/>
              <w:rPr>
                <w:i/>
                <w:sz w:val="24"/>
              </w:rPr>
            </w:pPr>
            <w:r>
              <w:rPr>
                <w:i/>
                <w:sz w:val="24"/>
              </w:rPr>
              <w:tab/>
            </w:r>
            <w:r w:rsidR="00C939C9" w:rsidRPr="00C6263E">
              <w:rPr>
                <w:i/>
                <w:sz w:val="24"/>
              </w:rPr>
              <w:t>Summary</w:t>
            </w:r>
          </w:p>
        </w:tc>
      </w:tr>
      <w:tr w:rsidR="00C939C9" w14:paraId="5B928F62" w14:textId="77777777">
        <w:trPr>
          <w:jc w:val="center"/>
        </w:trPr>
        <w:tc>
          <w:tcPr>
            <w:tcW w:w="9637" w:type="dxa"/>
            <w:shd w:val="clear" w:color="auto" w:fill="auto"/>
          </w:tcPr>
          <w:p w14:paraId="0E7137BF" w14:textId="46324952" w:rsidR="00C939C9" w:rsidRPr="00C939C9" w:rsidRDefault="00C939C9" w:rsidP="00C939C9">
            <w:pPr>
              <w:pStyle w:val="SingleTxtG"/>
              <w:rPr>
                <w:lang w:eastAsia="en-US"/>
              </w:rPr>
            </w:pPr>
            <w:r>
              <w:rPr>
                <w:lang w:eastAsia="en-US"/>
              </w:rPr>
              <w:tab/>
            </w:r>
            <w:r w:rsidRPr="00C939C9">
              <w:rPr>
                <w:lang w:eastAsia="en-US"/>
              </w:rPr>
              <w:t xml:space="preserve">At its eighteenth meeting (Geneva, 25–26 May 2023), the Steering Committee adopted the Workplan for the implementation of the United Nations Economic Commission for Europe Strategy for Education for Sustainable Development from 2021 to 2025 (document ECE/CEP/AC.13/2023/3) with the amendments (as in the “Revised document as of 23 May 2023”). The workplan includes a road map of activities to be undertaken during the implementation phase of 2021–2025, focusing on the remaining three years (2023–2025), along the four priority strands: (1) quality education and education for sustainable development; (2) whole institution approach and education for sustainable development; (3) digital education, information and communications technology and education for sustainable development; and (4) entrepreneurship, employment, innovation and education for sustainable development. </w:t>
            </w:r>
          </w:p>
          <w:p w14:paraId="1C5C4862" w14:textId="77777777" w:rsidR="00C939C9" w:rsidRDefault="00C939C9" w:rsidP="00C939C9">
            <w:pPr>
              <w:pStyle w:val="SingleTxtG"/>
              <w:rPr>
                <w:rFonts w:eastAsia="SimSun"/>
                <w:lang w:eastAsia="en-US"/>
              </w:rPr>
            </w:pPr>
            <w:r>
              <w:rPr>
                <w:rFonts w:eastAsia="SimSun"/>
                <w:lang w:eastAsia="en-US"/>
              </w:rPr>
              <w:tab/>
            </w:r>
            <w:r w:rsidRPr="00C939C9">
              <w:rPr>
                <w:rFonts w:eastAsia="SimSun"/>
                <w:lang w:eastAsia="en-US"/>
              </w:rPr>
              <w:t>At the same meeting, the Steering Committee was informed about the proposal for developing an outline of activities for implementing the second strand on whole institution approach and education for sustainable development outlined in the draft workplan and a toolkit on whole institution approach and education for sustainable development.</w:t>
            </w:r>
          </w:p>
          <w:p w14:paraId="1B5195CB" w14:textId="1C591F56" w:rsidR="00F75713" w:rsidRPr="00F75713" w:rsidRDefault="00F75713" w:rsidP="00F75713">
            <w:pPr>
              <w:pStyle w:val="SingleTxtG"/>
            </w:pPr>
            <w:r>
              <w:rPr>
                <w:lang w:eastAsia="en-US"/>
              </w:rPr>
              <w:tab/>
            </w:r>
            <w:r w:rsidRPr="00F75713">
              <w:rPr>
                <w:lang w:eastAsia="en-US"/>
              </w:rPr>
              <w:t>The present d</w:t>
            </w:r>
            <w:r w:rsidRPr="00F75713">
              <w:t xml:space="preserve">ocument contains a final proposal for a </w:t>
            </w:r>
            <w:r w:rsidRPr="00F75713">
              <w:rPr>
                <w:lang w:eastAsia="en-US"/>
              </w:rPr>
              <w:t>toolkit on whole institution approach and education for sustainable development</w:t>
            </w:r>
            <w:r w:rsidRPr="00F75713">
              <w:t>.</w:t>
            </w:r>
          </w:p>
          <w:p w14:paraId="20BF0794" w14:textId="2213E76F" w:rsidR="00F75713" w:rsidRDefault="00F75713" w:rsidP="00F75713">
            <w:pPr>
              <w:pStyle w:val="SingleTxtG"/>
            </w:pPr>
            <w:r>
              <w:rPr>
                <w:rFonts w:eastAsia="SimSun"/>
                <w:lang w:eastAsia="zh-CN"/>
              </w:rPr>
              <w:tab/>
            </w:r>
            <w:r w:rsidRPr="00F75713">
              <w:rPr>
                <w:rFonts w:eastAsia="SimSun"/>
                <w:lang w:eastAsia="zh-CN"/>
              </w:rPr>
              <w:t>The Committee will be updated on the progress in developing a toolkit on whole institution approach and education for sustainable development.</w:t>
            </w:r>
          </w:p>
        </w:tc>
      </w:tr>
      <w:tr w:rsidR="00C939C9" w14:paraId="54F74E46" w14:textId="77777777">
        <w:trPr>
          <w:jc w:val="center"/>
        </w:trPr>
        <w:tc>
          <w:tcPr>
            <w:tcW w:w="9637" w:type="dxa"/>
            <w:shd w:val="clear" w:color="auto" w:fill="auto"/>
          </w:tcPr>
          <w:p w14:paraId="20937B8B" w14:textId="77777777" w:rsidR="00C939C9" w:rsidRDefault="00C939C9"/>
        </w:tc>
      </w:tr>
    </w:tbl>
    <w:p w14:paraId="6466460B" w14:textId="77494E12" w:rsidR="00F75713" w:rsidRDefault="00F75713" w:rsidP="00C939C9">
      <w:r>
        <w:br w:type="page"/>
      </w:r>
    </w:p>
    <w:p w14:paraId="031BC5C2" w14:textId="43672B35" w:rsidR="00F75713" w:rsidRPr="00F75713" w:rsidRDefault="00F75713" w:rsidP="00F75713">
      <w:pPr>
        <w:pStyle w:val="HChG"/>
        <w:rPr>
          <w:lang w:eastAsia="en-US"/>
        </w:rPr>
      </w:pPr>
      <w:r>
        <w:rPr>
          <w:lang w:eastAsia="en-US"/>
        </w:rPr>
        <w:lastRenderedPageBreak/>
        <w:tab/>
      </w:r>
      <w:r>
        <w:rPr>
          <w:lang w:eastAsia="en-US"/>
        </w:rPr>
        <w:tab/>
      </w:r>
      <w:r w:rsidRPr="00F75713">
        <w:rPr>
          <w:lang w:eastAsia="en-US"/>
        </w:rPr>
        <w:t xml:space="preserve">Background </w:t>
      </w:r>
    </w:p>
    <w:p w14:paraId="5B7E48B7" w14:textId="77777777" w:rsidR="00F75713" w:rsidRPr="00F75713" w:rsidRDefault="00F75713" w:rsidP="00F75713">
      <w:pPr>
        <w:pStyle w:val="SingleTxtG"/>
        <w:rPr>
          <w:lang w:eastAsia="en-US"/>
        </w:rPr>
      </w:pPr>
      <w:r w:rsidRPr="00F75713">
        <w:rPr>
          <w:lang w:eastAsia="en-US"/>
        </w:rPr>
        <w:t>1.</w:t>
      </w:r>
      <w:r w:rsidRPr="00F75713">
        <w:rPr>
          <w:lang w:eastAsia="en-US"/>
        </w:rPr>
        <w:tab/>
        <w:t>As a part of its objectives, the United Nations Economic Commission for Europe (UNECE) Strategy for Education for Sustainable Development (ESD) highlights the importance of providing the necessary tools to the ECE region for supporting countries in implementing education for sustainable development effectively.</w:t>
      </w:r>
      <w:r w:rsidRPr="00F75713">
        <w:rPr>
          <w:vertAlign w:val="superscript"/>
          <w:lang w:eastAsia="en-US"/>
        </w:rPr>
        <w:footnoteReference w:id="2"/>
      </w:r>
      <w:r w:rsidRPr="00F75713">
        <w:rPr>
          <w:lang w:eastAsia="en-US"/>
        </w:rPr>
        <w:t xml:space="preserve"> As noted in the Strategy:  “Materials for [education for sustainable development] at all levels need to developed, both for general courses and specialist education and for self-study and be adapted to the local conditions and needs.”</w:t>
      </w:r>
      <w:r w:rsidRPr="00F75713">
        <w:rPr>
          <w:vertAlign w:val="superscript"/>
          <w:lang w:eastAsia="en-US"/>
        </w:rPr>
        <w:footnoteReference w:id="3"/>
      </w:r>
      <w:r w:rsidRPr="00F75713">
        <w:rPr>
          <w:lang w:eastAsia="en-US"/>
        </w:rPr>
        <w:t xml:space="preserve"> The development of a toolkit on whole institution approach and education for sustainable development is vital for implementing the w</w:t>
      </w:r>
      <w:r w:rsidRPr="00F75713">
        <w:rPr>
          <w:rFonts w:eastAsia="Calibri"/>
          <w:lang w:eastAsia="en-US"/>
        </w:rPr>
        <w:t xml:space="preserve">hole institution approach (or whole school approach) </w:t>
      </w:r>
      <w:r w:rsidRPr="00F75713">
        <w:rPr>
          <w:lang w:eastAsia="en-US"/>
        </w:rPr>
        <w:t>and education for sustainable development, across formal and non-formal education, but also as an intrinsic part of the integration of the new implementation framework of the UNECE Strategy for ESD from 2021 to 2030 in member States of ECE.</w:t>
      </w:r>
      <w:r w:rsidRPr="00F75713">
        <w:rPr>
          <w:vertAlign w:val="superscript"/>
          <w:lang w:eastAsia="en-US"/>
        </w:rPr>
        <w:footnoteReference w:id="4"/>
      </w:r>
    </w:p>
    <w:p w14:paraId="16B878E4" w14:textId="77777777" w:rsidR="00F75713" w:rsidRPr="00F75713" w:rsidRDefault="00F75713" w:rsidP="00F75713">
      <w:pPr>
        <w:pStyle w:val="SingleTxtG"/>
        <w:rPr>
          <w:rFonts w:eastAsia="Calibri"/>
          <w:lang w:eastAsia="en-US"/>
        </w:rPr>
      </w:pPr>
      <w:r w:rsidRPr="00F75713">
        <w:rPr>
          <w:lang w:eastAsia="en-US"/>
        </w:rPr>
        <w:t>2.</w:t>
      </w:r>
      <w:r w:rsidRPr="00F75713">
        <w:rPr>
          <w:lang w:eastAsia="en-US"/>
        </w:rPr>
        <w:tab/>
        <w:t xml:space="preserve">The whole institution approach is an integral concept that is based on a holistic approach. It connects and brings together a given institution’s vision, building management and operations, education (curriculum, pedagogy, </w:t>
      </w:r>
      <w:proofErr w:type="gramStart"/>
      <w:r w:rsidRPr="00F75713">
        <w:rPr>
          <w:lang w:eastAsia="en-US"/>
        </w:rPr>
        <w:t>didactics</w:t>
      </w:r>
      <w:proofErr w:type="gramEnd"/>
      <w:r w:rsidRPr="00F75713">
        <w:rPr>
          <w:lang w:eastAsia="en-US"/>
        </w:rPr>
        <w:t xml:space="preserve"> and professional development) and cooperation with the surrounding environment (the parties in the vicinity of the institution: parents, companies, organizations, municipality, etc.), as well as culture, youth participation and monitoring</w:t>
      </w:r>
      <w:r w:rsidRPr="00F75713">
        <w:rPr>
          <w:rFonts w:eastAsia="Calibri"/>
          <w:lang w:eastAsia="en-US"/>
        </w:rPr>
        <w:t>.</w:t>
      </w:r>
    </w:p>
    <w:p w14:paraId="7F7E8022" w14:textId="77777777" w:rsidR="00F75713" w:rsidRPr="00F75713" w:rsidRDefault="00F75713" w:rsidP="00F75713">
      <w:pPr>
        <w:pStyle w:val="SingleTxtG"/>
        <w:rPr>
          <w:rFonts w:eastAsia="Calibri"/>
          <w:lang w:eastAsia="en-US"/>
        </w:rPr>
      </w:pPr>
      <w:r w:rsidRPr="00F75713">
        <w:rPr>
          <w:rFonts w:eastAsia="Calibri"/>
          <w:lang w:eastAsia="en-US"/>
        </w:rPr>
        <w:t>3.</w:t>
      </w:r>
      <w:r w:rsidRPr="00F75713">
        <w:rPr>
          <w:rFonts w:eastAsia="Calibri"/>
          <w:lang w:eastAsia="en-US"/>
        </w:rPr>
        <w:tab/>
        <w:t xml:space="preserve">This proposal focuses on developing a toolkit on whole institution approach because it covers a range of formal, non-formal and informal education institutions for students of all ages. The whole institution approach is for every institution that is active in the field of education for sustainable development; it offers everyone a wider perspective on education and cooperation thereon with other bodies, such as non-governmental organizations (NGOs), training institutes, universities, </w:t>
      </w:r>
      <w:proofErr w:type="gramStart"/>
      <w:r w:rsidRPr="00F75713">
        <w:rPr>
          <w:rFonts w:eastAsia="Calibri"/>
          <w:lang w:eastAsia="en-US"/>
        </w:rPr>
        <w:t>companies</w:t>
      </w:r>
      <w:proofErr w:type="gramEnd"/>
      <w:r w:rsidRPr="00F75713">
        <w:rPr>
          <w:rFonts w:eastAsia="Calibri"/>
          <w:lang w:eastAsia="en-US"/>
        </w:rPr>
        <w:t xml:space="preserve"> and municipalities.</w:t>
      </w:r>
    </w:p>
    <w:p w14:paraId="1FA42AEC" w14:textId="77777777" w:rsidR="00F75713" w:rsidRPr="00F75713" w:rsidRDefault="00F75713" w:rsidP="00F75713">
      <w:pPr>
        <w:pStyle w:val="SingleTxtG"/>
        <w:rPr>
          <w:rFonts w:eastAsia="SimSun"/>
          <w:lang w:eastAsia="en-US"/>
        </w:rPr>
      </w:pPr>
      <w:r w:rsidRPr="00F75713">
        <w:rPr>
          <w:rFonts w:eastAsia="Calibri"/>
          <w:lang w:eastAsia="en-US"/>
        </w:rPr>
        <w:t>4</w:t>
      </w:r>
      <w:r w:rsidRPr="00F75713">
        <w:rPr>
          <w:rFonts w:eastAsia="SimSun"/>
          <w:lang w:eastAsia="en-US"/>
        </w:rPr>
        <w:t>.</w:t>
      </w:r>
      <w:r w:rsidRPr="00F75713">
        <w:rPr>
          <w:rFonts w:eastAsia="SimSun"/>
          <w:lang w:eastAsia="en-US"/>
        </w:rPr>
        <w:tab/>
        <w:t xml:space="preserve">The whole institution approach provides questions for each segment, allowing institutions to engage with it. However, the real challenge lies in establishing connections between these segments </w:t>
      </w:r>
      <w:proofErr w:type="gramStart"/>
      <w:r w:rsidRPr="00F75713">
        <w:rPr>
          <w:rFonts w:eastAsia="SimSun"/>
          <w:lang w:eastAsia="en-US"/>
        </w:rPr>
        <w:t>in order to</w:t>
      </w:r>
      <w:proofErr w:type="gramEnd"/>
      <w:r w:rsidRPr="00F75713">
        <w:rPr>
          <w:rFonts w:eastAsia="SimSun"/>
          <w:lang w:eastAsia="en-US"/>
        </w:rPr>
        <w:t xml:space="preserve"> facilitate crossovers, for instance, connecting a given school’s business operations with its educational processes. Through this approach, institutions can evolve into exemplary sustainability and sustainable education hubs. Through this shift, institutions can avoid inadvertently sending the wrong message through poor business practices, while also educating actors as to how operations can be more sustainable. The whole institution approach aims to bridge these disparate worlds for the betterment of youth and society.</w:t>
      </w:r>
    </w:p>
    <w:p w14:paraId="780F6F01" w14:textId="57A9B22E" w:rsidR="00F75713" w:rsidRPr="00F75713" w:rsidRDefault="00F75713" w:rsidP="00F75713">
      <w:pPr>
        <w:pStyle w:val="HChG"/>
        <w:rPr>
          <w:rFonts w:eastAsia="SimSun"/>
          <w:lang w:eastAsia="en-US"/>
        </w:rPr>
      </w:pPr>
      <w:r>
        <w:rPr>
          <w:rFonts w:eastAsia="SimSun"/>
          <w:lang w:eastAsia="en-US"/>
        </w:rPr>
        <w:tab/>
      </w:r>
      <w:r>
        <w:rPr>
          <w:rFonts w:eastAsia="SimSun"/>
          <w:lang w:eastAsia="en-US"/>
        </w:rPr>
        <w:tab/>
      </w:r>
      <w:r w:rsidRPr="00F75713">
        <w:rPr>
          <w:rFonts w:eastAsia="SimSun"/>
          <w:lang w:eastAsia="en-US"/>
        </w:rPr>
        <w:t>Mandate</w:t>
      </w:r>
    </w:p>
    <w:p w14:paraId="03228050" w14:textId="77777777" w:rsidR="00F75713" w:rsidRPr="00F75713" w:rsidRDefault="00F75713" w:rsidP="00F75713">
      <w:pPr>
        <w:pStyle w:val="SingleTxtG"/>
        <w:rPr>
          <w:rFonts w:eastAsia="SimSun"/>
          <w:b/>
          <w:lang w:eastAsia="en-US"/>
        </w:rPr>
      </w:pPr>
      <w:r w:rsidRPr="00F75713">
        <w:rPr>
          <w:rFonts w:eastAsia="SimSun"/>
          <w:lang w:eastAsia="en-US"/>
        </w:rPr>
        <w:t>5.</w:t>
      </w:r>
      <w:r w:rsidRPr="00F75713">
        <w:rPr>
          <w:rFonts w:eastAsia="SimSun"/>
          <w:lang w:eastAsia="en-US"/>
        </w:rPr>
        <w:tab/>
        <w:t>During the Third High-level Meeting of Education and Environment Ministries (Nicosia, 5 October 2022), the ministers agreed that, under the leadership of Cyprus and the Netherlands, an expert group would be established, the terms of reference of which would allow it to develop the workplan activity for the second priority strand on whole institution approach and education for sustainable development in the ECE region. The expert group will work in close collaboration with the UNECE Steering Committee on ESD and the leading countries for developing the tools, as well as the capacity-building activities that will facilitate the effective implementation of the toolkit on whole institution approach and education for sustainable development by member States of ECE. The toolkit will be developed by taking into consideration the policy framework for the second priority strand outlined in the Framework for the implementation of the UNECE Strategy for ESD from 2021 to 2030, which is also part of the workplan activities for integrating the second priority strand.</w:t>
      </w:r>
    </w:p>
    <w:p w14:paraId="5DA135C8" w14:textId="3AE5CF0F" w:rsidR="00F75713" w:rsidRPr="00F75713" w:rsidRDefault="00F75713" w:rsidP="00F75713">
      <w:pPr>
        <w:pStyle w:val="HChG"/>
        <w:rPr>
          <w:rFonts w:eastAsia="SimSun"/>
          <w:bCs/>
          <w:lang w:eastAsia="en-US"/>
        </w:rPr>
      </w:pPr>
      <w:r>
        <w:rPr>
          <w:rFonts w:eastAsia="SimSun"/>
          <w:lang w:eastAsia="en-US"/>
        </w:rPr>
        <w:lastRenderedPageBreak/>
        <w:tab/>
      </w:r>
      <w:r>
        <w:rPr>
          <w:rFonts w:eastAsia="SimSun"/>
          <w:lang w:eastAsia="en-US"/>
        </w:rPr>
        <w:tab/>
      </w:r>
      <w:r w:rsidRPr="00F75713">
        <w:rPr>
          <w:rFonts w:eastAsia="SimSun"/>
          <w:lang w:eastAsia="en-US"/>
        </w:rPr>
        <w:t xml:space="preserve">Synthesis of the expert and support groups </w:t>
      </w:r>
    </w:p>
    <w:p w14:paraId="0C9926C2" w14:textId="027E88E6" w:rsidR="00F75713" w:rsidRPr="00F75713" w:rsidRDefault="00F75713" w:rsidP="00F75713">
      <w:pPr>
        <w:pStyle w:val="H1G"/>
        <w:rPr>
          <w:rFonts w:eastAsia="SimSun"/>
          <w:lang w:eastAsia="en-US"/>
        </w:rPr>
      </w:pPr>
      <w:r>
        <w:rPr>
          <w:rFonts w:eastAsia="SimSun"/>
          <w:lang w:eastAsia="en-US"/>
        </w:rPr>
        <w:tab/>
      </w:r>
      <w:r>
        <w:rPr>
          <w:rFonts w:eastAsia="SimSun"/>
          <w:lang w:eastAsia="en-US"/>
        </w:rPr>
        <w:tab/>
      </w:r>
      <w:r w:rsidRPr="00F75713">
        <w:rPr>
          <w:rFonts w:eastAsia="SimSun"/>
          <w:lang w:eastAsia="en-US"/>
        </w:rPr>
        <w:t>Expert group</w:t>
      </w:r>
    </w:p>
    <w:p w14:paraId="6A709693" w14:textId="6D09D3EB" w:rsidR="00F75713" w:rsidRPr="00F75713" w:rsidRDefault="00F75713" w:rsidP="00F75713">
      <w:pPr>
        <w:pStyle w:val="SingleTxtG"/>
        <w:rPr>
          <w:rFonts w:eastAsia="SimSun"/>
          <w:b/>
          <w:bCs/>
          <w:sz w:val="24"/>
          <w:szCs w:val="24"/>
          <w:lang w:eastAsia="en-US"/>
        </w:rPr>
      </w:pPr>
      <w:r w:rsidRPr="00F75713">
        <w:rPr>
          <w:rFonts w:eastAsia="SimSun"/>
          <w:lang w:eastAsia="en-US"/>
        </w:rPr>
        <w:t>6.</w:t>
      </w:r>
      <w:r w:rsidRPr="00F75713">
        <w:rPr>
          <w:rFonts w:eastAsia="SimSun"/>
          <w:lang w:eastAsia="en-US"/>
        </w:rPr>
        <w:tab/>
      </w:r>
      <w:proofErr w:type="gramStart"/>
      <w:r w:rsidRPr="00F75713">
        <w:rPr>
          <w:rFonts w:eastAsia="SimSun"/>
          <w:lang w:eastAsia="en-US"/>
        </w:rPr>
        <w:t>In order to</w:t>
      </w:r>
      <w:proofErr w:type="gramEnd"/>
      <w:r w:rsidRPr="00F75713">
        <w:rPr>
          <w:rFonts w:eastAsia="SimSun"/>
          <w:lang w:eastAsia="en-US"/>
        </w:rPr>
        <w:t xml:space="preserve"> advance the work on the development of a whole institution approach framework that can be used in a wide range of contexts within the ECE region, an expert group was established consisting of individuals with extensive experience of and knowledge on whole institution approach in relation to education for sustainable development and the development of educational tools. The expert group is responsible for the development of the toolkit on whole institution approach and education for sustainable development, which will be aligned with the policy framework for the second priority strand outlined in the </w:t>
      </w:r>
      <w:r w:rsidRPr="00F75713">
        <w:rPr>
          <w:rFonts w:eastAsia="SimSun"/>
          <w:bCs/>
          <w:lang w:eastAsia="en-US"/>
        </w:rPr>
        <w:t xml:space="preserve">Framework for the implementation of the UNECE Strategy for ESD from 2021 to 2030 </w:t>
      </w:r>
      <w:r w:rsidRPr="00F75713">
        <w:rPr>
          <w:rFonts w:eastAsia="SimSun"/>
          <w:lang w:eastAsia="en-US"/>
        </w:rPr>
        <w:t xml:space="preserve">. The expert group, chaired by </w:t>
      </w:r>
      <w:r w:rsidRPr="00F75713">
        <w:rPr>
          <w:rFonts w:eastAsia="SimSun"/>
          <w:lang w:val="en-US" w:eastAsia="en-US"/>
        </w:rPr>
        <w:t xml:space="preserve">Mr. </w:t>
      </w:r>
      <w:r w:rsidRPr="00F75713">
        <w:rPr>
          <w:rFonts w:eastAsia="SimSun"/>
          <w:lang w:eastAsia="en-US"/>
        </w:rPr>
        <w:t xml:space="preserve">Hak van </w:t>
      </w:r>
      <w:proofErr w:type="spellStart"/>
      <w:r w:rsidRPr="00F75713">
        <w:rPr>
          <w:rFonts w:eastAsia="SimSun"/>
          <w:lang w:eastAsia="en-US"/>
        </w:rPr>
        <w:t>Nispen</w:t>
      </w:r>
      <w:proofErr w:type="spellEnd"/>
      <w:r w:rsidRPr="00F75713">
        <w:rPr>
          <w:rFonts w:eastAsia="SimSun"/>
          <w:lang w:eastAsia="en-US"/>
        </w:rPr>
        <w:t xml:space="preserve"> tot </w:t>
      </w:r>
      <w:proofErr w:type="spellStart"/>
      <w:r w:rsidRPr="00F75713">
        <w:rPr>
          <w:rFonts w:eastAsia="SimSun"/>
          <w:lang w:eastAsia="en-US"/>
        </w:rPr>
        <w:t>Pannerden</w:t>
      </w:r>
      <w:proofErr w:type="spellEnd"/>
      <w:r w:rsidRPr="00F75713">
        <w:rPr>
          <w:rFonts w:eastAsia="SimSun"/>
          <w:b/>
          <w:bCs/>
          <w:lang w:eastAsia="en-US"/>
        </w:rPr>
        <w:t xml:space="preserve"> </w:t>
      </w:r>
      <w:r w:rsidRPr="00F75713">
        <w:rPr>
          <w:rFonts w:eastAsia="SimSun"/>
          <w:lang w:eastAsia="en-US"/>
        </w:rPr>
        <w:t>(</w:t>
      </w:r>
      <w:r w:rsidRPr="00F75713">
        <w:rPr>
          <w:rFonts w:eastAsia="SimSun"/>
          <w:bCs/>
          <w:lang w:eastAsia="en-US"/>
        </w:rPr>
        <w:t xml:space="preserve">General Director, SME, Netherlands), </w:t>
      </w:r>
      <w:r w:rsidRPr="00F75713">
        <w:rPr>
          <w:rFonts w:eastAsia="SimSun"/>
          <w:lang w:eastAsia="en-US"/>
        </w:rPr>
        <w:t xml:space="preserve">will be assisted by experienced practitioners in the field of education for sustainable development from the formal and non-formal education sectors from Cyprus and the Netherlands and by a support group comprised of professionals from the ECE member States represented on the UNECE Steering Committee on ESD. </w:t>
      </w:r>
    </w:p>
    <w:p w14:paraId="7C4D64C8" w14:textId="6CC472E4" w:rsidR="00F75713" w:rsidRPr="00F75713" w:rsidRDefault="00F75713" w:rsidP="00F75713">
      <w:pPr>
        <w:pStyle w:val="H1G"/>
        <w:rPr>
          <w:rFonts w:eastAsia="SimSun"/>
          <w:lang w:val="en-US" w:eastAsia="en-US"/>
        </w:rPr>
      </w:pPr>
      <w:r>
        <w:rPr>
          <w:rFonts w:eastAsia="SimSun"/>
          <w:lang w:eastAsia="en-US"/>
        </w:rPr>
        <w:tab/>
      </w:r>
      <w:r>
        <w:rPr>
          <w:rFonts w:eastAsia="SimSun"/>
          <w:lang w:eastAsia="en-US"/>
        </w:rPr>
        <w:tab/>
      </w:r>
      <w:r w:rsidRPr="00F75713">
        <w:rPr>
          <w:rFonts w:eastAsia="SimSun"/>
          <w:lang w:eastAsia="en-US"/>
        </w:rPr>
        <w:t>Support group</w:t>
      </w:r>
    </w:p>
    <w:p w14:paraId="402055A0" w14:textId="77777777" w:rsidR="00F75713" w:rsidRPr="00F75713" w:rsidRDefault="00F75713" w:rsidP="00F75713">
      <w:pPr>
        <w:pStyle w:val="SingleTxtG"/>
        <w:rPr>
          <w:rFonts w:eastAsia="SimSun"/>
          <w:b/>
          <w:lang w:eastAsia="en-US"/>
        </w:rPr>
      </w:pPr>
      <w:r w:rsidRPr="00F75713">
        <w:rPr>
          <w:rFonts w:eastAsia="SimSun"/>
          <w:lang w:eastAsia="en-US"/>
        </w:rPr>
        <w:t>7.</w:t>
      </w:r>
      <w:r w:rsidRPr="00F75713">
        <w:rPr>
          <w:rFonts w:eastAsia="SimSun"/>
          <w:lang w:eastAsia="en-US"/>
        </w:rPr>
        <w:tab/>
      </w:r>
      <w:r w:rsidRPr="00F75713">
        <w:rPr>
          <w:rFonts w:eastAsia="SimSun"/>
          <w:lang w:val="en-US" w:eastAsia="en-US"/>
        </w:rPr>
        <w:t xml:space="preserve">The support group will provide suggestions, </w:t>
      </w:r>
      <w:proofErr w:type="gramStart"/>
      <w:r w:rsidRPr="00F75713">
        <w:rPr>
          <w:rFonts w:eastAsia="SimSun"/>
          <w:lang w:val="en-US" w:eastAsia="en-US"/>
        </w:rPr>
        <w:t>comments</w:t>
      </w:r>
      <w:proofErr w:type="gramEnd"/>
      <w:r w:rsidRPr="00F75713">
        <w:rPr>
          <w:rFonts w:eastAsia="SimSun"/>
          <w:lang w:val="en-US" w:eastAsia="en-US"/>
        </w:rPr>
        <w:t xml:space="preserve"> and feedback on the documents. </w:t>
      </w:r>
      <w:r w:rsidRPr="00F75713">
        <w:rPr>
          <w:rFonts w:eastAsia="SimSun"/>
          <w:lang w:eastAsia="en-US"/>
        </w:rPr>
        <w:t>The ECE secretariat to the Committee will send an invitation to the member States and observer organizations to declare their interest in participating. The selection of the members of the support group will be based on specific criteria related to their experience with whole institution approach and education for sustainable development, as well as in authoring tools for the education for sustainable development field.</w:t>
      </w:r>
    </w:p>
    <w:p w14:paraId="3381B677" w14:textId="03ABDC7B" w:rsidR="00F75713" w:rsidRPr="00F75713" w:rsidRDefault="00F75713" w:rsidP="00F75713">
      <w:pPr>
        <w:pStyle w:val="HChG"/>
        <w:rPr>
          <w:rFonts w:eastAsia="SimSun"/>
          <w:lang w:eastAsia="en-US"/>
        </w:rPr>
      </w:pPr>
      <w:r>
        <w:rPr>
          <w:rFonts w:eastAsia="SimSun"/>
          <w:lang w:eastAsia="en-US"/>
        </w:rPr>
        <w:tab/>
      </w:r>
      <w:r>
        <w:rPr>
          <w:rFonts w:eastAsia="SimSun"/>
          <w:lang w:eastAsia="en-US"/>
        </w:rPr>
        <w:tab/>
      </w:r>
      <w:r w:rsidRPr="00F75713">
        <w:rPr>
          <w:rFonts w:eastAsia="SimSun"/>
          <w:lang w:eastAsia="en-US"/>
        </w:rPr>
        <w:t xml:space="preserve">Purpose and objectives of the toolkit </w:t>
      </w:r>
      <w:bookmarkStart w:id="2" w:name="_Hlk161736603"/>
      <w:r w:rsidRPr="00F75713">
        <w:rPr>
          <w:rFonts w:eastAsia="SimSun"/>
          <w:lang w:eastAsia="en-US"/>
        </w:rPr>
        <w:t xml:space="preserve"> </w:t>
      </w:r>
    </w:p>
    <w:bookmarkEnd w:id="2"/>
    <w:p w14:paraId="1241B6D2" w14:textId="53C931BA" w:rsidR="00F75713" w:rsidRPr="00F75713" w:rsidRDefault="00F75713" w:rsidP="00F75713">
      <w:pPr>
        <w:pStyle w:val="H1G"/>
        <w:rPr>
          <w:rFonts w:eastAsia="SimSun"/>
          <w:lang w:val="en-US" w:eastAsia="en-US"/>
        </w:rPr>
      </w:pPr>
      <w:r>
        <w:rPr>
          <w:rFonts w:eastAsia="SimSun"/>
          <w:lang w:val="en-US" w:eastAsia="en-US"/>
        </w:rPr>
        <w:tab/>
      </w:r>
      <w:r>
        <w:rPr>
          <w:rFonts w:eastAsia="SimSun"/>
          <w:lang w:val="en-US" w:eastAsia="en-US"/>
        </w:rPr>
        <w:tab/>
      </w:r>
      <w:r w:rsidRPr="00F75713">
        <w:rPr>
          <w:rFonts w:eastAsia="SimSun"/>
          <w:lang w:val="en-US" w:eastAsia="en-US"/>
        </w:rPr>
        <w:t xml:space="preserve">Purpose </w:t>
      </w:r>
    </w:p>
    <w:p w14:paraId="7E0F439E" w14:textId="77777777" w:rsidR="00F75713" w:rsidRPr="00F75713" w:rsidRDefault="00F75713" w:rsidP="00F75713">
      <w:pPr>
        <w:pStyle w:val="SingleTxtG"/>
        <w:rPr>
          <w:rFonts w:eastAsia="SimSun"/>
          <w:lang w:eastAsia="en-US"/>
        </w:rPr>
      </w:pPr>
      <w:r w:rsidRPr="00F75713">
        <w:rPr>
          <w:rFonts w:eastAsia="SimSun"/>
          <w:lang w:eastAsia="en-US"/>
        </w:rPr>
        <w:t>8.</w:t>
      </w:r>
      <w:r w:rsidRPr="00F75713">
        <w:rPr>
          <w:rFonts w:eastAsia="SimSun"/>
          <w:lang w:eastAsia="en-US"/>
        </w:rPr>
        <w:tab/>
        <w:t>The purpose of creating a toolkit is to develop ideas and activities on whole institution approach and education for sustainable development</w:t>
      </w:r>
      <w:r w:rsidRPr="00F75713">
        <w:rPr>
          <w:rFonts w:eastAsia="SimSun"/>
          <w:b/>
          <w:lang w:eastAsia="en-US"/>
        </w:rPr>
        <w:t xml:space="preserve"> </w:t>
      </w:r>
      <w:r w:rsidRPr="00F75713">
        <w:rPr>
          <w:rFonts w:eastAsia="SimSun"/>
          <w:lang w:eastAsia="en-US"/>
        </w:rPr>
        <w:t xml:space="preserve">that will support the member States in the ECE region, as well as other regional processes, stakeholders and parties who are engaged in education for sustainable development across the formal, non-formal and informal sectors, in transforming their institutions to sustainability based on whole institution approach. </w:t>
      </w:r>
    </w:p>
    <w:p w14:paraId="2AA2007B" w14:textId="7724B636" w:rsidR="00F75713" w:rsidRPr="00F75713" w:rsidRDefault="00F75713" w:rsidP="00F75713">
      <w:pPr>
        <w:pStyle w:val="HChG"/>
        <w:rPr>
          <w:rFonts w:eastAsia="SimSun"/>
          <w:lang w:eastAsia="en-US"/>
        </w:rPr>
      </w:pPr>
      <w:r>
        <w:rPr>
          <w:rFonts w:eastAsia="SimSun"/>
          <w:lang w:eastAsia="en-US"/>
        </w:rPr>
        <w:tab/>
      </w:r>
      <w:r>
        <w:rPr>
          <w:rFonts w:eastAsia="SimSun"/>
          <w:lang w:eastAsia="en-US"/>
        </w:rPr>
        <w:tab/>
      </w:r>
      <w:r w:rsidRPr="00F75713">
        <w:rPr>
          <w:rFonts w:eastAsia="SimSun"/>
          <w:lang w:eastAsia="en-US"/>
        </w:rPr>
        <w:t>Objectives</w:t>
      </w:r>
    </w:p>
    <w:p w14:paraId="23F940BB" w14:textId="77777777" w:rsidR="00F75713" w:rsidRPr="00F75713" w:rsidRDefault="00F75713" w:rsidP="00F75713">
      <w:pPr>
        <w:pStyle w:val="SingleTxtG"/>
        <w:rPr>
          <w:rFonts w:eastAsia="SimSun"/>
          <w:lang w:eastAsia="en-US"/>
        </w:rPr>
      </w:pPr>
      <w:r w:rsidRPr="00F75713">
        <w:rPr>
          <w:rFonts w:eastAsia="SimSun"/>
          <w:lang w:eastAsia="en-US"/>
        </w:rPr>
        <w:t>9.</w:t>
      </w:r>
      <w:r w:rsidRPr="00F75713">
        <w:rPr>
          <w:rFonts w:eastAsia="SimSun"/>
          <w:lang w:eastAsia="en-US"/>
        </w:rPr>
        <w:tab/>
        <w:t>The objectives of the toolkit are to:</w:t>
      </w:r>
    </w:p>
    <w:p w14:paraId="2C351BCE" w14:textId="32434320" w:rsidR="00F75713" w:rsidRPr="00F75713" w:rsidRDefault="00F75713" w:rsidP="00F75713">
      <w:pPr>
        <w:pStyle w:val="Bullet1G"/>
        <w:numPr>
          <w:ilvl w:val="0"/>
          <w:numId w:val="0"/>
        </w:numPr>
        <w:tabs>
          <w:tab w:val="left" w:pos="1701"/>
        </w:tabs>
        <w:ind w:left="1701" w:hanging="170"/>
        <w:rPr>
          <w:rFonts w:eastAsia="SimSun"/>
          <w:lang w:eastAsia="en-US"/>
        </w:rPr>
      </w:pPr>
      <w:r w:rsidRPr="00F75713">
        <w:rPr>
          <w:rFonts w:eastAsia="SimSun"/>
          <w:lang w:eastAsia="en-US"/>
        </w:rPr>
        <w:t>•</w:t>
      </w:r>
      <w:r w:rsidRPr="00F75713">
        <w:rPr>
          <w:rFonts w:eastAsia="SimSun"/>
          <w:lang w:eastAsia="en-US"/>
        </w:rPr>
        <w:tab/>
      </w:r>
      <w:r w:rsidRPr="00F75713">
        <w:rPr>
          <w:rFonts w:eastAsia="SimSun"/>
          <w:lang w:val="en-US" w:eastAsia="en-US"/>
        </w:rPr>
        <w:t xml:space="preserve">Provide a practical resource on </w:t>
      </w:r>
      <w:r w:rsidRPr="00F75713">
        <w:rPr>
          <w:rFonts w:eastAsia="SimSun"/>
          <w:lang w:eastAsia="en-US"/>
        </w:rPr>
        <w:t>whole institution approach and education for sustainable development</w:t>
      </w:r>
      <w:r w:rsidRPr="00F75713" w:rsidDel="00065F31">
        <w:rPr>
          <w:rFonts w:eastAsia="SimSun"/>
          <w:lang w:val="en-US" w:eastAsia="en-US"/>
        </w:rPr>
        <w:t xml:space="preserve"> </w:t>
      </w:r>
      <w:r w:rsidRPr="00F75713">
        <w:rPr>
          <w:rFonts w:eastAsia="SimSun"/>
          <w:lang w:val="en-US" w:eastAsia="en-US"/>
        </w:rPr>
        <w:t>that will support all the interested parties in integrating in a more flexible way whole institution approach into their organizations.</w:t>
      </w:r>
    </w:p>
    <w:p w14:paraId="0C786776" w14:textId="76624022" w:rsidR="00F75713" w:rsidRPr="00F75713" w:rsidRDefault="00F75713" w:rsidP="00F75713">
      <w:pPr>
        <w:pStyle w:val="Bullet1G"/>
        <w:numPr>
          <w:ilvl w:val="0"/>
          <w:numId w:val="0"/>
        </w:numPr>
        <w:tabs>
          <w:tab w:val="left" w:pos="1701"/>
        </w:tabs>
        <w:ind w:left="1701" w:hanging="170"/>
        <w:rPr>
          <w:rFonts w:eastAsia="SimSun"/>
          <w:lang w:eastAsia="en-US"/>
        </w:rPr>
      </w:pPr>
      <w:r w:rsidRPr="00F75713">
        <w:rPr>
          <w:rFonts w:eastAsia="SimSun"/>
          <w:lang w:eastAsia="en-US"/>
        </w:rPr>
        <w:t>•</w:t>
      </w:r>
      <w:r w:rsidRPr="00F75713">
        <w:rPr>
          <w:rFonts w:eastAsia="SimSun"/>
          <w:lang w:eastAsia="en-US"/>
        </w:rPr>
        <w:tab/>
      </w:r>
      <w:r w:rsidRPr="00F75713">
        <w:rPr>
          <w:rFonts w:eastAsia="SimSun"/>
          <w:lang w:val="en-US" w:eastAsia="en-US"/>
        </w:rPr>
        <w:t xml:space="preserve">Support stakeholders (and youth) to understand their role in whole institution approach and be intrinsic and active members of an institution that aims to achieve its sustainable transformation based on whole institution approach. </w:t>
      </w:r>
    </w:p>
    <w:p w14:paraId="0225C122" w14:textId="5ED6ED80" w:rsidR="00F75713" w:rsidRPr="00F75713" w:rsidRDefault="00F75713" w:rsidP="00F75713">
      <w:pPr>
        <w:pStyle w:val="Bullet1G"/>
        <w:numPr>
          <w:ilvl w:val="0"/>
          <w:numId w:val="0"/>
        </w:numPr>
        <w:tabs>
          <w:tab w:val="left" w:pos="1701"/>
        </w:tabs>
        <w:ind w:left="1701" w:hanging="170"/>
        <w:rPr>
          <w:rFonts w:eastAsia="SimSun"/>
          <w:lang w:eastAsia="en-US"/>
        </w:rPr>
      </w:pPr>
      <w:r w:rsidRPr="00F75713">
        <w:rPr>
          <w:rFonts w:eastAsia="SimSun"/>
          <w:lang w:eastAsia="en-US"/>
        </w:rPr>
        <w:t>•</w:t>
      </w:r>
      <w:r w:rsidRPr="00F75713">
        <w:rPr>
          <w:rFonts w:eastAsia="SimSun"/>
          <w:lang w:eastAsia="en-US"/>
        </w:rPr>
        <w:tab/>
      </w:r>
      <w:r w:rsidRPr="00F75713">
        <w:rPr>
          <w:rFonts w:eastAsia="SimSun"/>
          <w:lang w:val="en-US" w:eastAsia="en-US"/>
        </w:rPr>
        <w:t>Present good ideas and practices</w:t>
      </w:r>
      <w:r w:rsidRPr="00F75713">
        <w:rPr>
          <w:rFonts w:eastAsia="SimSun"/>
          <w:b/>
          <w:bCs/>
          <w:lang w:val="en-US" w:eastAsia="en-US"/>
        </w:rPr>
        <w:t xml:space="preserve"> </w:t>
      </w:r>
      <w:r w:rsidRPr="00F75713">
        <w:rPr>
          <w:rFonts w:eastAsia="SimSun"/>
          <w:lang w:val="en-US" w:eastAsia="en-US"/>
        </w:rPr>
        <w:t xml:space="preserve">in each dimension of </w:t>
      </w:r>
      <w:r w:rsidRPr="00F75713">
        <w:rPr>
          <w:rFonts w:eastAsia="SimSun"/>
          <w:lang w:eastAsia="en-US"/>
        </w:rPr>
        <w:t>whole institution approach and education for sustainable development</w:t>
      </w:r>
      <w:r w:rsidRPr="00F75713" w:rsidDel="00065F31">
        <w:rPr>
          <w:rFonts w:eastAsia="SimSun"/>
          <w:lang w:val="en-US" w:eastAsia="en-US"/>
        </w:rPr>
        <w:t xml:space="preserve"> </w:t>
      </w:r>
      <w:r w:rsidRPr="00F75713">
        <w:rPr>
          <w:rFonts w:eastAsia="SimSun"/>
          <w:lang w:val="en-US" w:eastAsia="en-US"/>
        </w:rPr>
        <w:t xml:space="preserve">that will facilitate more effective adaptation of whole institution approach by the members of a given institution according to their </w:t>
      </w:r>
      <w:proofErr w:type="gramStart"/>
      <w:r w:rsidRPr="00F75713">
        <w:rPr>
          <w:rFonts w:eastAsia="SimSun"/>
          <w:lang w:val="en-US" w:eastAsia="en-US"/>
        </w:rPr>
        <w:t>particular needs</w:t>
      </w:r>
      <w:proofErr w:type="gramEnd"/>
      <w:r w:rsidRPr="00F75713">
        <w:rPr>
          <w:rFonts w:eastAsia="SimSun"/>
          <w:lang w:val="en-US" w:eastAsia="en-US"/>
        </w:rPr>
        <w:t xml:space="preserve">. </w:t>
      </w:r>
    </w:p>
    <w:p w14:paraId="7D6EEFB8" w14:textId="53181B2A" w:rsidR="00F75713" w:rsidRPr="00F75713" w:rsidRDefault="00F75713" w:rsidP="00F75713">
      <w:pPr>
        <w:pStyle w:val="Bullet1G"/>
        <w:numPr>
          <w:ilvl w:val="0"/>
          <w:numId w:val="0"/>
        </w:numPr>
        <w:tabs>
          <w:tab w:val="left" w:pos="1701"/>
        </w:tabs>
        <w:ind w:left="1701" w:hanging="170"/>
        <w:rPr>
          <w:rFonts w:eastAsia="SimSun"/>
          <w:lang w:eastAsia="en-US"/>
        </w:rPr>
      </w:pPr>
      <w:r w:rsidRPr="00F75713">
        <w:rPr>
          <w:rFonts w:eastAsia="SimSun"/>
          <w:lang w:eastAsia="en-US"/>
        </w:rPr>
        <w:t>•</w:t>
      </w:r>
      <w:r w:rsidRPr="00F75713">
        <w:rPr>
          <w:rFonts w:eastAsia="SimSun"/>
          <w:lang w:eastAsia="en-US"/>
        </w:rPr>
        <w:tab/>
      </w:r>
      <w:r w:rsidRPr="00F75713">
        <w:rPr>
          <w:rFonts w:eastAsia="SimSun"/>
          <w:lang w:val="en-US" w:eastAsia="en-US"/>
        </w:rPr>
        <w:t xml:space="preserve">Operate as a networking and collaboration tool between the member States in the ECE region, with member States learning lessons on its use from each other. </w:t>
      </w:r>
    </w:p>
    <w:p w14:paraId="23EF52CB" w14:textId="6C63FE1A" w:rsidR="00F75713" w:rsidRPr="00F75713" w:rsidRDefault="00F75713" w:rsidP="00F75713">
      <w:pPr>
        <w:pStyle w:val="Bullet1G"/>
        <w:numPr>
          <w:ilvl w:val="0"/>
          <w:numId w:val="0"/>
        </w:numPr>
        <w:tabs>
          <w:tab w:val="left" w:pos="1701"/>
        </w:tabs>
        <w:ind w:left="1701" w:hanging="170"/>
        <w:rPr>
          <w:rFonts w:eastAsia="SimSun"/>
          <w:lang w:eastAsia="en-US"/>
        </w:rPr>
      </w:pPr>
      <w:r w:rsidRPr="00F75713">
        <w:rPr>
          <w:rFonts w:eastAsia="SimSun"/>
          <w:lang w:eastAsia="en-US"/>
        </w:rPr>
        <w:lastRenderedPageBreak/>
        <w:t>•</w:t>
      </w:r>
      <w:r w:rsidRPr="00F75713">
        <w:rPr>
          <w:rFonts w:eastAsia="SimSun"/>
          <w:lang w:eastAsia="en-US"/>
        </w:rPr>
        <w:tab/>
      </w:r>
      <w:r w:rsidRPr="00F75713">
        <w:rPr>
          <w:rFonts w:eastAsia="SimSun"/>
          <w:lang w:val="en-US" w:eastAsia="en-US"/>
        </w:rPr>
        <w:t xml:space="preserve">Help the stakeholders of the member States in the ECE region to understand how whole institution approach is applied in practice regarding education for sustainable development. </w:t>
      </w:r>
    </w:p>
    <w:p w14:paraId="2F480459" w14:textId="78F50F97" w:rsidR="00F75713" w:rsidRPr="00F75713" w:rsidRDefault="00F75713" w:rsidP="00F75713">
      <w:pPr>
        <w:pStyle w:val="Bullet1G"/>
        <w:numPr>
          <w:ilvl w:val="0"/>
          <w:numId w:val="0"/>
        </w:numPr>
        <w:tabs>
          <w:tab w:val="left" w:pos="1701"/>
        </w:tabs>
        <w:ind w:left="1701" w:hanging="170"/>
        <w:rPr>
          <w:rFonts w:eastAsia="SimSun"/>
          <w:lang w:eastAsia="en-US"/>
        </w:rPr>
      </w:pPr>
      <w:r w:rsidRPr="00F75713">
        <w:rPr>
          <w:rFonts w:eastAsia="SimSun"/>
          <w:lang w:eastAsia="en-US"/>
        </w:rPr>
        <w:t>•</w:t>
      </w:r>
      <w:r w:rsidRPr="00F75713">
        <w:rPr>
          <w:rFonts w:eastAsia="SimSun"/>
          <w:lang w:eastAsia="en-US"/>
        </w:rPr>
        <w:tab/>
        <w:t>Support institutions of the ECE member States in implementing whole institution approach as a holistic concept in policy and practice.</w:t>
      </w:r>
    </w:p>
    <w:p w14:paraId="78DB928F" w14:textId="611EE2F1" w:rsidR="00F75713" w:rsidRPr="00F75713" w:rsidRDefault="00F75713" w:rsidP="00F75713">
      <w:pPr>
        <w:pStyle w:val="Bullet1G"/>
        <w:numPr>
          <w:ilvl w:val="0"/>
          <w:numId w:val="0"/>
        </w:numPr>
        <w:tabs>
          <w:tab w:val="left" w:pos="1701"/>
        </w:tabs>
        <w:ind w:left="1701" w:hanging="170"/>
        <w:rPr>
          <w:rFonts w:eastAsia="SimSun"/>
          <w:b/>
          <w:lang w:val="en-US" w:eastAsia="en-US"/>
        </w:rPr>
      </w:pPr>
      <w:r w:rsidRPr="00F75713">
        <w:rPr>
          <w:rFonts w:eastAsia="SimSun"/>
          <w:lang w:val="en-US" w:eastAsia="en-US"/>
        </w:rPr>
        <w:t>•</w:t>
      </w:r>
      <w:r w:rsidRPr="00F75713">
        <w:rPr>
          <w:rFonts w:eastAsia="SimSun"/>
          <w:lang w:val="en-US" w:eastAsia="en-US"/>
        </w:rPr>
        <w:tab/>
        <w:t>Help parties in and related to education to develop a</w:t>
      </w:r>
      <w:r w:rsidRPr="00F75713">
        <w:rPr>
          <w:rFonts w:eastAsia="SimSun"/>
          <w:b/>
          <w:bCs/>
          <w:lang w:val="en-US" w:eastAsia="en-US"/>
        </w:rPr>
        <w:t xml:space="preserve"> </w:t>
      </w:r>
      <w:r w:rsidRPr="00F75713">
        <w:rPr>
          <w:rFonts w:eastAsia="SimSun"/>
          <w:lang w:val="en-US" w:eastAsia="en-US"/>
        </w:rPr>
        <w:t>common “language” on whole institution approach and to communicate to all interested parties the importance of education for sustainable development as quality education.</w:t>
      </w:r>
    </w:p>
    <w:p w14:paraId="1A927C0D" w14:textId="10D03EB5" w:rsidR="00F75713" w:rsidRPr="00F75713" w:rsidRDefault="00F75713" w:rsidP="00F75713">
      <w:pPr>
        <w:pStyle w:val="HChG"/>
        <w:rPr>
          <w:rFonts w:eastAsia="SimSun"/>
          <w:lang w:val="en-US" w:eastAsia="en-US"/>
        </w:rPr>
      </w:pPr>
      <w:r>
        <w:rPr>
          <w:rFonts w:eastAsia="SimSun"/>
          <w:lang w:val="en-US" w:eastAsia="en-US"/>
        </w:rPr>
        <w:tab/>
      </w:r>
      <w:r>
        <w:rPr>
          <w:rFonts w:eastAsia="SimSun"/>
          <w:lang w:val="en-US" w:eastAsia="en-US"/>
        </w:rPr>
        <w:tab/>
      </w:r>
      <w:r w:rsidRPr="00F75713">
        <w:rPr>
          <w:rFonts w:eastAsia="SimSun"/>
          <w:lang w:val="en-US" w:eastAsia="en-US"/>
        </w:rPr>
        <w:t xml:space="preserve">Deliverables of the toolkit </w:t>
      </w:r>
    </w:p>
    <w:p w14:paraId="00ADBB32" w14:textId="77777777" w:rsidR="00F75713" w:rsidRPr="00F75713" w:rsidRDefault="00F75713" w:rsidP="00F75713">
      <w:pPr>
        <w:pStyle w:val="SingleTxtG"/>
        <w:rPr>
          <w:rFonts w:eastAsia="SimSun"/>
          <w:lang w:eastAsia="en-US"/>
        </w:rPr>
      </w:pPr>
      <w:r w:rsidRPr="00F75713">
        <w:rPr>
          <w:rFonts w:eastAsia="SimSun"/>
          <w:lang w:eastAsia="en-US"/>
        </w:rPr>
        <w:t>10.</w:t>
      </w:r>
      <w:r w:rsidRPr="00F75713">
        <w:rPr>
          <w:rFonts w:eastAsia="SimSun"/>
          <w:lang w:eastAsia="en-US"/>
        </w:rPr>
        <w:tab/>
        <w:t>The toolkit based on the strategic directions and goals of whole institution approach and education for sustainable development as described in the new Framework for the implementation of the UNECE Strategy for ESD from 2021 to 2030</w:t>
      </w:r>
      <w:r w:rsidRPr="00F75713">
        <w:rPr>
          <w:rFonts w:eastAsia="SimSun"/>
          <w:vertAlign w:val="superscript"/>
          <w:lang w:eastAsia="en-US"/>
        </w:rPr>
        <w:footnoteReference w:id="5"/>
      </w:r>
      <w:r w:rsidRPr="00F75713">
        <w:rPr>
          <w:rFonts w:eastAsia="SimSun"/>
          <w:lang w:eastAsia="en-US"/>
        </w:rPr>
        <w:t xml:space="preserve"> will be developed taking into consideration the Strategic framework on whole institution approach and education for sustainable development, which is the first deliverable for the second priority strand. The toolkit includes:</w:t>
      </w:r>
    </w:p>
    <w:p w14:paraId="23F310AF" w14:textId="7591455C" w:rsidR="00F75713" w:rsidRPr="00F75713" w:rsidRDefault="00F75713" w:rsidP="00F37395">
      <w:pPr>
        <w:pStyle w:val="SingleTxtG"/>
        <w:ind w:firstLine="567"/>
        <w:rPr>
          <w:rFonts w:eastAsia="SimSun"/>
          <w:highlight w:val="yellow"/>
          <w:lang w:eastAsia="en-US"/>
        </w:rPr>
      </w:pPr>
      <w:r w:rsidRPr="00F37395">
        <w:rPr>
          <w:rFonts w:eastAsia="SimSun"/>
          <w:lang w:eastAsia="en-US"/>
        </w:rPr>
        <w:t>(a)</w:t>
      </w:r>
      <w:r w:rsidRPr="00F37395">
        <w:rPr>
          <w:rFonts w:eastAsia="SimSun"/>
          <w:lang w:eastAsia="en-US"/>
        </w:rPr>
        <w:tab/>
      </w:r>
      <w:r w:rsidRPr="00F75713">
        <w:rPr>
          <w:rFonts w:eastAsia="SimSun"/>
          <w:lang w:eastAsia="en-US"/>
        </w:rPr>
        <w:t>A general description of whole institution approach that includes the underlying holistic perspective, aiming to instil a certain mindset and foundational knowledge of the concept and its potential. Whole institution approach will be introduced as a concept for a comprehensive view of or a holistic approach to quality education (target 4.7 of the Sustainable Development Goals), encompassing the seven components and interventions, such as change and youth participation. The wider perspective of sustainability as presented in the 17 Sustainable Development Goals related to education for sustainable development – the toolkit will continue to show the linkages, systemic and interconnected nature of the Sustainable Development Goals, the understanding of which is a prerequisite for any institution pursuing sustainability;</w:t>
      </w:r>
    </w:p>
    <w:p w14:paraId="3ED3C0CC" w14:textId="1C5EA29E" w:rsidR="00F75713" w:rsidRPr="00F75713" w:rsidRDefault="00F75713" w:rsidP="00F37395">
      <w:pPr>
        <w:pStyle w:val="SingleTxtG"/>
        <w:ind w:firstLine="567"/>
        <w:rPr>
          <w:rFonts w:eastAsia="SimSun"/>
          <w:lang w:eastAsia="en-US"/>
        </w:rPr>
      </w:pPr>
      <w:r w:rsidRPr="00F75713">
        <w:rPr>
          <w:rFonts w:eastAsia="SimSun"/>
          <w:lang w:eastAsia="en-US"/>
        </w:rPr>
        <w:t>(b)</w:t>
      </w:r>
      <w:r w:rsidRPr="00F75713">
        <w:rPr>
          <w:rFonts w:eastAsia="SimSun"/>
          <w:lang w:eastAsia="en-US"/>
        </w:rPr>
        <w:tab/>
        <w:t>The competences on education for sustainable development, based on the ECE competences in education for sustainable development,</w:t>
      </w:r>
      <w:r w:rsidRPr="00F75713">
        <w:rPr>
          <w:rFonts w:eastAsia="SimSun"/>
          <w:vertAlign w:val="superscript"/>
          <w:lang w:eastAsia="en-US"/>
        </w:rPr>
        <w:footnoteReference w:id="6"/>
      </w:r>
      <w:r w:rsidRPr="00F75713">
        <w:rPr>
          <w:rFonts w:eastAsia="SimSun"/>
          <w:lang w:eastAsia="en-US"/>
        </w:rPr>
        <w:t xml:space="preserve"> the European Union “A Rounder Sense of Purpose” framework</w:t>
      </w:r>
      <w:r w:rsidRPr="00F75713">
        <w:rPr>
          <w:rFonts w:eastAsia="SimSun"/>
          <w:vertAlign w:val="superscript"/>
          <w:lang w:eastAsia="en-US"/>
        </w:rPr>
        <w:footnoteReference w:id="7"/>
      </w:r>
      <w:r w:rsidRPr="00F75713">
        <w:rPr>
          <w:rFonts w:eastAsia="SimSun"/>
          <w:lang w:eastAsia="en-US"/>
        </w:rPr>
        <w:t xml:space="preserve"> and other mechanisms such as the European Union “</w:t>
      </w:r>
      <w:proofErr w:type="spellStart"/>
      <w:r w:rsidRPr="00F75713">
        <w:rPr>
          <w:rFonts w:eastAsia="SimSun"/>
          <w:lang w:eastAsia="en-US"/>
        </w:rPr>
        <w:t>GreenComp</w:t>
      </w:r>
      <w:proofErr w:type="spellEnd"/>
      <w:r w:rsidRPr="00F75713">
        <w:rPr>
          <w:rFonts w:eastAsia="SimSun"/>
          <w:lang w:eastAsia="en-US"/>
        </w:rPr>
        <w:t xml:space="preserve"> sustainability competence framework”;</w:t>
      </w:r>
      <w:r w:rsidRPr="00F75713">
        <w:rPr>
          <w:rFonts w:eastAsia="SimSun"/>
          <w:vertAlign w:val="superscript"/>
          <w:lang w:eastAsia="en-US"/>
        </w:rPr>
        <w:footnoteReference w:id="8"/>
      </w:r>
    </w:p>
    <w:p w14:paraId="5C98326E" w14:textId="39696BF0" w:rsidR="00F75713" w:rsidRPr="00F75713" w:rsidRDefault="00F75713" w:rsidP="00F37395">
      <w:pPr>
        <w:pStyle w:val="SingleTxtG"/>
        <w:ind w:firstLine="567"/>
        <w:rPr>
          <w:rFonts w:eastAsia="SimSun"/>
          <w:lang w:eastAsia="en-US"/>
        </w:rPr>
      </w:pPr>
      <w:r w:rsidRPr="00F75713">
        <w:rPr>
          <w:rFonts w:eastAsia="SimSun"/>
          <w:lang w:eastAsia="en-US"/>
        </w:rPr>
        <w:t>(c)</w:t>
      </w:r>
      <w:r w:rsidRPr="00F75713">
        <w:rPr>
          <w:rFonts w:eastAsia="SimSun"/>
          <w:lang w:eastAsia="en-US"/>
        </w:rPr>
        <w:tab/>
        <w:t>The specific dimensions included for whole institution approach and education for sustainable development in the new implementation framework of the UNECE Strategy for ESD from 2021 to 2030:</w:t>
      </w:r>
      <w:r w:rsidRPr="00F75713">
        <w:rPr>
          <w:rFonts w:eastAsia="SimSun"/>
          <w:vertAlign w:val="superscript"/>
          <w:lang w:eastAsia="en-US"/>
        </w:rPr>
        <w:footnoteReference w:id="9"/>
      </w:r>
      <w:r w:rsidRPr="00F75713">
        <w:rPr>
          <w:rFonts w:eastAsia="SimSun"/>
          <w:lang w:eastAsia="en-US"/>
        </w:rPr>
        <w:t xml:space="preserve"> </w:t>
      </w:r>
    </w:p>
    <w:p w14:paraId="55D37FB9" w14:textId="5E388594" w:rsidR="00F75713" w:rsidRPr="00F75713" w:rsidRDefault="00F75713" w:rsidP="00F37395">
      <w:pPr>
        <w:pStyle w:val="SingleTxtG"/>
        <w:ind w:firstLine="567"/>
        <w:rPr>
          <w:rFonts w:eastAsia="SimSun"/>
          <w:lang w:eastAsia="en-US"/>
        </w:rPr>
      </w:pPr>
      <w:r w:rsidRPr="00F75713">
        <w:rPr>
          <w:rFonts w:eastAsia="SimSun"/>
          <w:lang w:eastAsia="en-US"/>
        </w:rPr>
        <w:t>(i)</w:t>
      </w:r>
      <w:r w:rsidRPr="00F75713">
        <w:rPr>
          <w:rFonts w:eastAsia="SimSun"/>
          <w:lang w:eastAsia="en-US"/>
        </w:rPr>
        <w:tab/>
        <w:t xml:space="preserve">Leadership in the learning place; </w:t>
      </w:r>
    </w:p>
    <w:p w14:paraId="2DD7CD46" w14:textId="1D4AEB7B" w:rsidR="00F75713" w:rsidRPr="00F75713" w:rsidRDefault="00F75713" w:rsidP="00F37395">
      <w:pPr>
        <w:pStyle w:val="SingleTxtG"/>
        <w:ind w:left="1701"/>
        <w:rPr>
          <w:rFonts w:eastAsia="SimSun"/>
          <w:lang w:eastAsia="en-US"/>
        </w:rPr>
      </w:pPr>
      <w:r w:rsidRPr="00F75713">
        <w:rPr>
          <w:rFonts w:eastAsia="SimSun"/>
          <w:lang w:eastAsia="en-US"/>
        </w:rPr>
        <w:t>(ii)</w:t>
      </w:r>
      <w:r w:rsidRPr="00F75713">
        <w:rPr>
          <w:rFonts w:eastAsia="SimSun"/>
          <w:lang w:eastAsia="en-US"/>
        </w:rPr>
        <w:tab/>
        <w:t xml:space="preserve">Quality assurance – any place of learning needs to have a vision of how to use education for sustainable development as a transformative process and what kinds of monitoring and evaluation need to be established; </w:t>
      </w:r>
    </w:p>
    <w:p w14:paraId="4AEAD3F1" w14:textId="2769B4D4" w:rsidR="00F75713" w:rsidRPr="00F75713" w:rsidRDefault="00F75713" w:rsidP="00F37395">
      <w:pPr>
        <w:pStyle w:val="SingleTxtG"/>
        <w:ind w:firstLine="567"/>
        <w:rPr>
          <w:rFonts w:eastAsia="SimSun"/>
          <w:lang w:eastAsia="en-US"/>
        </w:rPr>
      </w:pPr>
      <w:r w:rsidRPr="00F75713">
        <w:rPr>
          <w:rFonts w:eastAsia="SimSun"/>
          <w:lang w:eastAsia="en-US"/>
        </w:rPr>
        <w:t>(iii)</w:t>
      </w:r>
      <w:r w:rsidRPr="00F75713">
        <w:rPr>
          <w:rFonts w:eastAsia="SimSun"/>
          <w:lang w:eastAsia="en-US"/>
        </w:rPr>
        <w:tab/>
        <w:t xml:space="preserve">Involving youth as part of the participatory processes; </w:t>
      </w:r>
    </w:p>
    <w:p w14:paraId="2DD19267" w14:textId="77DAFEB1" w:rsidR="00F75713" w:rsidRPr="00F75713" w:rsidRDefault="00F75713" w:rsidP="00F37395">
      <w:pPr>
        <w:pStyle w:val="SingleTxtG"/>
        <w:ind w:firstLine="567"/>
        <w:rPr>
          <w:rFonts w:eastAsia="SimSun"/>
          <w:lang w:eastAsia="en-US"/>
        </w:rPr>
      </w:pPr>
      <w:r w:rsidRPr="00F75713">
        <w:rPr>
          <w:rFonts w:eastAsia="SimSun"/>
          <w:lang w:eastAsia="en-US"/>
        </w:rPr>
        <w:t>(iv)</w:t>
      </w:r>
      <w:r w:rsidRPr="00F75713">
        <w:rPr>
          <w:rFonts w:eastAsia="SimSun"/>
          <w:lang w:eastAsia="en-US"/>
        </w:rPr>
        <w:tab/>
        <w:t xml:space="preserve">Education for sustainable development for staff development; </w:t>
      </w:r>
    </w:p>
    <w:p w14:paraId="5BEA48B1" w14:textId="7757A17C" w:rsidR="00F75713" w:rsidRPr="00F75713" w:rsidRDefault="00F75713" w:rsidP="00F37395">
      <w:pPr>
        <w:pStyle w:val="SingleTxtG"/>
        <w:ind w:firstLine="567"/>
        <w:rPr>
          <w:rFonts w:eastAsia="SimSun"/>
          <w:lang w:eastAsia="en-US"/>
        </w:rPr>
      </w:pPr>
      <w:r w:rsidRPr="00F75713">
        <w:rPr>
          <w:rFonts w:eastAsia="SimSun"/>
          <w:lang w:eastAsia="en-US"/>
        </w:rPr>
        <w:t>(v)</w:t>
      </w:r>
      <w:r w:rsidRPr="00F75713">
        <w:rPr>
          <w:rFonts w:eastAsia="SimSun"/>
          <w:lang w:eastAsia="en-US"/>
        </w:rPr>
        <w:tab/>
        <w:t xml:space="preserve">Opportunities for further training for everyone; </w:t>
      </w:r>
    </w:p>
    <w:p w14:paraId="45F38EE2" w14:textId="4BEA51F9" w:rsidR="00F75713" w:rsidRPr="00F75713" w:rsidRDefault="00F75713" w:rsidP="00F37395">
      <w:pPr>
        <w:pStyle w:val="SingleTxtG"/>
        <w:ind w:left="1560" w:firstLine="141"/>
        <w:rPr>
          <w:rFonts w:eastAsia="SimSun"/>
          <w:lang w:eastAsia="en-US"/>
        </w:rPr>
      </w:pPr>
      <w:r w:rsidRPr="00F75713">
        <w:rPr>
          <w:rFonts w:eastAsia="SimSun"/>
          <w:lang w:eastAsia="en-US"/>
        </w:rPr>
        <w:t>(vi)</w:t>
      </w:r>
      <w:r w:rsidRPr="00F75713">
        <w:rPr>
          <w:rFonts w:eastAsia="SimSun"/>
          <w:lang w:eastAsia="en-US"/>
        </w:rPr>
        <w:tab/>
        <w:t xml:space="preserve">Developing sustainable infrastructures such as waste management practices, energy conservation and purchasing policies; </w:t>
      </w:r>
    </w:p>
    <w:p w14:paraId="2BBD531D" w14:textId="37AEE740" w:rsidR="00F75713" w:rsidRPr="00D81E9A" w:rsidRDefault="00F75713" w:rsidP="00D81E9A">
      <w:pPr>
        <w:pStyle w:val="SingleTxtG"/>
        <w:ind w:left="1701"/>
      </w:pPr>
      <w:r w:rsidRPr="00F75713">
        <w:rPr>
          <w:rFonts w:eastAsia="SimSun"/>
          <w:lang w:eastAsia="en-US"/>
        </w:rPr>
        <w:lastRenderedPageBreak/>
        <w:t>(vii)</w:t>
      </w:r>
      <w:r w:rsidRPr="00F75713">
        <w:rPr>
          <w:rFonts w:eastAsia="SimSun"/>
          <w:lang w:eastAsia="en-US"/>
        </w:rPr>
        <w:tab/>
        <w:t>Innovation – bein</w:t>
      </w:r>
      <w:r w:rsidRPr="00D81E9A">
        <w:t xml:space="preserve">g open to change and collaboration with other entities through networking and opportunities at all levels; </w:t>
      </w:r>
    </w:p>
    <w:p w14:paraId="192A3F4D" w14:textId="0EB10238" w:rsidR="00F75713" w:rsidRPr="00F75713" w:rsidRDefault="00F75713" w:rsidP="00D81E9A">
      <w:pPr>
        <w:pStyle w:val="SingleTxtG"/>
        <w:ind w:firstLine="567"/>
        <w:rPr>
          <w:rFonts w:eastAsia="SimSun"/>
          <w:lang w:eastAsia="en-US"/>
        </w:rPr>
      </w:pPr>
      <w:r w:rsidRPr="00D81E9A">
        <w:rPr>
          <w:rFonts w:eastAsia="SimSun"/>
        </w:rPr>
        <w:t>(viii)</w:t>
      </w:r>
      <w:r w:rsidRPr="00D81E9A">
        <w:rPr>
          <w:rFonts w:eastAsia="SimSun"/>
        </w:rPr>
        <w:tab/>
      </w:r>
      <w:r w:rsidRPr="00D81E9A">
        <w:t>Communication ne</w:t>
      </w:r>
      <w:r w:rsidRPr="00F75713">
        <w:rPr>
          <w:rFonts w:eastAsia="SimSun"/>
          <w:lang w:eastAsia="en-US"/>
        </w:rPr>
        <w:t xml:space="preserve">tworks within and outside of the institution; </w:t>
      </w:r>
    </w:p>
    <w:p w14:paraId="04CB368E" w14:textId="410C449D" w:rsidR="00F75713" w:rsidRPr="00F75713" w:rsidRDefault="00F75713" w:rsidP="00D81E9A">
      <w:pPr>
        <w:pStyle w:val="SingleTxtG"/>
        <w:ind w:firstLine="567"/>
        <w:rPr>
          <w:rFonts w:eastAsia="SimSun"/>
          <w:lang w:eastAsia="en-US"/>
        </w:rPr>
      </w:pPr>
      <w:r w:rsidRPr="00F75713">
        <w:rPr>
          <w:rFonts w:eastAsia="SimSun"/>
          <w:lang w:eastAsia="en-US"/>
        </w:rPr>
        <w:t>(d)</w:t>
      </w:r>
      <w:r w:rsidRPr="00F75713">
        <w:rPr>
          <w:rFonts w:eastAsia="SimSun"/>
          <w:lang w:eastAsia="en-US"/>
        </w:rPr>
        <w:tab/>
        <w:t>The ideas of education, for instance, that formal, non-formal and informal education are needed to work on qualification, socialization and personal development and that other didactics are also required. This will be presented as part of a general concept on pedagogy and didactics;</w:t>
      </w:r>
    </w:p>
    <w:p w14:paraId="02F8A74D" w14:textId="77777777" w:rsidR="00F75713" w:rsidRPr="00F75713" w:rsidRDefault="00F75713" w:rsidP="00D81E9A">
      <w:pPr>
        <w:pStyle w:val="SingleTxtG"/>
        <w:ind w:firstLine="567"/>
        <w:rPr>
          <w:rFonts w:eastAsia="SimSun"/>
          <w:lang w:eastAsia="en-US"/>
        </w:rPr>
      </w:pPr>
      <w:r w:rsidRPr="00F75713">
        <w:rPr>
          <w:rFonts w:eastAsia="SimSun"/>
          <w:lang w:eastAsia="en-US"/>
        </w:rPr>
        <w:t>(e)</w:t>
      </w:r>
      <w:r w:rsidRPr="00F75713">
        <w:rPr>
          <w:rFonts w:eastAsia="SimSun"/>
          <w:lang w:eastAsia="en-US"/>
        </w:rPr>
        <w:tab/>
        <w:t xml:space="preserve">The process of initiating work with whole institution approach. This will be outlined to enable a given institution to commence the process and ensure its continuity. This will include an overview of a potential process, questions to consider, methods for establishing partnerships, </w:t>
      </w:r>
      <w:proofErr w:type="gramStart"/>
      <w:r w:rsidRPr="00F75713">
        <w:rPr>
          <w:rFonts w:eastAsia="SimSun"/>
          <w:lang w:eastAsia="en-US"/>
        </w:rPr>
        <w:t>conditions</w:t>
      </w:r>
      <w:proofErr w:type="gramEnd"/>
      <w:r w:rsidRPr="00F75713">
        <w:rPr>
          <w:rFonts w:eastAsia="SimSun"/>
          <w:lang w:eastAsia="en-US"/>
        </w:rPr>
        <w:t xml:space="preserve"> and examples. The potential process may involve the following steps: setting ambitions; forming a working group; engaging with society; defining goals and criteria; integrating activities into the curriculum; implementing and evaluating; and  communicating outcomes;</w:t>
      </w:r>
    </w:p>
    <w:p w14:paraId="1836F3EA" w14:textId="77777777" w:rsidR="00F75713" w:rsidRPr="00F75713" w:rsidRDefault="00F75713" w:rsidP="00D81E9A">
      <w:pPr>
        <w:pStyle w:val="SingleTxtG"/>
        <w:ind w:firstLine="567"/>
        <w:rPr>
          <w:rFonts w:eastAsia="SimSun"/>
          <w:lang w:eastAsia="en-US"/>
        </w:rPr>
      </w:pPr>
      <w:r w:rsidRPr="00F75713">
        <w:rPr>
          <w:rFonts w:eastAsia="SimSun"/>
          <w:lang w:eastAsia="en-US"/>
        </w:rPr>
        <w:t>(f)</w:t>
      </w:r>
      <w:r w:rsidRPr="00F75713">
        <w:rPr>
          <w:rFonts w:eastAsia="SimSun"/>
          <w:lang w:eastAsia="en-US"/>
        </w:rPr>
        <w:tab/>
        <w:t xml:space="preserve">Elaboration of each of the six components of whole institution approach (vision, building management and operations, curriculum, pedagogy and didactics, professional </w:t>
      </w:r>
      <w:proofErr w:type="gramStart"/>
      <w:r w:rsidRPr="00F75713">
        <w:rPr>
          <w:rFonts w:eastAsia="SimSun"/>
          <w:lang w:eastAsia="en-US"/>
        </w:rPr>
        <w:t>development</w:t>
      </w:r>
      <w:proofErr w:type="gramEnd"/>
      <w:r w:rsidRPr="00F75713">
        <w:rPr>
          <w:rFonts w:eastAsia="SimSun"/>
          <w:lang w:eastAsia="en-US"/>
        </w:rPr>
        <w:t xml:space="preserve"> and institutional environment). This will allow institutions to start implementing the Strategic framework on whole institution approach and education for sustainable development. The toolkit for each component will serve as inspiration for taking subsequent steps and exploring opportunities for integration and cross-collaboration;</w:t>
      </w:r>
    </w:p>
    <w:p w14:paraId="0F3821AB" w14:textId="77777777" w:rsidR="00F75713" w:rsidRPr="00F75713" w:rsidRDefault="00F75713" w:rsidP="00D81E9A">
      <w:pPr>
        <w:pStyle w:val="SingleTxtG"/>
        <w:ind w:firstLine="567"/>
        <w:rPr>
          <w:rFonts w:eastAsia="SimSun"/>
          <w:u w:val="single"/>
          <w:lang w:eastAsia="en-US"/>
        </w:rPr>
      </w:pPr>
      <w:r w:rsidRPr="00F75713">
        <w:rPr>
          <w:rFonts w:eastAsia="SimSun"/>
          <w:lang w:eastAsia="en-US"/>
        </w:rPr>
        <w:t>(g)</w:t>
      </w:r>
      <w:r w:rsidRPr="00F75713">
        <w:rPr>
          <w:rFonts w:eastAsia="SimSun"/>
          <w:lang w:eastAsia="en-US"/>
        </w:rPr>
        <w:tab/>
        <w:t xml:space="preserve">Tools, </w:t>
      </w:r>
      <w:proofErr w:type="gramStart"/>
      <w:r w:rsidRPr="00F75713">
        <w:rPr>
          <w:rFonts w:eastAsia="SimSun"/>
          <w:lang w:eastAsia="en-US"/>
        </w:rPr>
        <w:t>examples</w:t>
      </w:r>
      <w:proofErr w:type="gramEnd"/>
      <w:r w:rsidRPr="00F75713">
        <w:rPr>
          <w:rFonts w:eastAsia="SimSun"/>
          <w:lang w:eastAsia="en-US"/>
        </w:rPr>
        <w:t xml:space="preserve"> and inspiration for implementing whole institution approach will be provided. These resources encompass multiple aspects of whole institution approach but will focus on one of them as a starting point, </w:t>
      </w:r>
      <w:proofErr w:type="gramStart"/>
      <w:r w:rsidRPr="00F75713">
        <w:rPr>
          <w:rFonts w:eastAsia="SimSun"/>
          <w:lang w:eastAsia="en-US"/>
        </w:rPr>
        <w:t>similar to</w:t>
      </w:r>
      <w:proofErr w:type="gramEnd"/>
      <w:r w:rsidRPr="00F75713">
        <w:rPr>
          <w:rFonts w:eastAsia="SimSun"/>
          <w:lang w:eastAsia="en-US"/>
        </w:rPr>
        <w:t xml:space="preserve"> the exemplary practices showcased at the International Conference on the implementation of the whole institution approach in education for sustainable development (</w:t>
      </w:r>
      <w:proofErr w:type="spellStart"/>
      <w:r w:rsidRPr="00F75713">
        <w:rPr>
          <w:rFonts w:eastAsia="SimSun"/>
          <w:lang w:eastAsia="en-US"/>
        </w:rPr>
        <w:t>Lunteren</w:t>
      </w:r>
      <w:proofErr w:type="spellEnd"/>
      <w:r w:rsidRPr="00F75713">
        <w:rPr>
          <w:rFonts w:eastAsia="SimSun"/>
          <w:lang w:eastAsia="en-US"/>
        </w:rPr>
        <w:t>, Netherlands, 28–30 March 2022). Literature: an overview of relevant and inspiring literature and sources on whole institution approach and education for sustainable development;</w:t>
      </w:r>
    </w:p>
    <w:p w14:paraId="77705670" w14:textId="2BB45ACD" w:rsidR="00F75713" w:rsidRPr="00F75713" w:rsidRDefault="00F75713" w:rsidP="00D81E9A">
      <w:pPr>
        <w:pStyle w:val="SingleTxtG"/>
        <w:ind w:firstLine="567"/>
        <w:rPr>
          <w:rFonts w:eastAsia="SimSun"/>
          <w:lang w:eastAsia="en-US"/>
        </w:rPr>
      </w:pPr>
      <w:r w:rsidRPr="00F75713">
        <w:rPr>
          <w:rFonts w:eastAsia="SimSun"/>
          <w:lang w:eastAsia="en-US"/>
        </w:rPr>
        <w:t>(h)</w:t>
      </w:r>
      <w:r w:rsidRPr="00F75713">
        <w:rPr>
          <w:rFonts w:eastAsia="SimSun"/>
          <w:lang w:eastAsia="en-US"/>
        </w:rPr>
        <w:tab/>
        <w:t xml:space="preserve">Training: Designing of a training course on whole institution approach and education for sustainable development based on the toolkit that can be used by the member States in their context and according to their particularities; </w:t>
      </w:r>
    </w:p>
    <w:p w14:paraId="2BB1052B" w14:textId="2A5C22EB" w:rsidR="00F75713" w:rsidRPr="00F75713" w:rsidRDefault="00F75713" w:rsidP="00D81E9A">
      <w:pPr>
        <w:pStyle w:val="SingleTxtG"/>
        <w:ind w:firstLine="567"/>
        <w:rPr>
          <w:rFonts w:eastAsia="SimSun"/>
          <w:lang w:eastAsia="en-US"/>
        </w:rPr>
      </w:pPr>
      <w:r w:rsidRPr="00F75713">
        <w:rPr>
          <w:rFonts w:eastAsia="SimSun"/>
          <w:lang w:eastAsia="en-US"/>
        </w:rPr>
        <w:t>(i)</w:t>
      </w:r>
      <w:r w:rsidRPr="00F75713">
        <w:rPr>
          <w:rFonts w:eastAsia="SimSun"/>
          <w:lang w:eastAsia="en-US"/>
        </w:rPr>
        <w:tab/>
        <w:t xml:space="preserve">Networks: A list containing information on international, </w:t>
      </w:r>
      <w:proofErr w:type="gramStart"/>
      <w:r w:rsidRPr="00F75713">
        <w:rPr>
          <w:rFonts w:eastAsia="SimSun"/>
          <w:lang w:eastAsia="en-US"/>
        </w:rPr>
        <w:t>regional</w:t>
      </w:r>
      <w:proofErr w:type="gramEnd"/>
      <w:r w:rsidRPr="00F75713">
        <w:rPr>
          <w:rFonts w:eastAsia="SimSun"/>
          <w:lang w:eastAsia="en-US"/>
        </w:rPr>
        <w:t xml:space="preserve"> and national networks active on whole institution approach and education for sustainable development; </w:t>
      </w:r>
    </w:p>
    <w:p w14:paraId="41200D7A" w14:textId="3385AD75" w:rsidR="00F75713" w:rsidRPr="00F75713" w:rsidRDefault="00F75713" w:rsidP="00D81E9A">
      <w:pPr>
        <w:pStyle w:val="SingleTxtG"/>
        <w:ind w:firstLine="567"/>
        <w:rPr>
          <w:rFonts w:eastAsia="SimSun"/>
          <w:lang w:eastAsia="en-US"/>
        </w:rPr>
      </w:pPr>
      <w:r w:rsidRPr="00F75713">
        <w:rPr>
          <w:rFonts w:eastAsia="SimSun"/>
          <w:lang w:eastAsia="en-US"/>
        </w:rPr>
        <w:t>(j)</w:t>
      </w:r>
      <w:r w:rsidRPr="00F75713">
        <w:rPr>
          <w:rFonts w:eastAsia="SimSun"/>
          <w:lang w:eastAsia="en-US"/>
        </w:rPr>
        <w:tab/>
        <w:t>Guidelines and feedback:  Guidelines on how to use the toolkit in different countries and translate it into different languages: Feedback opportunities.</w:t>
      </w:r>
    </w:p>
    <w:p w14:paraId="10154965" w14:textId="6BC42A8C" w:rsidR="00F75713" w:rsidRPr="00F75713" w:rsidRDefault="00D81E9A" w:rsidP="00D81E9A">
      <w:pPr>
        <w:pStyle w:val="HChG"/>
        <w:rPr>
          <w:rFonts w:eastAsia="SimSun"/>
          <w:lang w:val="en-US" w:eastAsia="en-US"/>
        </w:rPr>
      </w:pPr>
      <w:r>
        <w:rPr>
          <w:rFonts w:eastAsia="SimSun"/>
          <w:lang w:val="en-US" w:eastAsia="en-US"/>
        </w:rPr>
        <w:tab/>
      </w:r>
      <w:r>
        <w:rPr>
          <w:rFonts w:eastAsia="SimSun"/>
          <w:lang w:val="en-US" w:eastAsia="en-US"/>
        </w:rPr>
        <w:tab/>
      </w:r>
      <w:r w:rsidR="00F75713" w:rsidRPr="00F75713">
        <w:rPr>
          <w:rFonts w:eastAsia="SimSun"/>
          <w:lang w:val="en-US" w:eastAsia="en-US"/>
        </w:rPr>
        <w:t xml:space="preserve">Suggested forms for development of the </w:t>
      </w:r>
      <w:proofErr w:type="gramStart"/>
      <w:r w:rsidR="00F75713" w:rsidRPr="00F75713">
        <w:rPr>
          <w:rFonts w:eastAsia="SimSun"/>
          <w:lang w:val="en-US" w:eastAsia="en-US"/>
        </w:rPr>
        <w:t>toolkit</w:t>
      </w:r>
      <w:proofErr w:type="gramEnd"/>
    </w:p>
    <w:p w14:paraId="1BAD515B" w14:textId="77777777" w:rsidR="00F75713" w:rsidRPr="00F75713" w:rsidRDefault="00F75713" w:rsidP="00D81E9A">
      <w:pPr>
        <w:pStyle w:val="SingleTxtG"/>
        <w:rPr>
          <w:rFonts w:eastAsia="SimSun"/>
          <w:lang w:val="en-US" w:eastAsia="en-US"/>
        </w:rPr>
      </w:pPr>
      <w:r w:rsidRPr="00F75713">
        <w:rPr>
          <w:rFonts w:eastAsia="SimSun"/>
          <w:lang w:val="en-US" w:eastAsia="en-US"/>
        </w:rPr>
        <w:t>11.</w:t>
      </w:r>
      <w:r w:rsidRPr="00F75713">
        <w:rPr>
          <w:rFonts w:eastAsia="SimSun"/>
          <w:lang w:val="en-US" w:eastAsia="en-US"/>
        </w:rPr>
        <w:tab/>
        <w:t>The toolkit could be developed in various forms, to be decided on jointly by the expert group, members of the project team and the supporting group. Possible forms include:</w:t>
      </w:r>
    </w:p>
    <w:p w14:paraId="6316C33C" w14:textId="23A2B1A4" w:rsidR="00F75713" w:rsidRPr="00F75713" w:rsidRDefault="00F75713" w:rsidP="00D81E9A">
      <w:pPr>
        <w:pStyle w:val="SingleTxtG"/>
        <w:ind w:firstLine="567"/>
        <w:rPr>
          <w:rFonts w:eastAsia="SimSun"/>
          <w:lang w:val="en-US" w:eastAsia="en-US"/>
        </w:rPr>
      </w:pPr>
      <w:r w:rsidRPr="00F75713">
        <w:rPr>
          <w:rFonts w:eastAsia="SimSun"/>
          <w:lang w:val="en-US" w:eastAsia="en-US"/>
        </w:rPr>
        <w:t>(a)</w:t>
      </w:r>
      <w:r w:rsidRPr="00F75713">
        <w:rPr>
          <w:rFonts w:eastAsia="SimSun"/>
          <w:lang w:val="en-US" w:eastAsia="en-US"/>
        </w:rPr>
        <w:tab/>
        <w:t xml:space="preserve">A website with all the information on activities and use of the </w:t>
      </w:r>
      <w:proofErr w:type="gramStart"/>
      <w:r w:rsidRPr="00F75713">
        <w:rPr>
          <w:rFonts w:eastAsia="SimSun"/>
          <w:lang w:val="en-US" w:eastAsia="en-US"/>
        </w:rPr>
        <w:t>toolkit;</w:t>
      </w:r>
      <w:proofErr w:type="gramEnd"/>
    </w:p>
    <w:p w14:paraId="7B4CB0F5" w14:textId="77777777" w:rsidR="00F75713" w:rsidRPr="00F75713" w:rsidRDefault="00F75713" w:rsidP="00D81E9A">
      <w:pPr>
        <w:pStyle w:val="SingleTxtG"/>
        <w:ind w:firstLine="567"/>
        <w:rPr>
          <w:rFonts w:eastAsia="SimSun"/>
          <w:lang w:val="en-US" w:eastAsia="en-US"/>
        </w:rPr>
      </w:pPr>
      <w:r w:rsidRPr="00F75713">
        <w:rPr>
          <w:rFonts w:eastAsia="SimSun"/>
          <w:lang w:val="en-US" w:eastAsia="en-US"/>
        </w:rPr>
        <w:t>(b)</w:t>
      </w:r>
      <w:r w:rsidRPr="00F75713">
        <w:rPr>
          <w:rFonts w:eastAsia="SimSun"/>
          <w:lang w:val="en-US" w:eastAsia="en-US"/>
        </w:rPr>
        <w:tab/>
        <w:t xml:space="preserve">A video with a general introduction to the </w:t>
      </w:r>
      <w:r w:rsidRPr="00F75713">
        <w:rPr>
          <w:rFonts w:eastAsia="SimSun"/>
          <w:lang w:eastAsia="en-US"/>
        </w:rPr>
        <w:t>whole institution approach and education for sustainable development,</w:t>
      </w:r>
      <w:r w:rsidRPr="00F75713" w:rsidDel="00AD6EA5">
        <w:rPr>
          <w:rFonts w:eastAsia="SimSun"/>
          <w:lang w:val="en-US" w:eastAsia="en-US"/>
        </w:rPr>
        <w:t xml:space="preserve"> </w:t>
      </w:r>
      <w:r w:rsidRPr="00F75713">
        <w:rPr>
          <w:rFonts w:eastAsia="SimSun"/>
          <w:lang w:val="en-US" w:eastAsia="en-US"/>
        </w:rPr>
        <w:t xml:space="preserve">as well as the toolkit, in </w:t>
      </w:r>
      <w:proofErr w:type="gramStart"/>
      <w:r w:rsidRPr="00F75713">
        <w:rPr>
          <w:rFonts w:eastAsia="SimSun"/>
          <w:lang w:val="en-US" w:eastAsia="en-US"/>
        </w:rPr>
        <w:t>English;</w:t>
      </w:r>
      <w:proofErr w:type="gramEnd"/>
    </w:p>
    <w:p w14:paraId="482D90E1" w14:textId="77777777" w:rsidR="00F75713" w:rsidRPr="00F75713" w:rsidRDefault="00F75713" w:rsidP="00D81E9A">
      <w:pPr>
        <w:pStyle w:val="SingleTxtG"/>
        <w:ind w:firstLine="567"/>
        <w:rPr>
          <w:rFonts w:eastAsia="SimSun"/>
          <w:lang w:val="en-US" w:eastAsia="en-US"/>
        </w:rPr>
      </w:pPr>
      <w:r w:rsidRPr="00F75713">
        <w:rPr>
          <w:rFonts w:eastAsia="SimSun"/>
          <w:lang w:val="en-US" w:eastAsia="en-US"/>
        </w:rPr>
        <w:t>(c)</w:t>
      </w:r>
      <w:r w:rsidRPr="00F75713">
        <w:rPr>
          <w:rFonts w:eastAsia="SimSun"/>
          <w:lang w:val="en-US" w:eastAsia="en-US"/>
        </w:rPr>
        <w:tab/>
        <w:t>A binder with information per part/</w:t>
      </w:r>
      <w:proofErr w:type="gramStart"/>
      <w:r w:rsidRPr="00F75713">
        <w:rPr>
          <w:rFonts w:eastAsia="SimSun"/>
          <w:lang w:val="en-US" w:eastAsia="en-US"/>
        </w:rPr>
        <w:t>subject;</w:t>
      </w:r>
      <w:proofErr w:type="gramEnd"/>
    </w:p>
    <w:p w14:paraId="171BD48B" w14:textId="77777777" w:rsidR="00F75713" w:rsidRPr="00F75713" w:rsidRDefault="00F75713" w:rsidP="00D81E9A">
      <w:pPr>
        <w:pStyle w:val="SingleTxtG"/>
        <w:ind w:firstLine="567"/>
        <w:rPr>
          <w:rFonts w:eastAsia="SimSun"/>
          <w:b/>
          <w:lang w:val="en-US" w:eastAsia="en-US"/>
        </w:rPr>
      </w:pPr>
      <w:r w:rsidRPr="00F75713">
        <w:rPr>
          <w:rFonts w:eastAsia="SimSun"/>
          <w:lang w:val="en-US" w:eastAsia="en-US"/>
        </w:rPr>
        <w:t>(d)</w:t>
      </w:r>
      <w:r w:rsidRPr="00F75713">
        <w:rPr>
          <w:rFonts w:eastAsia="SimSun"/>
          <w:lang w:val="en-US" w:eastAsia="en-US"/>
        </w:rPr>
        <w:tab/>
        <w:t xml:space="preserve">A set of dialogue cards for all the dimensions related to the </w:t>
      </w:r>
      <w:r w:rsidRPr="00F75713">
        <w:rPr>
          <w:rFonts w:eastAsia="SimSun"/>
          <w:lang w:eastAsia="en-US"/>
        </w:rPr>
        <w:t>whole institution approach and education for sustainable development</w:t>
      </w:r>
      <w:r w:rsidRPr="00F75713">
        <w:rPr>
          <w:rFonts w:eastAsia="SimSun"/>
          <w:lang w:val="en-US" w:eastAsia="en-US"/>
        </w:rPr>
        <w:t xml:space="preserve">, featuring questions for discussion. These cards would not only cover the different components of </w:t>
      </w:r>
      <w:r w:rsidRPr="00F75713">
        <w:rPr>
          <w:rFonts w:eastAsia="SimSun"/>
          <w:lang w:eastAsia="en-US"/>
        </w:rPr>
        <w:t xml:space="preserve">whole institution approach </w:t>
      </w:r>
      <w:r w:rsidRPr="00F75713">
        <w:rPr>
          <w:rFonts w:eastAsia="SimSun"/>
          <w:lang w:val="en-US" w:eastAsia="en-US"/>
        </w:rPr>
        <w:t>but would also facilitate crossovers and touch upon other elements of a holistic view of quality education, including sustainability. The box would include cards with integrated examples and practices.</w:t>
      </w:r>
    </w:p>
    <w:p w14:paraId="21B592F1" w14:textId="5C1DF308" w:rsidR="00F75713" w:rsidRPr="00F75713" w:rsidRDefault="00D81E9A" w:rsidP="00D81E9A">
      <w:pPr>
        <w:pStyle w:val="HChG"/>
        <w:rPr>
          <w:rFonts w:eastAsia="SimSun"/>
          <w:lang w:val="en-US" w:eastAsia="en-US"/>
        </w:rPr>
      </w:pPr>
      <w:r>
        <w:rPr>
          <w:rFonts w:eastAsia="SimSun"/>
          <w:lang w:val="en-US" w:eastAsia="en-US"/>
        </w:rPr>
        <w:lastRenderedPageBreak/>
        <w:tab/>
      </w:r>
      <w:r>
        <w:rPr>
          <w:rFonts w:eastAsia="SimSun"/>
          <w:lang w:val="en-US" w:eastAsia="en-US"/>
        </w:rPr>
        <w:tab/>
      </w:r>
      <w:r w:rsidR="00F75713" w:rsidRPr="00F75713">
        <w:rPr>
          <w:rFonts w:eastAsia="SimSun"/>
          <w:lang w:val="en-US" w:eastAsia="en-US"/>
        </w:rPr>
        <w:t>Translation</w:t>
      </w:r>
    </w:p>
    <w:p w14:paraId="4DD2F51A" w14:textId="77777777" w:rsidR="00F75713" w:rsidRPr="00F75713" w:rsidRDefault="00F75713" w:rsidP="00D81E9A">
      <w:pPr>
        <w:pStyle w:val="SingleTxtG"/>
        <w:rPr>
          <w:rFonts w:eastAsia="SimSun"/>
          <w:b/>
          <w:lang w:val="en-US" w:eastAsia="en-US"/>
        </w:rPr>
      </w:pPr>
      <w:r w:rsidRPr="00F75713">
        <w:rPr>
          <w:rFonts w:eastAsia="SimSun"/>
          <w:lang w:val="en-US" w:eastAsia="en-US"/>
        </w:rPr>
        <w:t>12.</w:t>
      </w:r>
      <w:r w:rsidRPr="00F75713">
        <w:rPr>
          <w:rFonts w:eastAsia="SimSun"/>
          <w:lang w:val="en-US" w:eastAsia="en-US"/>
        </w:rPr>
        <w:tab/>
        <w:t>The toolbox will be translated in the three official languages of ECE (English, French and Russian), published by ECE and made available for each country to translate into its national language(s).</w:t>
      </w:r>
    </w:p>
    <w:p w14:paraId="3111C036" w14:textId="23B0E514" w:rsidR="00F75713" w:rsidRPr="00F75713" w:rsidRDefault="00D81E9A" w:rsidP="00D81E9A">
      <w:pPr>
        <w:pStyle w:val="HChG"/>
        <w:rPr>
          <w:rFonts w:eastAsia="SimSun"/>
          <w:lang w:val="en-US" w:eastAsia="en-US"/>
        </w:rPr>
      </w:pPr>
      <w:r>
        <w:rPr>
          <w:rFonts w:eastAsia="SimSun"/>
          <w:lang w:val="en-US" w:eastAsia="en-US"/>
        </w:rPr>
        <w:tab/>
      </w:r>
      <w:r>
        <w:rPr>
          <w:rFonts w:eastAsia="SimSun"/>
          <w:lang w:val="en-US" w:eastAsia="en-US"/>
        </w:rPr>
        <w:tab/>
      </w:r>
      <w:r w:rsidR="00F75713" w:rsidRPr="00F75713">
        <w:rPr>
          <w:rFonts w:eastAsia="SimSun"/>
          <w:lang w:val="en-US" w:eastAsia="en-US"/>
        </w:rPr>
        <w:t>Pilot implementation of the toolkit</w:t>
      </w:r>
    </w:p>
    <w:p w14:paraId="1107A253" w14:textId="77777777" w:rsidR="00F75713" w:rsidRPr="00F75713" w:rsidRDefault="00F75713" w:rsidP="00D81E9A">
      <w:pPr>
        <w:pStyle w:val="SingleTxtG"/>
        <w:rPr>
          <w:rFonts w:eastAsia="SimSun"/>
          <w:lang w:val="en-US" w:eastAsia="en-US"/>
        </w:rPr>
      </w:pPr>
      <w:r w:rsidRPr="00F75713">
        <w:rPr>
          <w:rFonts w:eastAsia="SimSun"/>
          <w:lang w:val="en-US" w:eastAsia="en-US"/>
        </w:rPr>
        <w:t>13.</w:t>
      </w:r>
      <w:r w:rsidRPr="00F75713">
        <w:rPr>
          <w:rFonts w:eastAsia="SimSun"/>
          <w:lang w:val="en-US" w:eastAsia="en-US"/>
        </w:rPr>
        <w:tab/>
        <w:t>Member States in the ECE region will be invited to participate in a pilot phase regarding the toolkit’s application in practice. Countries expressing an interest in participating in the pilot phase will be invited to take part in a webinar, at which the guidelines for the pilot application of the toolkit will be presented.</w:t>
      </w:r>
    </w:p>
    <w:p w14:paraId="52451148" w14:textId="14BD0CAD" w:rsidR="000D7EEE" w:rsidRDefault="00D81E9A" w:rsidP="00D81E9A">
      <w:pPr>
        <w:pStyle w:val="HChG"/>
      </w:pPr>
      <w:r>
        <w:rPr>
          <w:rFonts w:eastAsia="SimSun"/>
          <w:lang w:val="en-US" w:eastAsia="en-US"/>
        </w:rPr>
        <w:tab/>
      </w:r>
      <w:r>
        <w:rPr>
          <w:rFonts w:eastAsia="SimSun"/>
          <w:lang w:val="en-US" w:eastAsia="en-US"/>
        </w:rPr>
        <w:tab/>
      </w:r>
      <w:r w:rsidR="00F75713" w:rsidRPr="00F75713">
        <w:rPr>
          <w:rFonts w:eastAsia="SimSun"/>
          <w:lang w:val="en-US" w:eastAsia="en-US"/>
        </w:rPr>
        <w:t xml:space="preserve">Proposed </w:t>
      </w:r>
      <w:proofErr w:type="gramStart"/>
      <w:r w:rsidR="00F75713" w:rsidRPr="00F75713">
        <w:rPr>
          <w:rFonts w:eastAsia="SimSun"/>
          <w:lang w:val="en-US" w:eastAsia="en-US"/>
        </w:rPr>
        <w:t>timeline</w:t>
      </w:r>
      <w:proofErr w:type="gramEnd"/>
    </w:p>
    <w:tbl>
      <w:tblPr>
        <w:tblW w:w="9637" w:type="dxa"/>
        <w:tblLayout w:type="fixed"/>
        <w:tblCellMar>
          <w:left w:w="0" w:type="dxa"/>
          <w:right w:w="0" w:type="dxa"/>
        </w:tblCellMar>
        <w:tblLook w:val="04A0" w:firstRow="1" w:lastRow="0" w:firstColumn="1" w:lastColumn="0" w:noHBand="0" w:noVBand="1"/>
      </w:tblPr>
      <w:tblGrid>
        <w:gridCol w:w="4894"/>
        <w:gridCol w:w="428"/>
        <w:gridCol w:w="494"/>
        <w:gridCol w:w="494"/>
        <w:gridCol w:w="615"/>
        <w:gridCol w:w="494"/>
        <w:gridCol w:w="494"/>
        <w:gridCol w:w="615"/>
        <w:gridCol w:w="615"/>
        <w:gridCol w:w="494"/>
      </w:tblGrid>
      <w:tr w:rsidR="000B7139" w:rsidRPr="000B7139" w14:paraId="55F649A5" w14:textId="77777777" w:rsidTr="00E36897">
        <w:trPr>
          <w:tblHeader/>
        </w:trPr>
        <w:tc>
          <w:tcPr>
            <w:tcW w:w="3743" w:type="dxa"/>
            <w:tcBorders>
              <w:top w:val="single" w:sz="4" w:space="0" w:color="auto"/>
              <w:bottom w:val="single" w:sz="12" w:space="0" w:color="auto"/>
            </w:tcBorders>
            <w:shd w:val="clear" w:color="auto" w:fill="auto"/>
            <w:vAlign w:val="bottom"/>
          </w:tcPr>
          <w:p w14:paraId="2E297B99" w14:textId="77777777" w:rsidR="00F75713" w:rsidRPr="000B7139" w:rsidRDefault="00F75713" w:rsidP="000B7139">
            <w:pPr>
              <w:spacing w:before="80" w:after="80" w:line="200" w:lineRule="exact"/>
              <w:ind w:right="113"/>
              <w:rPr>
                <w:rFonts w:eastAsia="Calibri"/>
                <w:i/>
                <w:sz w:val="16"/>
                <w:lang w:eastAsia="en-US"/>
              </w:rPr>
            </w:pPr>
          </w:p>
        </w:tc>
        <w:tc>
          <w:tcPr>
            <w:tcW w:w="1553" w:type="dxa"/>
            <w:gridSpan w:val="4"/>
            <w:tcBorders>
              <w:top w:val="single" w:sz="4" w:space="0" w:color="auto"/>
              <w:bottom w:val="single" w:sz="12" w:space="0" w:color="auto"/>
            </w:tcBorders>
            <w:shd w:val="clear" w:color="auto" w:fill="auto"/>
            <w:vAlign w:val="bottom"/>
          </w:tcPr>
          <w:p w14:paraId="087769D6" w14:textId="77777777" w:rsidR="00F75713" w:rsidRPr="000B7139" w:rsidRDefault="00F75713" w:rsidP="000B7139">
            <w:pPr>
              <w:spacing w:before="80" w:after="80" w:line="200" w:lineRule="exact"/>
              <w:ind w:right="113"/>
              <w:rPr>
                <w:rFonts w:eastAsia="Calibri"/>
                <w:i/>
                <w:sz w:val="16"/>
                <w:lang w:eastAsia="en-US"/>
              </w:rPr>
            </w:pPr>
            <w:r w:rsidRPr="000B7139">
              <w:rPr>
                <w:rFonts w:eastAsia="Calibri"/>
                <w:i/>
                <w:sz w:val="16"/>
                <w:lang w:eastAsia="en-US"/>
              </w:rPr>
              <w:t>2024</w:t>
            </w:r>
          </w:p>
        </w:tc>
        <w:tc>
          <w:tcPr>
            <w:tcW w:w="1696" w:type="dxa"/>
            <w:gridSpan w:val="4"/>
            <w:tcBorders>
              <w:top w:val="single" w:sz="4" w:space="0" w:color="auto"/>
              <w:bottom w:val="single" w:sz="12" w:space="0" w:color="auto"/>
            </w:tcBorders>
            <w:shd w:val="clear" w:color="auto" w:fill="auto"/>
            <w:vAlign w:val="bottom"/>
          </w:tcPr>
          <w:p w14:paraId="6823F4A1" w14:textId="77777777" w:rsidR="00F75713" w:rsidRPr="000B7139" w:rsidRDefault="00F75713" w:rsidP="000B7139">
            <w:pPr>
              <w:spacing w:before="80" w:after="80" w:line="200" w:lineRule="exact"/>
              <w:ind w:right="113"/>
              <w:rPr>
                <w:rFonts w:eastAsia="Calibri"/>
                <w:i/>
                <w:sz w:val="16"/>
                <w:lang w:eastAsia="en-US"/>
              </w:rPr>
            </w:pPr>
            <w:r w:rsidRPr="000B7139">
              <w:rPr>
                <w:rFonts w:eastAsia="Calibri"/>
                <w:i/>
                <w:sz w:val="16"/>
                <w:lang w:eastAsia="en-US"/>
              </w:rPr>
              <w:t>2025</w:t>
            </w:r>
          </w:p>
        </w:tc>
        <w:tc>
          <w:tcPr>
            <w:tcW w:w="378" w:type="dxa"/>
            <w:tcBorders>
              <w:top w:val="single" w:sz="4" w:space="0" w:color="auto"/>
              <w:bottom w:val="single" w:sz="12" w:space="0" w:color="auto"/>
            </w:tcBorders>
            <w:shd w:val="clear" w:color="auto" w:fill="auto"/>
            <w:vAlign w:val="bottom"/>
          </w:tcPr>
          <w:p w14:paraId="466CC60A" w14:textId="77777777" w:rsidR="00F75713" w:rsidRPr="000B7139" w:rsidRDefault="00F75713" w:rsidP="000B7139">
            <w:pPr>
              <w:spacing w:before="80" w:after="80" w:line="200" w:lineRule="exact"/>
              <w:ind w:right="113"/>
              <w:rPr>
                <w:rFonts w:eastAsia="Calibri"/>
                <w:i/>
                <w:sz w:val="16"/>
                <w:lang w:eastAsia="en-US"/>
              </w:rPr>
            </w:pPr>
            <w:r w:rsidRPr="000B7139">
              <w:rPr>
                <w:rFonts w:eastAsia="Calibri"/>
                <w:i/>
                <w:sz w:val="16"/>
                <w:lang w:eastAsia="en-US"/>
              </w:rPr>
              <w:t>2026</w:t>
            </w:r>
          </w:p>
        </w:tc>
      </w:tr>
      <w:tr w:rsidR="000B7139" w:rsidRPr="000B7139" w14:paraId="795B51DE" w14:textId="77777777" w:rsidTr="00E36897">
        <w:trPr>
          <w:trHeight w:hRule="exact" w:val="113"/>
          <w:tblHeader/>
        </w:trPr>
        <w:tc>
          <w:tcPr>
            <w:tcW w:w="3743" w:type="dxa"/>
            <w:tcBorders>
              <w:top w:val="single" w:sz="12" w:space="0" w:color="auto"/>
            </w:tcBorders>
            <w:shd w:val="clear" w:color="auto" w:fill="auto"/>
          </w:tcPr>
          <w:p w14:paraId="468FAEF0" w14:textId="77777777" w:rsidR="000B7139" w:rsidRPr="000B7139" w:rsidRDefault="000B7139" w:rsidP="000B7139">
            <w:pPr>
              <w:spacing w:before="40" w:after="120"/>
              <w:ind w:right="113"/>
              <w:rPr>
                <w:rFonts w:eastAsia="Calibri"/>
                <w:lang w:eastAsia="en-US"/>
              </w:rPr>
            </w:pPr>
          </w:p>
        </w:tc>
        <w:tc>
          <w:tcPr>
            <w:tcW w:w="1553" w:type="dxa"/>
            <w:gridSpan w:val="4"/>
            <w:tcBorders>
              <w:top w:val="single" w:sz="12" w:space="0" w:color="auto"/>
            </w:tcBorders>
            <w:shd w:val="clear" w:color="auto" w:fill="auto"/>
          </w:tcPr>
          <w:p w14:paraId="1137053B" w14:textId="77777777" w:rsidR="000B7139" w:rsidRPr="000B7139" w:rsidRDefault="000B7139" w:rsidP="000B7139">
            <w:pPr>
              <w:spacing w:before="40" w:after="120"/>
              <w:ind w:right="113"/>
              <w:rPr>
                <w:rFonts w:eastAsia="Calibri"/>
                <w:lang w:eastAsia="en-US"/>
              </w:rPr>
            </w:pPr>
          </w:p>
        </w:tc>
        <w:tc>
          <w:tcPr>
            <w:tcW w:w="1696" w:type="dxa"/>
            <w:gridSpan w:val="4"/>
            <w:tcBorders>
              <w:top w:val="single" w:sz="12" w:space="0" w:color="auto"/>
            </w:tcBorders>
            <w:shd w:val="clear" w:color="auto" w:fill="auto"/>
          </w:tcPr>
          <w:p w14:paraId="06D06C53" w14:textId="77777777" w:rsidR="000B7139" w:rsidRPr="000B7139" w:rsidRDefault="000B7139" w:rsidP="000B7139">
            <w:pPr>
              <w:spacing w:before="40" w:after="120"/>
              <w:ind w:right="113"/>
              <w:rPr>
                <w:rFonts w:eastAsia="Calibri"/>
                <w:lang w:eastAsia="en-US"/>
              </w:rPr>
            </w:pPr>
          </w:p>
        </w:tc>
        <w:tc>
          <w:tcPr>
            <w:tcW w:w="378" w:type="dxa"/>
            <w:tcBorders>
              <w:top w:val="single" w:sz="12" w:space="0" w:color="auto"/>
            </w:tcBorders>
            <w:shd w:val="clear" w:color="auto" w:fill="auto"/>
          </w:tcPr>
          <w:p w14:paraId="04D84EFF" w14:textId="77777777" w:rsidR="000B7139" w:rsidRPr="000B7139" w:rsidRDefault="000B7139" w:rsidP="000B7139">
            <w:pPr>
              <w:spacing w:before="40" w:after="120"/>
              <w:ind w:right="113"/>
              <w:rPr>
                <w:rFonts w:eastAsia="Calibri"/>
                <w:lang w:eastAsia="en-US"/>
              </w:rPr>
            </w:pPr>
          </w:p>
        </w:tc>
      </w:tr>
      <w:tr w:rsidR="00E36897" w:rsidRPr="000B7139" w14:paraId="3C25090A" w14:textId="77777777" w:rsidTr="00E36897">
        <w:tc>
          <w:tcPr>
            <w:tcW w:w="3743" w:type="dxa"/>
            <w:shd w:val="clear" w:color="auto" w:fill="auto"/>
          </w:tcPr>
          <w:p w14:paraId="64741AE0" w14:textId="77777777" w:rsidR="00F75713" w:rsidRPr="000B7139" w:rsidRDefault="00F75713" w:rsidP="000B7139">
            <w:pPr>
              <w:spacing w:before="40" w:after="120"/>
              <w:ind w:right="113"/>
              <w:rPr>
                <w:rFonts w:eastAsia="Calibri"/>
                <w:lang w:eastAsia="en-US"/>
              </w:rPr>
            </w:pPr>
          </w:p>
        </w:tc>
        <w:tc>
          <w:tcPr>
            <w:tcW w:w="327" w:type="dxa"/>
            <w:shd w:val="clear" w:color="auto" w:fill="auto"/>
          </w:tcPr>
          <w:p w14:paraId="5537FEB5" w14:textId="77777777" w:rsidR="00F75713" w:rsidRPr="000B7139" w:rsidRDefault="00F75713" w:rsidP="000B7139">
            <w:pPr>
              <w:spacing w:before="40" w:after="120"/>
              <w:ind w:right="113"/>
              <w:rPr>
                <w:rFonts w:eastAsia="Calibri"/>
                <w:lang w:eastAsia="en-US"/>
              </w:rPr>
            </w:pPr>
            <w:r w:rsidRPr="000B7139">
              <w:rPr>
                <w:rFonts w:eastAsia="Calibri"/>
                <w:lang w:eastAsia="en-US"/>
              </w:rPr>
              <w:t>Q1</w:t>
            </w:r>
          </w:p>
        </w:tc>
        <w:tc>
          <w:tcPr>
            <w:tcW w:w="378" w:type="dxa"/>
            <w:shd w:val="clear" w:color="auto" w:fill="auto"/>
          </w:tcPr>
          <w:p w14:paraId="60333ED8" w14:textId="77777777" w:rsidR="00F75713" w:rsidRPr="000B7139" w:rsidRDefault="00F75713" w:rsidP="000B7139">
            <w:pPr>
              <w:spacing w:before="40" w:after="120"/>
              <w:ind w:right="113"/>
              <w:rPr>
                <w:rFonts w:eastAsia="Calibri"/>
                <w:lang w:eastAsia="en-US"/>
              </w:rPr>
            </w:pPr>
            <w:r w:rsidRPr="000B7139">
              <w:rPr>
                <w:rFonts w:eastAsia="Calibri"/>
                <w:lang w:eastAsia="en-US"/>
              </w:rPr>
              <w:t>Q2</w:t>
            </w:r>
          </w:p>
        </w:tc>
        <w:tc>
          <w:tcPr>
            <w:tcW w:w="378" w:type="dxa"/>
            <w:shd w:val="clear" w:color="auto" w:fill="auto"/>
          </w:tcPr>
          <w:p w14:paraId="28FEBD30" w14:textId="77777777" w:rsidR="00F75713" w:rsidRPr="000B7139" w:rsidRDefault="00F75713" w:rsidP="000B7139">
            <w:pPr>
              <w:spacing w:before="40" w:after="120"/>
              <w:ind w:right="113"/>
              <w:rPr>
                <w:rFonts w:eastAsia="Calibri"/>
                <w:lang w:eastAsia="en-US"/>
              </w:rPr>
            </w:pPr>
            <w:r w:rsidRPr="000B7139">
              <w:rPr>
                <w:rFonts w:eastAsia="Calibri"/>
                <w:lang w:eastAsia="en-US"/>
              </w:rPr>
              <w:t>Q3</w:t>
            </w:r>
          </w:p>
        </w:tc>
        <w:tc>
          <w:tcPr>
            <w:tcW w:w="470" w:type="dxa"/>
            <w:shd w:val="clear" w:color="auto" w:fill="auto"/>
          </w:tcPr>
          <w:p w14:paraId="4FAC904F" w14:textId="77777777" w:rsidR="00F75713" w:rsidRPr="000B7139" w:rsidRDefault="00F75713" w:rsidP="000B7139">
            <w:pPr>
              <w:spacing w:before="40" w:after="120"/>
              <w:ind w:right="113"/>
              <w:rPr>
                <w:rFonts w:eastAsia="Calibri"/>
                <w:lang w:eastAsia="en-US"/>
              </w:rPr>
            </w:pPr>
            <w:r w:rsidRPr="000B7139">
              <w:rPr>
                <w:rFonts w:eastAsia="Calibri"/>
                <w:lang w:eastAsia="en-US"/>
              </w:rPr>
              <w:t>Q4</w:t>
            </w:r>
          </w:p>
        </w:tc>
        <w:tc>
          <w:tcPr>
            <w:tcW w:w="378" w:type="dxa"/>
            <w:shd w:val="clear" w:color="auto" w:fill="auto"/>
          </w:tcPr>
          <w:p w14:paraId="2A29178B" w14:textId="77777777" w:rsidR="00F75713" w:rsidRPr="000B7139" w:rsidRDefault="00F75713" w:rsidP="000B7139">
            <w:pPr>
              <w:spacing w:before="40" w:after="120"/>
              <w:ind w:right="113"/>
              <w:rPr>
                <w:rFonts w:eastAsia="Calibri"/>
                <w:lang w:eastAsia="en-US"/>
              </w:rPr>
            </w:pPr>
            <w:r w:rsidRPr="000B7139">
              <w:rPr>
                <w:rFonts w:eastAsia="Calibri"/>
                <w:lang w:eastAsia="en-US"/>
              </w:rPr>
              <w:t>Q1</w:t>
            </w:r>
          </w:p>
        </w:tc>
        <w:tc>
          <w:tcPr>
            <w:tcW w:w="378" w:type="dxa"/>
            <w:shd w:val="clear" w:color="auto" w:fill="auto"/>
          </w:tcPr>
          <w:p w14:paraId="0578F81B" w14:textId="77777777" w:rsidR="00F75713" w:rsidRPr="000B7139" w:rsidRDefault="00F75713" w:rsidP="000B7139">
            <w:pPr>
              <w:spacing w:before="40" w:after="120"/>
              <w:ind w:right="113"/>
              <w:rPr>
                <w:rFonts w:eastAsia="Calibri"/>
                <w:lang w:eastAsia="en-US"/>
              </w:rPr>
            </w:pPr>
            <w:r w:rsidRPr="000B7139">
              <w:rPr>
                <w:rFonts w:eastAsia="Calibri"/>
                <w:lang w:eastAsia="en-US"/>
              </w:rPr>
              <w:t>Q2</w:t>
            </w:r>
          </w:p>
        </w:tc>
        <w:tc>
          <w:tcPr>
            <w:tcW w:w="470" w:type="dxa"/>
            <w:shd w:val="clear" w:color="auto" w:fill="auto"/>
          </w:tcPr>
          <w:p w14:paraId="0CD2D7AA" w14:textId="77777777" w:rsidR="00F75713" w:rsidRPr="000B7139" w:rsidRDefault="00F75713" w:rsidP="000B7139">
            <w:pPr>
              <w:spacing w:before="40" w:after="120"/>
              <w:ind w:right="113"/>
              <w:rPr>
                <w:rFonts w:eastAsia="Calibri"/>
                <w:lang w:eastAsia="en-US"/>
              </w:rPr>
            </w:pPr>
            <w:r w:rsidRPr="000B7139">
              <w:rPr>
                <w:rFonts w:eastAsia="Calibri"/>
                <w:lang w:eastAsia="en-US"/>
              </w:rPr>
              <w:t>Q3</w:t>
            </w:r>
          </w:p>
        </w:tc>
        <w:tc>
          <w:tcPr>
            <w:tcW w:w="470" w:type="dxa"/>
            <w:shd w:val="clear" w:color="auto" w:fill="auto"/>
          </w:tcPr>
          <w:p w14:paraId="0FA83C8C" w14:textId="77777777" w:rsidR="00F75713" w:rsidRPr="000B7139" w:rsidRDefault="00F75713" w:rsidP="000B7139">
            <w:pPr>
              <w:spacing w:before="40" w:after="120"/>
              <w:ind w:right="113"/>
              <w:rPr>
                <w:rFonts w:eastAsia="Calibri"/>
                <w:lang w:eastAsia="en-US"/>
              </w:rPr>
            </w:pPr>
            <w:r w:rsidRPr="000B7139">
              <w:rPr>
                <w:rFonts w:eastAsia="Calibri"/>
                <w:lang w:eastAsia="en-US"/>
              </w:rPr>
              <w:t>Q4</w:t>
            </w:r>
          </w:p>
        </w:tc>
        <w:tc>
          <w:tcPr>
            <w:tcW w:w="378" w:type="dxa"/>
            <w:shd w:val="clear" w:color="auto" w:fill="auto"/>
          </w:tcPr>
          <w:p w14:paraId="44278BA5" w14:textId="77777777" w:rsidR="00F75713" w:rsidRPr="000B7139" w:rsidRDefault="00F75713" w:rsidP="000B7139">
            <w:pPr>
              <w:spacing w:before="40" w:after="120"/>
              <w:ind w:right="113"/>
              <w:rPr>
                <w:rFonts w:eastAsia="Calibri"/>
                <w:lang w:eastAsia="en-US"/>
              </w:rPr>
            </w:pPr>
            <w:r w:rsidRPr="000B7139">
              <w:rPr>
                <w:rFonts w:eastAsia="Calibri"/>
                <w:lang w:eastAsia="en-US"/>
              </w:rPr>
              <w:t>Q1</w:t>
            </w:r>
          </w:p>
        </w:tc>
      </w:tr>
      <w:tr w:rsidR="00F75713" w:rsidRPr="000B7139" w14:paraId="4EF7FCCF" w14:textId="77777777" w:rsidTr="00E36897">
        <w:tc>
          <w:tcPr>
            <w:tcW w:w="3743" w:type="dxa"/>
            <w:shd w:val="clear" w:color="auto" w:fill="auto"/>
          </w:tcPr>
          <w:p w14:paraId="73D8A523" w14:textId="77777777" w:rsidR="00F75713" w:rsidRPr="000B7139" w:rsidRDefault="00F75713" w:rsidP="000B7139">
            <w:pPr>
              <w:spacing w:before="40" w:after="120"/>
              <w:ind w:right="113"/>
              <w:rPr>
                <w:rFonts w:eastAsia="Calibri"/>
                <w:lang w:eastAsia="en-US"/>
              </w:rPr>
            </w:pPr>
            <w:r w:rsidRPr="000B7139">
              <w:rPr>
                <w:rFonts w:eastAsia="Calibri"/>
                <w:lang w:eastAsia="en-US"/>
              </w:rPr>
              <w:t>Start-up expert group, project team and support group</w:t>
            </w:r>
          </w:p>
        </w:tc>
        <w:tc>
          <w:tcPr>
            <w:tcW w:w="327" w:type="dxa"/>
            <w:shd w:val="clear" w:color="auto" w:fill="auto"/>
          </w:tcPr>
          <w:p w14:paraId="59442E1E"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27AA1F39"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447C9DE1"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7BC1A836"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F5F19E6"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0E71772E"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31F5E565"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16E2AAF"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A6850FE" w14:textId="77777777" w:rsidR="00F75713" w:rsidRPr="000B7139" w:rsidRDefault="00F75713" w:rsidP="000B7139">
            <w:pPr>
              <w:spacing w:before="40" w:after="120"/>
              <w:ind w:right="113"/>
              <w:rPr>
                <w:rFonts w:eastAsia="Calibri"/>
                <w:lang w:eastAsia="en-US"/>
              </w:rPr>
            </w:pPr>
          </w:p>
        </w:tc>
      </w:tr>
      <w:tr w:rsidR="00F75713" w:rsidRPr="000B7139" w14:paraId="08507142" w14:textId="77777777" w:rsidTr="00E36897">
        <w:tc>
          <w:tcPr>
            <w:tcW w:w="3743" w:type="dxa"/>
            <w:shd w:val="clear" w:color="auto" w:fill="auto"/>
          </w:tcPr>
          <w:p w14:paraId="1FB3367D" w14:textId="3F60AB8F" w:rsidR="00F75713" w:rsidRPr="000B7139" w:rsidRDefault="00F75713" w:rsidP="000B7139">
            <w:pPr>
              <w:spacing w:before="40" w:after="120"/>
              <w:ind w:right="113"/>
              <w:rPr>
                <w:rFonts w:eastAsia="Calibri"/>
                <w:lang w:eastAsia="en-US"/>
              </w:rPr>
            </w:pPr>
            <w:r w:rsidRPr="000B7139">
              <w:rPr>
                <w:rFonts w:eastAsia="Calibri"/>
                <w:lang w:eastAsia="en-US"/>
              </w:rPr>
              <w:t>Online and in-person meetings with expert group and support group to agree on toolkit formation (structure, content, format, development)</w:t>
            </w:r>
          </w:p>
        </w:tc>
        <w:tc>
          <w:tcPr>
            <w:tcW w:w="327" w:type="dxa"/>
            <w:shd w:val="clear" w:color="auto" w:fill="auto"/>
          </w:tcPr>
          <w:p w14:paraId="393E0AA4"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C2AF605"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72CD963"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E9C6DF3"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6232EBF3"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692BFF6"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56DB35C7"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32AB0556"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65F87940" w14:textId="77777777" w:rsidR="00F75713" w:rsidRPr="000B7139" w:rsidRDefault="00F75713" w:rsidP="000B7139">
            <w:pPr>
              <w:spacing w:before="40" w:after="120"/>
              <w:ind w:right="113"/>
              <w:rPr>
                <w:rFonts w:eastAsia="Calibri"/>
                <w:lang w:eastAsia="en-US"/>
              </w:rPr>
            </w:pPr>
          </w:p>
        </w:tc>
      </w:tr>
      <w:tr w:rsidR="00F75713" w:rsidRPr="000B7139" w14:paraId="6483FC8E" w14:textId="77777777" w:rsidTr="00E36897">
        <w:tc>
          <w:tcPr>
            <w:tcW w:w="3743" w:type="dxa"/>
            <w:shd w:val="clear" w:color="auto" w:fill="auto"/>
          </w:tcPr>
          <w:p w14:paraId="11159EC3" w14:textId="77777777" w:rsidR="00F75713" w:rsidRPr="000B7139" w:rsidRDefault="00F75713" w:rsidP="000B7139">
            <w:pPr>
              <w:spacing w:before="40" w:after="120"/>
              <w:ind w:right="113"/>
              <w:rPr>
                <w:rFonts w:eastAsia="Calibri"/>
                <w:lang w:eastAsia="en-US"/>
              </w:rPr>
            </w:pPr>
            <w:r w:rsidRPr="000B7139">
              <w:rPr>
                <w:rFonts w:eastAsia="Calibri"/>
                <w:lang w:eastAsia="en-US"/>
              </w:rPr>
              <w:t xml:space="preserve">Online and live meetings of the project team </w:t>
            </w:r>
          </w:p>
        </w:tc>
        <w:tc>
          <w:tcPr>
            <w:tcW w:w="327" w:type="dxa"/>
            <w:shd w:val="clear" w:color="auto" w:fill="auto"/>
          </w:tcPr>
          <w:p w14:paraId="057851A5"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73E0E042"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15084275"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78EA4D5B"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4FA68781"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42A94BFC"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73D4E081"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48B5AC86"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7CA86DAA"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r>
      <w:tr w:rsidR="00F75713" w:rsidRPr="000B7139" w14:paraId="1A1D65F8" w14:textId="77777777" w:rsidTr="00E36897">
        <w:tc>
          <w:tcPr>
            <w:tcW w:w="3743" w:type="dxa"/>
            <w:shd w:val="clear" w:color="auto" w:fill="auto"/>
          </w:tcPr>
          <w:p w14:paraId="367CBFB5" w14:textId="77777777" w:rsidR="00F75713" w:rsidRPr="000B7139" w:rsidRDefault="00F75713" w:rsidP="000B7139">
            <w:pPr>
              <w:spacing w:before="40" w:after="120"/>
              <w:ind w:right="113"/>
              <w:rPr>
                <w:rFonts w:eastAsia="Calibri"/>
                <w:lang w:eastAsia="en-US"/>
              </w:rPr>
            </w:pPr>
            <w:r w:rsidRPr="000B7139">
              <w:rPr>
                <w:rFonts w:eastAsia="Calibri"/>
                <w:lang w:eastAsia="en-US"/>
              </w:rPr>
              <w:t xml:space="preserve">Online meetings with contractors and one in-person meeting </w:t>
            </w:r>
          </w:p>
        </w:tc>
        <w:tc>
          <w:tcPr>
            <w:tcW w:w="327" w:type="dxa"/>
            <w:shd w:val="clear" w:color="auto" w:fill="auto"/>
          </w:tcPr>
          <w:p w14:paraId="6AD360B6"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A321DC7"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7FAD3847"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3354E598"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5AF8BDFA"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39CFDC9"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08C0B2F5"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639E178D"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42FA5F0E"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r>
      <w:tr w:rsidR="00F75713" w:rsidRPr="000B7139" w14:paraId="0CB32A1C" w14:textId="77777777" w:rsidTr="00E36897">
        <w:tc>
          <w:tcPr>
            <w:tcW w:w="3743" w:type="dxa"/>
            <w:shd w:val="clear" w:color="auto" w:fill="auto"/>
          </w:tcPr>
          <w:p w14:paraId="74DD9250" w14:textId="77777777" w:rsidR="00F75713" w:rsidRPr="000B7139" w:rsidRDefault="00F75713" w:rsidP="000B7139">
            <w:pPr>
              <w:spacing w:before="40" w:after="120"/>
              <w:ind w:right="113"/>
              <w:rPr>
                <w:rFonts w:eastAsia="Calibri"/>
                <w:lang w:eastAsia="en-US"/>
              </w:rPr>
            </w:pPr>
            <w:r w:rsidRPr="000B7139">
              <w:rPr>
                <w:rFonts w:eastAsia="Calibri"/>
                <w:lang w:eastAsia="en-US"/>
              </w:rPr>
              <w:t>Research and analysis</w:t>
            </w:r>
          </w:p>
        </w:tc>
        <w:tc>
          <w:tcPr>
            <w:tcW w:w="327" w:type="dxa"/>
            <w:shd w:val="clear" w:color="auto" w:fill="auto"/>
          </w:tcPr>
          <w:p w14:paraId="7343023E"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6CB9F60A"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520BEAA"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43F624A"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4EAA8540"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7EC6D651"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2D18DB1C"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2D9A9A6A"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F2294CC" w14:textId="77777777" w:rsidR="00F75713" w:rsidRPr="000B7139" w:rsidRDefault="00F75713" w:rsidP="000B7139">
            <w:pPr>
              <w:spacing w:before="40" w:after="120"/>
              <w:ind w:right="113"/>
              <w:rPr>
                <w:rFonts w:eastAsia="Calibri"/>
                <w:lang w:eastAsia="en-US"/>
              </w:rPr>
            </w:pPr>
          </w:p>
        </w:tc>
      </w:tr>
      <w:tr w:rsidR="00F75713" w:rsidRPr="000B7139" w14:paraId="477913E1" w14:textId="77777777" w:rsidTr="00E36897">
        <w:tc>
          <w:tcPr>
            <w:tcW w:w="3743" w:type="dxa"/>
            <w:shd w:val="clear" w:color="auto" w:fill="auto"/>
          </w:tcPr>
          <w:p w14:paraId="50631909" w14:textId="77777777" w:rsidR="00F75713" w:rsidRPr="000B7139" w:rsidRDefault="00F75713" w:rsidP="000B7139">
            <w:pPr>
              <w:spacing w:before="40" w:after="120"/>
              <w:ind w:right="113"/>
              <w:rPr>
                <w:rFonts w:eastAsia="Calibri"/>
                <w:lang w:eastAsia="en-US"/>
              </w:rPr>
            </w:pPr>
            <w:r w:rsidRPr="000B7139">
              <w:rPr>
                <w:rFonts w:eastAsia="Calibri"/>
                <w:lang w:eastAsia="en-US"/>
              </w:rPr>
              <w:t>Pedagogical concept; general and specific elements</w:t>
            </w:r>
          </w:p>
        </w:tc>
        <w:tc>
          <w:tcPr>
            <w:tcW w:w="327" w:type="dxa"/>
            <w:shd w:val="clear" w:color="auto" w:fill="auto"/>
          </w:tcPr>
          <w:p w14:paraId="04C45633"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7B2B9387"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1C79A4D"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71776A57"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0D377ACD"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246ED33B"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4AAA4038"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006E909F"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2CAEC2EF" w14:textId="77777777" w:rsidR="00F75713" w:rsidRPr="000B7139" w:rsidRDefault="00F75713" w:rsidP="000B7139">
            <w:pPr>
              <w:spacing w:before="40" w:after="120"/>
              <w:ind w:right="113"/>
              <w:rPr>
                <w:rFonts w:eastAsia="Calibri"/>
                <w:lang w:eastAsia="en-US"/>
              </w:rPr>
            </w:pPr>
          </w:p>
        </w:tc>
      </w:tr>
      <w:tr w:rsidR="00F75713" w:rsidRPr="000B7139" w14:paraId="671BEF0E" w14:textId="77777777" w:rsidTr="00E36897">
        <w:tc>
          <w:tcPr>
            <w:tcW w:w="3743" w:type="dxa"/>
            <w:shd w:val="clear" w:color="auto" w:fill="auto"/>
          </w:tcPr>
          <w:p w14:paraId="0AFC87E7" w14:textId="77777777" w:rsidR="00F75713" w:rsidRPr="000B7139" w:rsidRDefault="00F75713" w:rsidP="000B7139">
            <w:pPr>
              <w:spacing w:before="40" w:after="120"/>
              <w:ind w:right="113"/>
              <w:rPr>
                <w:rFonts w:eastAsia="Calibri"/>
                <w:lang w:eastAsia="en-US"/>
              </w:rPr>
            </w:pPr>
            <w:r w:rsidRPr="000B7139">
              <w:rPr>
                <w:rFonts w:eastAsia="Calibri"/>
                <w:lang w:eastAsia="en-US"/>
              </w:rPr>
              <w:t>Architecture and design of the toolkit</w:t>
            </w:r>
          </w:p>
        </w:tc>
        <w:tc>
          <w:tcPr>
            <w:tcW w:w="327" w:type="dxa"/>
            <w:shd w:val="clear" w:color="auto" w:fill="auto"/>
          </w:tcPr>
          <w:p w14:paraId="14F66CF5"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CBEA3C8"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89E1303"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734C2E62"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C9C4CB4"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23376CD6"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2057003F"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4B134B2"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D3F7943" w14:textId="77777777" w:rsidR="00F75713" w:rsidRPr="000B7139" w:rsidRDefault="00F75713" w:rsidP="000B7139">
            <w:pPr>
              <w:spacing w:before="40" w:after="120"/>
              <w:ind w:right="113"/>
              <w:rPr>
                <w:rFonts w:eastAsia="Calibri"/>
                <w:lang w:eastAsia="en-US"/>
              </w:rPr>
            </w:pPr>
          </w:p>
        </w:tc>
      </w:tr>
      <w:tr w:rsidR="00F75713" w:rsidRPr="000B7139" w14:paraId="6B08EBAE" w14:textId="77777777" w:rsidTr="00E36897">
        <w:tc>
          <w:tcPr>
            <w:tcW w:w="3743" w:type="dxa"/>
            <w:shd w:val="clear" w:color="auto" w:fill="auto"/>
          </w:tcPr>
          <w:p w14:paraId="35AEE59F" w14:textId="77777777" w:rsidR="00F75713" w:rsidRPr="000B7139" w:rsidRDefault="00F75713" w:rsidP="000B7139">
            <w:pPr>
              <w:spacing w:before="40" w:after="120"/>
              <w:ind w:right="113"/>
              <w:rPr>
                <w:rFonts w:eastAsia="Calibri"/>
                <w:lang w:eastAsia="en-US"/>
              </w:rPr>
            </w:pPr>
            <w:r w:rsidRPr="000B7139">
              <w:rPr>
                <w:rFonts w:eastAsia="Calibri"/>
                <w:lang w:eastAsia="en-US"/>
              </w:rPr>
              <w:t>Development of the tools and interventions for change</w:t>
            </w:r>
          </w:p>
        </w:tc>
        <w:tc>
          <w:tcPr>
            <w:tcW w:w="327" w:type="dxa"/>
            <w:shd w:val="clear" w:color="auto" w:fill="auto"/>
          </w:tcPr>
          <w:p w14:paraId="11ABD011"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0759E4B6"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EA7C700"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258A1D46"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E91CAD7"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7A1F6DB9"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22C14752"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6BD9EB07"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221A6E5F" w14:textId="77777777" w:rsidR="00F75713" w:rsidRPr="000B7139" w:rsidRDefault="00F75713" w:rsidP="000B7139">
            <w:pPr>
              <w:spacing w:before="40" w:after="120"/>
              <w:ind w:right="113"/>
              <w:rPr>
                <w:rFonts w:eastAsia="Calibri"/>
                <w:lang w:eastAsia="en-US"/>
              </w:rPr>
            </w:pPr>
          </w:p>
        </w:tc>
      </w:tr>
      <w:tr w:rsidR="00F75713" w:rsidRPr="000B7139" w14:paraId="23DEC4FB" w14:textId="77777777" w:rsidTr="00E36897">
        <w:tc>
          <w:tcPr>
            <w:tcW w:w="3743" w:type="dxa"/>
            <w:shd w:val="clear" w:color="auto" w:fill="auto"/>
          </w:tcPr>
          <w:p w14:paraId="504662C1" w14:textId="77777777" w:rsidR="00F75713" w:rsidRPr="000B7139" w:rsidRDefault="00F75713" w:rsidP="000B7139">
            <w:pPr>
              <w:spacing w:before="40" w:after="120"/>
              <w:ind w:right="113"/>
              <w:rPr>
                <w:rFonts w:eastAsia="Calibri"/>
                <w:lang w:eastAsia="en-US"/>
              </w:rPr>
            </w:pPr>
            <w:r w:rsidRPr="000B7139">
              <w:rPr>
                <w:rFonts w:eastAsia="Calibri"/>
                <w:lang w:eastAsia="en-US"/>
              </w:rPr>
              <w:t>Selection of examples and inspiration</w:t>
            </w:r>
          </w:p>
        </w:tc>
        <w:tc>
          <w:tcPr>
            <w:tcW w:w="327" w:type="dxa"/>
            <w:shd w:val="clear" w:color="auto" w:fill="auto"/>
          </w:tcPr>
          <w:p w14:paraId="3747595C"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73BF0B1"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618DA112"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11692987"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0A6AC86F"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D97FA21"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0A63997C"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2A03E731"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72C8FEAA" w14:textId="77777777" w:rsidR="00F75713" w:rsidRPr="000B7139" w:rsidRDefault="00F75713" w:rsidP="000B7139">
            <w:pPr>
              <w:spacing w:before="40" w:after="120"/>
              <w:ind w:right="113"/>
              <w:rPr>
                <w:rFonts w:eastAsia="Calibri"/>
                <w:lang w:eastAsia="en-US"/>
              </w:rPr>
            </w:pPr>
          </w:p>
        </w:tc>
      </w:tr>
      <w:tr w:rsidR="00F75713" w:rsidRPr="000B7139" w14:paraId="645F0E0B" w14:textId="77777777" w:rsidTr="00E36897">
        <w:tc>
          <w:tcPr>
            <w:tcW w:w="3743" w:type="dxa"/>
            <w:shd w:val="clear" w:color="auto" w:fill="auto"/>
          </w:tcPr>
          <w:p w14:paraId="3437A986" w14:textId="77777777" w:rsidR="00F75713" w:rsidRPr="000B7139" w:rsidRDefault="00F75713" w:rsidP="000B7139">
            <w:pPr>
              <w:spacing w:before="40" w:after="120"/>
              <w:ind w:right="113"/>
              <w:rPr>
                <w:rFonts w:eastAsia="Calibri"/>
                <w:lang w:eastAsia="en-US"/>
              </w:rPr>
            </w:pPr>
            <w:r w:rsidRPr="000B7139">
              <w:rPr>
                <w:rFonts w:eastAsia="Calibri"/>
                <w:lang w:eastAsia="en-US"/>
              </w:rPr>
              <w:t>Draft version</w:t>
            </w:r>
          </w:p>
        </w:tc>
        <w:tc>
          <w:tcPr>
            <w:tcW w:w="327" w:type="dxa"/>
            <w:shd w:val="clear" w:color="auto" w:fill="auto"/>
          </w:tcPr>
          <w:p w14:paraId="566F5970"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08C6FCC6"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4DBFEA9"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16C58538"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294776F"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04B698BF"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6C0E8C6F"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052E6F3F"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616E6D2C" w14:textId="77777777" w:rsidR="00F75713" w:rsidRPr="000B7139" w:rsidRDefault="00F75713" w:rsidP="000B7139">
            <w:pPr>
              <w:spacing w:before="40" w:after="120"/>
              <w:ind w:right="113"/>
              <w:rPr>
                <w:rFonts w:eastAsia="Calibri"/>
                <w:lang w:eastAsia="en-US"/>
              </w:rPr>
            </w:pPr>
          </w:p>
        </w:tc>
      </w:tr>
      <w:tr w:rsidR="00F75713" w:rsidRPr="000B7139" w14:paraId="18AB8866" w14:textId="77777777" w:rsidTr="00E36897">
        <w:tc>
          <w:tcPr>
            <w:tcW w:w="3743" w:type="dxa"/>
            <w:shd w:val="clear" w:color="auto" w:fill="auto"/>
          </w:tcPr>
          <w:p w14:paraId="2DAAACC4" w14:textId="77777777" w:rsidR="00F75713" w:rsidRPr="000B7139" w:rsidRDefault="00F75713" w:rsidP="000B7139">
            <w:pPr>
              <w:spacing w:before="40" w:after="120"/>
              <w:ind w:right="113"/>
              <w:rPr>
                <w:rFonts w:eastAsia="Calibri"/>
                <w:lang w:eastAsia="en-US"/>
              </w:rPr>
            </w:pPr>
            <w:r w:rsidRPr="000B7139">
              <w:rPr>
                <w:rFonts w:eastAsia="Calibri"/>
                <w:lang w:eastAsia="en-US"/>
              </w:rPr>
              <w:t>Regional conference “How to use the toolkit on whole institution approach and education for sustainable development”, hosted by member State</w:t>
            </w:r>
          </w:p>
        </w:tc>
        <w:tc>
          <w:tcPr>
            <w:tcW w:w="327" w:type="dxa"/>
            <w:shd w:val="clear" w:color="auto" w:fill="auto"/>
          </w:tcPr>
          <w:p w14:paraId="07B29CD8"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6A37C270"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782B36D3"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2CE32B53"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2201CD92"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A381947"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152E9E53"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387C8E59"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1D6DCF04" w14:textId="77777777" w:rsidR="00F75713" w:rsidRPr="000B7139" w:rsidRDefault="00F75713" w:rsidP="000B7139">
            <w:pPr>
              <w:spacing w:before="40" w:after="120"/>
              <w:ind w:right="113"/>
              <w:rPr>
                <w:rFonts w:eastAsia="Calibri"/>
                <w:lang w:eastAsia="en-US"/>
              </w:rPr>
            </w:pPr>
          </w:p>
        </w:tc>
      </w:tr>
      <w:tr w:rsidR="00F75713" w:rsidRPr="000B7139" w14:paraId="271459E1" w14:textId="77777777" w:rsidTr="00E36897">
        <w:tc>
          <w:tcPr>
            <w:tcW w:w="3743" w:type="dxa"/>
            <w:shd w:val="clear" w:color="auto" w:fill="auto"/>
          </w:tcPr>
          <w:p w14:paraId="079C7086" w14:textId="77777777" w:rsidR="00F75713" w:rsidRPr="000B7139" w:rsidRDefault="00F75713" w:rsidP="000B7139">
            <w:pPr>
              <w:spacing w:before="40" w:after="120"/>
              <w:ind w:right="113"/>
              <w:rPr>
                <w:rFonts w:eastAsia="Calibri"/>
                <w:lang w:eastAsia="en-US"/>
              </w:rPr>
            </w:pPr>
            <w:r w:rsidRPr="000B7139">
              <w:rPr>
                <w:rFonts w:eastAsia="Calibri"/>
                <w:lang w:eastAsia="en-US"/>
              </w:rPr>
              <w:t>Final version</w:t>
            </w:r>
          </w:p>
        </w:tc>
        <w:tc>
          <w:tcPr>
            <w:tcW w:w="327" w:type="dxa"/>
            <w:shd w:val="clear" w:color="auto" w:fill="auto"/>
          </w:tcPr>
          <w:p w14:paraId="17957264"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B521229"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768F92B2"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7CFBB4C4"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F52B804"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036A5231"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20DFC206"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32317B4"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34511EB8"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r>
      <w:tr w:rsidR="00F75713" w:rsidRPr="000B7139" w14:paraId="6D275219" w14:textId="77777777" w:rsidTr="00E36897">
        <w:tc>
          <w:tcPr>
            <w:tcW w:w="3743" w:type="dxa"/>
            <w:shd w:val="clear" w:color="auto" w:fill="auto"/>
          </w:tcPr>
          <w:p w14:paraId="52C8C8D4" w14:textId="77777777" w:rsidR="00F75713" w:rsidRPr="000B7139" w:rsidRDefault="00F75713" w:rsidP="000B7139">
            <w:pPr>
              <w:spacing w:before="40" w:after="120"/>
              <w:ind w:right="113"/>
              <w:rPr>
                <w:rFonts w:eastAsia="Calibri"/>
                <w:lang w:eastAsia="en-US"/>
              </w:rPr>
            </w:pPr>
            <w:r w:rsidRPr="000B7139">
              <w:rPr>
                <w:rFonts w:eastAsia="Calibri"/>
                <w:lang w:eastAsia="en-US"/>
              </w:rPr>
              <w:t>Publication by ECE</w:t>
            </w:r>
          </w:p>
        </w:tc>
        <w:tc>
          <w:tcPr>
            <w:tcW w:w="327" w:type="dxa"/>
            <w:shd w:val="clear" w:color="auto" w:fill="auto"/>
          </w:tcPr>
          <w:p w14:paraId="7BCD60C7"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106A47D"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46E0FBFE"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0301C09"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0B05A2B"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587FCF61"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3A439913" w14:textId="77777777" w:rsidR="00F75713" w:rsidRPr="000B7139" w:rsidRDefault="00F75713" w:rsidP="000B7139">
            <w:pPr>
              <w:spacing w:before="40" w:after="120"/>
              <w:ind w:right="113"/>
              <w:rPr>
                <w:rFonts w:eastAsia="Calibri"/>
                <w:lang w:eastAsia="en-US"/>
              </w:rPr>
            </w:pPr>
          </w:p>
        </w:tc>
        <w:tc>
          <w:tcPr>
            <w:tcW w:w="470" w:type="dxa"/>
            <w:shd w:val="clear" w:color="auto" w:fill="auto"/>
          </w:tcPr>
          <w:p w14:paraId="4E5449C4" w14:textId="77777777" w:rsidR="00F75713" w:rsidRPr="000B7139" w:rsidRDefault="00F75713" w:rsidP="000B7139">
            <w:pPr>
              <w:spacing w:before="40" w:after="120"/>
              <w:ind w:right="113"/>
              <w:rPr>
                <w:rFonts w:eastAsia="Calibri"/>
                <w:lang w:eastAsia="en-US"/>
              </w:rPr>
            </w:pPr>
          </w:p>
        </w:tc>
        <w:tc>
          <w:tcPr>
            <w:tcW w:w="378" w:type="dxa"/>
            <w:shd w:val="clear" w:color="auto" w:fill="auto"/>
          </w:tcPr>
          <w:p w14:paraId="129EB235"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r>
      <w:tr w:rsidR="00F75713" w:rsidRPr="000B7139" w14:paraId="72E9BD34" w14:textId="77777777" w:rsidTr="00E36897">
        <w:tc>
          <w:tcPr>
            <w:tcW w:w="3743" w:type="dxa"/>
            <w:shd w:val="clear" w:color="auto" w:fill="auto"/>
          </w:tcPr>
          <w:p w14:paraId="188587CA" w14:textId="77777777" w:rsidR="00F75713" w:rsidRPr="000B7139" w:rsidRDefault="00F75713" w:rsidP="000B7139">
            <w:pPr>
              <w:spacing w:before="40" w:after="120"/>
              <w:ind w:right="113"/>
              <w:rPr>
                <w:rFonts w:eastAsia="Calibri"/>
                <w:lang w:eastAsia="en-US"/>
              </w:rPr>
            </w:pPr>
            <w:r w:rsidRPr="000B7139">
              <w:rPr>
                <w:rFonts w:eastAsia="Calibri"/>
                <w:lang w:eastAsia="en-US"/>
              </w:rPr>
              <w:t>Project management and control</w:t>
            </w:r>
          </w:p>
        </w:tc>
        <w:tc>
          <w:tcPr>
            <w:tcW w:w="327" w:type="dxa"/>
            <w:shd w:val="clear" w:color="auto" w:fill="auto"/>
          </w:tcPr>
          <w:p w14:paraId="55B709DA"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6A01D63F"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638517DC"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03F13F1F"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590F46D3"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3A1D0031"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059D3517"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shd w:val="clear" w:color="auto" w:fill="auto"/>
          </w:tcPr>
          <w:p w14:paraId="7B0A6C4C"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shd w:val="clear" w:color="auto" w:fill="auto"/>
          </w:tcPr>
          <w:p w14:paraId="59E9A19C"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r>
      <w:tr w:rsidR="00F75713" w:rsidRPr="000B7139" w14:paraId="6B44093C" w14:textId="77777777" w:rsidTr="00E36897">
        <w:tc>
          <w:tcPr>
            <w:tcW w:w="3743" w:type="dxa"/>
            <w:tcBorders>
              <w:bottom w:val="single" w:sz="12" w:space="0" w:color="auto"/>
            </w:tcBorders>
            <w:shd w:val="clear" w:color="auto" w:fill="auto"/>
          </w:tcPr>
          <w:p w14:paraId="0C0C6470" w14:textId="77777777" w:rsidR="00F75713" w:rsidRPr="000B7139" w:rsidRDefault="00F75713" w:rsidP="000B7139">
            <w:pPr>
              <w:spacing w:before="40" w:after="120"/>
              <w:ind w:right="113"/>
              <w:rPr>
                <w:rFonts w:eastAsia="Calibri"/>
                <w:lang w:eastAsia="en-US"/>
              </w:rPr>
            </w:pPr>
            <w:r w:rsidRPr="000B7139">
              <w:rPr>
                <w:rFonts w:eastAsia="Calibri"/>
                <w:lang w:eastAsia="en-US"/>
              </w:rPr>
              <w:t>Capacity-building and dissemination activities</w:t>
            </w:r>
          </w:p>
        </w:tc>
        <w:tc>
          <w:tcPr>
            <w:tcW w:w="327" w:type="dxa"/>
            <w:tcBorders>
              <w:bottom w:val="single" w:sz="12" w:space="0" w:color="auto"/>
            </w:tcBorders>
            <w:shd w:val="clear" w:color="auto" w:fill="auto"/>
          </w:tcPr>
          <w:p w14:paraId="5275C992" w14:textId="77777777" w:rsidR="00F75713" w:rsidRPr="000B7139" w:rsidRDefault="00F75713" w:rsidP="000B7139">
            <w:pPr>
              <w:spacing w:before="40" w:after="120"/>
              <w:ind w:right="113"/>
              <w:rPr>
                <w:rFonts w:eastAsia="Calibri"/>
                <w:lang w:eastAsia="en-US"/>
              </w:rPr>
            </w:pPr>
          </w:p>
        </w:tc>
        <w:tc>
          <w:tcPr>
            <w:tcW w:w="378" w:type="dxa"/>
            <w:tcBorders>
              <w:bottom w:val="single" w:sz="12" w:space="0" w:color="auto"/>
            </w:tcBorders>
            <w:shd w:val="clear" w:color="auto" w:fill="auto"/>
          </w:tcPr>
          <w:p w14:paraId="0BC2B850" w14:textId="77777777" w:rsidR="00F75713" w:rsidRPr="000B7139" w:rsidRDefault="00F75713" w:rsidP="000B7139">
            <w:pPr>
              <w:spacing w:before="40" w:after="120"/>
              <w:ind w:right="113"/>
              <w:rPr>
                <w:rFonts w:eastAsia="Calibri"/>
                <w:lang w:eastAsia="en-US"/>
              </w:rPr>
            </w:pPr>
          </w:p>
        </w:tc>
        <w:tc>
          <w:tcPr>
            <w:tcW w:w="378" w:type="dxa"/>
            <w:tcBorders>
              <w:bottom w:val="single" w:sz="12" w:space="0" w:color="auto"/>
            </w:tcBorders>
            <w:shd w:val="clear" w:color="auto" w:fill="auto"/>
          </w:tcPr>
          <w:p w14:paraId="48259979"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tcBorders>
              <w:bottom w:val="single" w:sz="12" w:space="0" w:color="auto"/>
            </w:tcBorders>
            <w:shd w:val="clear" w:color="auto" w:fill="auto"/>
          </w:tcPr>
          <w:p w14:paraId="657D8A93"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tcBorders>
              <w:bottom w:val="single" w:sz="12" w:space="0" w:color="auto"/>
            </w:tcBorders>
            <w:shd w:val="clear" w:color="auto" w:fill="auto"/>
          </w:tcPr>
          <w:p w14:paraId="1C3A1E85"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tcBorders>
              <w:bottom w:val="single" w:sz="12" w:space="0" w:color="auto"/>
            </w:tcBorders>
            <w:shd w:val="clear" w:color="auto" w:fill="auto"/>
          </w:tcPr>
          <w:p w14:paraId="7CB1841E"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tcBorders>
              <w:bottom w:val="single" w:sz="12" w:space="0" w:color="auto"/>
            </w:tcBorders>
            <w:shd w:val="clear" w:color="auto" w:fill="auto"/>
          </w:tcPr>
          <w:p w14:paraId="41266EC1"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470" w:type="dxa"/>
            <w:tcBorders>
              <w:bottom w:val="single" w:sz="12" w:space="0" w:color="auto"/>
            </w:tcBorders>
            <w:shd w:val="clear" w:color="auto" w:fill="auto"/>
          </w:tcPr>
          <w:p w14:paraId="7A73C5B1"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c>
          <w:tcPr>
            <w:tcW w:w="378" w:type="dxa"/>
            <w:tcBorders>
              <w:bottom w:val="single" w:sz="12" w:space="0" w:color="auto"/>
            </w:tcBorders>
            <w:shd w:val="clear" w:color="auto" w:fill="auto"/>
          </w:tcPr>
          <w:p w14:paraId="46740080" w14:textId="77777777" w:rsidR="00F75713" w:rsidRPr="000B7139" w:rsidRDefault="00F75713" w:rsidP="000B7139">
            <w:pPr>
              <w:spacing w:before="40" w:after="120"/>
              <w:ind w:right="113"/>
              <w:rPr>
                <w:rFonts w:eastAsia="Calibri"/>
                <w:lang w:eastAsia="en-US"/>
              </w:rPr>
            </w:pPr>
            <w:r w:rsidRPr="000B7139">
              <w:rPr>
                <w:rFonts w:eastAsia="Calibri"/>
                <w:lang w:eastAsia="en-US"/>
              </w:rPr>
              <w:t>x</w:t>
            </w:r>
          </w:p>
        </w:tc>
      </w:tr>
    </w:tbl>
    <w:p w14:paraId="482DE1D4" w14:textId="6D8DD4F3" w:rsidR="00F75713" w:rsidRPr="00F75713" w:rsidRDefault="000B7139" w:rsidP="000B7139">
      <w:pPr>
        <w:pStyle w:val="HChG"/>
        <w:rPr>
          <w:rFonts w:eastAsia="SimSun"/>
          <w:sz w:val="24"/>
          <w:szCs w:val="24"/>
          <w:lang w:eastAsia="en-US"/>
        </w:rPr>
      </w:pPr>
      <w:r>
        <w:rPr>
          <w:rFonts w:eastAsia="SimSun"/>
          <w:lang w:eastAsia="en-US"/>
        </w:rPr>
        <w:tab/>
      </w:r>
      <w:r>
        <w:rPr>
          <w:rFonts w:eastAsia="SimSun"/>
          <w:lang w:eastAsia="en-US"/>
        </w:rPr>
        <w:tab/>
      </w:r>
      <w:r w:rsidR="00F75713" w:rsidRPr="00F75713">
        <w:rPr>
          <w:rFonts w:eastAsia="SimSun"/>
          <w:lang w:eastAsia="en-US"/>
        </w:rPr>
        <w:t>Capacity-building and dissemination activities</w:t>
      </w:r>
    </w:p>
    <w:p w14:paraId="233D6AD8" w14:textId="62A74CC2" w:rsidR="00F75713" w:rsidRPr="00F75713" w:rsidRDefault="000B7139" w:rsidP="000B7139">
      <w:pPr>
        <w:pStyle w:val="H1G"/>
        <w:rPr>
          <w:rFonts w:eastAsia="SimSun"/>
          <w:lang w:eastAsia="en-US"/>
        </w:rPr>
      </w:pPr>
      <w:r>
        <w:rPr>
          <w:rFonts w:eastAsia="SimSun"/>
          <w:lang w:eastAsia="en-US"/>
        </w:rPr>
        <w:tab/>
      </w:r>
      <w:r>
        <w:rPr>
          <w:rFonts w:eastAsia="SimSun"/>
          <w:lang w:eastAsia="en-US"/>
        </w:rPr>
        <w:tab/>
      </w:r>
      <w:r w:rsidR="00F75713" w:rsidRPr="00F75713">
        <w:rPr>
          <w:rFonts w:eastAsia="SimSun"/>
          <w:lang w:eastAsia="en-US"/>
        </w:rPr>
        <w:t>Capacity-building activities</w:t>
      </w:r>
    </w:p>
    <w:p w14:paraId="0638985E" w14:textId="77777777" w:rsidR="00F75713" w:rsidRPr="00F75713" w:rsidRDefault="00F75713" w:rsidP="000B7139">
      <w:pPr>
        <w:pStyle w:val="SingleTxtG"/>
        <w:rPr>
          <w:rFonts w:eastAsia="SimSun"/>
          <w:lang w:eastAsia="en-US"/>
        </w:rPr>
      </w:pPr>
      <w:r w:rsidRPr="00F75713">
        <w:rPr>
          <w:rFonts w:eastAsia="SimSun"/>
          <w:lang w:eastAsia="en-US"/>
        </w:rPr>
        <w:t>14.</w:t>
      </w:r>
      <w:r w:rsidRPr="00F75713">
        <w:rPr>
          <w:rFonts w:eastAsia="SimSun"/>
          <w:lang w:eastAsia="en-US"/>
        </w:rPr>
        <w:tab/>
        <w:t>The following is a list of capacity-building activities:</w:t>
      </w:r>
    </w:p>
    <w:p w14:paraId="443A14F5" w14:textId="6A644472" w:rsidR="00F75713" w:rsidRPr="00F75713" w:rsidRDefault="00F75713" w:rsidP="000B7139">
      <w:pPr>
        <w:pStyle w:val="SingleTxtG"/>
        <w:ind w:firstLine="567"/>
        <w:rPr>
          <w:rFonts w:eastAsia="SimSun"/>
          <w:lang w:eastAsia="en-US"/>
        </w:rPr>
      </w:pPr>
      <w:r w:rsidRPr="00F75713">
        <w:rPr>
          <w:rFonts w:eastAsia="SimSun"/>
          <w:lang w:eastAsia="en-US"/>
        </w:rPr>
        <w:lastRenderedPageBreak/>
        <w:t>(a)</w:t>
      </w:r>
      <w:r w:rsidRPr="00F75713">
        <w:rPr>
          <w:rFonts w:eastAsia="SimSun"/>
          <w:lang w:eastAsia="en-US"/>
        </w:rPr>
        <w:tab/>
        <w:t>Online workshops or a regional capacity-building activity in Geneva, held back-to-back with the meeting of the Committee;</w:t>
      </w:r>
    </w:p>
    <w:p w14:paraId="0342C76F" w14:textId="6AE83C75" w:rsidR="00F75713" w:rsidRPr="00F75713" w:rsidRDefault="00F75713" w:rsidP="000B7139">
      <w:pPr>
        <w:pStyle w:val="SingleTxtG"/>
        <w:ind w:firstLine="567"/>
        <w:rPr>
          <w:rFonts w:eastAsia="SimSun"/>
          <w:lang w:eastAsia="en-US"/>
        </w:rPr>
      </w:pPr>
      <w:r w:rsidRPr="00F75713">
        <w:rPr>
          <w:rFonts w:eastAsia="SimSun"/>
          <w:lang w:eastAsia="en-US"/>
        </w:rPr>
        <w:t>(b)</w:t>
      </w:r>
      <w:r w:rsidRPr="00F75713">
        <w:rPr>
          <w:rFonts w:eastAsia="SimSun"/>
          <w:lang w:eastAsia="en-US"/>
        </w:rPr>
        <w:tab/>
        <w:t xml:space="preserve">International conference held in a volunteer host country; </w:t>
      </w:r>
    </w:p>
    <w:p w14:paraId="33E9AB4A" w14:textId="3626005A" w:rsidR="00F75713" w:rsidRPr="00F75713" w:rsidRDefault="00F75713" w:rsidP="000B7139">
      <w:pPr>
        <w:pStyle w:val="SingleTxtG"/>
        <w:ind w:firstLine="567"/>
        <w:rPr>
          <w:rFonts w:eastAsia="SimSun"/>
          <w:lang w:eastAsia="en-US"/>
        </w:rPr>
      </w:pPr>
      <w:r w:rsidRPr="00F75713">
        <w:rPr>
          <w:rFonts w:eastAsia="SimSun"/>
          <w:lang w:eastAsia="en-US"/>
        </w:rPr>
        <w:t>(c)</w:t>
      </w:r>
      <w:r w:rsidRPr="00F75713">
        <w:rPr>
          <w:rFonts w:eastAsia="SimSun"/>
          <w:lang w:eastAsia="en-US"/>
        </w:rPr>
        <w:tab/>
        <w:t>Workshop(s) run by a volunteer host country(</w:t>
      </w:r>
      <w:proofErr w:type="spellStart"/>
      <w:r w:rsidRPr="00F75713">
        <w:rPr>
          <w:rFonts w:eastAsia="SimSun"/>
          <w:lang w:eastAsia="en-US"/>
        </w:rPr>
        <w:t>ies</w:t>
      </w:r>
      <w:proofErr w:type="spellEnd"/>
      <w:r w:rsidRPr="00F75713">
        <w:rPr>
          <w:rFonts w:eastAsia="SimSun"/>
          <w:lang w:eastAsia="en-US"/>
        </w:rPr>
        <w:t>);</w:t>
      </w:r>
    </w:p>
    <w:p w14:paraId="265D180B" w14:textId="234C0344" w:rsidR="00F75713" w:rsidRPr="00F75713" w:rsidRDefault="00F75713" w:rsidP="000B7139">
      <w:pPr>
        <w:pStyle w:val="SingleTxtG"/>
        <w:ind w:firstLine="567"/>
        <w:rPr>
          <w:rFonts w:eastAsia="SimSun"/>
          <w:lang w:eastAsia="en-US"/>
        </w:rPr>
      </w:pPr>
      <w:r w:rsidRPr="00F75713">
        <w:rPr>
          <w:rFonts w:eastAsia="SimSun"/>
          <w:lang w:eastAsia="en-US"/>
        </w:rPr>
        <w:t>(d)</w:t>
      </w:r>
      <w:r w:rsidRPr="00F75713">
        <w:rPr>
          <w:rFonts w:eastAsia="SimSun"/>
          <w:lang w:eastAsia="en-US"/>
        </w:rPr>
        <w:tab/>
        <w:t>Joint events with other regional mechanisms such as the United Nations Educational, Scientific and Cultural Organization (UNESCO) or Global Education Network Europe;</w:t>
      </w:r>
    </w:p>
    <w:p w14:paraId="5C702686" w14:textId="4A4A6686" w:rsidR="00F75713" w:rsidRPr="00F75713" w:rsidRDefault="00F75713" w:rsidP="000B7139">
      <w:pPr>
        <w:pStyle w:val="SingleTxtG"/>
        <w:ind w:firstLine="567"/>
        <w:rPr>
          <w:rFonts w:eastAsia="SimSun"/>
          <w:lang w:eastAsia="en-US"/>
        </w:rPr>
      </w:pPr>
      <w:r w:rsidRPr="00F75713">
        <w:rPr>
          <w:rFonts w:eastAsia="SimSun"/>
          <w:lang w:eastAsia="en-US"/>
        </w:rPr>
        <w:t>(e)</w:t>
      </w:r>
      <w:r w:rsidRPr="00F75713">
        <w:rPr>
          <w:rFonts w:eastAsia="SimSun"/>
          <w:lang w:eastAsia="en-US"/>
        </w:rPr>
        <w:tab/>
        <w:t>Regional- and national-level training events (in-person and online) could be organized “on demand”. The team behind the toolkit’s development would be available to act in an expert/trainer/coach capacity to support these processes;</w:t>
      </w:r>
    </w:p>
    <w:p w14:paraId="5582DC4A" w14:textId="10C40041" w:rsidR="00F75713" w:rsidRPr="00F75713" w:rsidRDefault="00F75713" w:rsidP="000B7139">
      <w:pPr>
        <w:pStyle w:val="SingleTxtG"/>
        <w:ind w:firstLine="567"/>
        <w:rPr>
          <w:rFonts w:eastAsia="SimSun"/>
          <w:lang w:eastAsia="en-US"/>
        </w:rPr>
      </w:pPr>
      <w:r w:rsidRPr="00F75713">
        <w:rPr>
          <w:rFonts w:eastAsia="SimSun"/>
          <w:lang w:eastAsia="en-US"/>
        </w:rPr>
        <w:t>(f)</w:t>
      </w:r>
      <w:r w:rsidRPr="00F75713">
        <w:rPr>
          <w:rFonts w:eastAsia="SimSun"/>
          <w:lang w:eastAsia="en-US"/>
        </w:rPr>
        <w:tab/>
        <w:t xml:space="preserve">Regional meeting in the ECE region aiming to provide first-hand experiences to various stakeholders of the member States on how to use the toolkit; </w:t>
      </w:r>
    </w:p>
    <w:p w14:paraId="1849D528" w14:textId="2C7B499E" w:rsidR="00F75713" w:rsidRPr="00F75713" w:rsidRDefault="00F75713" w:rsidP="000B7139">
      <w:pPr>
        <w:pStyle w:val="SingleTxtG"/>
        <w:ind w:firstLine="567"/>
        <w:rPr>
          <w:rFonts w:eastAsia="SimSun"/>
          <w:lang w:eastAsia="en-US"/>
        </w:rPr>
      </w:pPr>
      <w:r w:rsidRPr="00F75713">
        <w:rPr>
          <w:rFonts w:eastAsia="SimSun"/>
          <w:lang w:eastAsia="en-US"/>
        </w:rPr>
        <w:t>(g)</w:t>
      </w:r>
      <w:r w:rsidRPr="00F75713">
        <w:rPr>
          <w:rFonts w:eastAsia="SimSun"/>
          <w:lang w:eastAsia="en-US"/>
        </w:rPr>
        <w:tab/>
        <w:t xml:space="preserve"> Webinars aiming to inform member States, </w:t>
      </w:r>
      <w:proofErr w:type="gramStart"/>
      <w:r w:rsidRPr="00F75713">
        <w:rPr>
          <w:rFonts w:eastAsia="SimSun"/>
          <w:lang w:eastAsia="en-US"/>
        </w:rPr>
        <w:t>organizations</w:t>
      </w:r>
      <w:proofErr w:type="gramEnd"/>
      <w:r w:rsidRPr="00F75713">
        <w:rPr>
          <w:rFonts w:eastAsia="SimSun"/>
          <w:lang w:eastAsia="en-US"/>
        </w:rPr>
        <w:t xml:space="preserve"> and other stakeholders of and familiarize them with the toolkit.</w:t>
      </w:r>
    </w:p>
    <w:p w14:paraId="638323F0" w14:textId="47E8C702" w:rsidR="00F75713" w:rsidRPr="00F75713" w:rsidRDefault="000B7139" w:rsidP="000B7139">
      <w:pPr>
        <w:pStyle w:val="HChG"/>
        <w:rPr>
          <w:rFonts w:eastAsia="SimSun"/>
          <w:lang w:val="en-US" w:eastAsia="en-US"/>
        </w:rPr>
      </w:pPr>
      <w:r>
        <w:rPr>
          <w:rFonts w:eastAsia="SimSun"/>
          <w:lang w:val="en-US" w:eastAsia="en-US"/>
        </w:rPr>
        <w:tab/>
      </w:r>
      <w:r>
        <w:rPr>
          <w:rFonts w:eastAsia="SimSun"/>
          <w:lang w:val="en-US" w:eastAsia="en-US"/>
        </w:rPr>
        <w:tab/>
      </w:r>
      <w:r w:rsidR="00F75713" w:rsidRPr="00F75713">
        <w:rPr>
          <w:rFonts w:eastAsia="SimSun"/>
          <w:lang w:val="en-US" w:eastAsia="en-US"/>
        </w:rPr>
        <w:t xml:space="preserve">Dissemination activities </w:t>
      </w:r>
    </w:p>
    <w:p w14:paraId="3906A82C" w14:textId="77777777" w:rsidR="00F75713" w:rsidRPr="00F75713" w:rsidRDefault="00F75713" w:rsidP="000B7139">
      <w:pPr>
        <w:pStyle w:val="SingleTxtG"/>
        <w:rPr>
          <w:rFonts w:eastAsia="SimSun"/>
          <w:b/>
          <w:bCs/>
          <w:lang w:eastAsia="en-US"/>
        </w:rPr>
      </w:pPr>
      <w:r w:rsidRPr="00F75713">
        <w:rPr>
          <w:rFonts w:eastAsia="SimSun"/>
          <w:lang w:val="en-US" w:eastAsia="en-US"/>
        </w:rPr>
        <w:t>15.</w:t>
      </w:r>
      <w:r w:rsidRPr="00F75713">
        <w:rPr>
          <w:rFonts w:eastAsia="SimSun"/>
          <w:lang w:val="en-US" w:eastAsia="en-US"/>
        </w:rPr>
        <w:tab/>
        <w:t xml:space="preserve">Throughout 2024, 2025 and 2026, the progress of the development of the Strategic framework on whole institution approach and education for sustainable development and its products will be shared via social media and key websites, regional </w:t>
      </w:r>
      <w:proofErr w:type="gramStart"/>
      <w:r w:rsidRPr="00F75713">
        <w:rPr>
          <w:rFonts w:eastAsia="SimSun"/>
          <w:lang w:val="en-US" w:eastAsia="en-US"/>
        </w:rPr>
        <w:t>events</w:t>
      </w:r>
      <w:proofErr w:type="gramEnd"/>
      <w:r w:rsidRPr="00F75713">
        <w:rPr>
          <w:rFonts w:eastAsia="SimSun"/>
          <w:lang w:val="en-US" w:eastAsia="en-US"/>
        </w:rPr>
        <w:t xml:space="preserve"> and conferences. </w:t>
      </w:r>
    </w:p>
    <w:p w14:paraId="1A9AD3C1" w14:textId="55E4DEAE" w:rsidR="00F75713" w:rsidRPr="00F75713" w:rsidRDefault="000B7139" w:rsidP="000B7139">
      <w:pPr>
        <w:pStyle w:val="HChG"/>
        <w:rPr>
          <w:rFonts w:eastAsia="SimSun"/>
          <w:lang w:eastAsia="en-US"/>
        </w:rPr>
      </w:pPr>
      <w:r>
        <w:rPr>
          <w:rFonts w:eastAsia="SimSun"/>
          <w:lang w:eastAsia="en-US"/>
        </w:rPr>
        <w:tab/>
      </w:r>
      <w:r>
        <w:rPr>
          <w:rFonts w:eastAsia="SimSun"/>
          <w:lang w:eastAsia="en-US"/>
        </w:rPr>
        <w:tab/>
      </w:r>
      <w:r w:rsidR="00F75713" w:rsidRPr="00F75713">
        <w:rPr>
          <w:rFonts w:eastAsia="SimSun"/>
          <w:lang w:eastAsia="en-US"/>
        </w:rPr>
        <w:t xml:space="preserve">Countries supporting the initiative </w:t>
      </w:r>
    </w:p>
    <w:p w14:paraId="40BA56EC" w14:textId="77777777" w:rsidR="00F75713" w:rsidRPr="00F75713" w:rsidRDefault="00F75713" w:rsidP="000B7139">
      <w:pPr>
        <w:pStyle w:val="SingleTxtG"/>
        <w:rPr>
          <w:rFonts w:eastAsia="SimSun"/>
          <w:lang w:eastAsia="en-US"/>
        </w:rPr>
      </w:pPr>
      <w:r w:rsidRPr="00F75713">
        <w:rPr>
          <w:rFonts w:eastAsia="SimSun"/>
          <w:lang w:val="en-US" w:eastAsia="en-US"/>
        </w:rPr>
        <w:t>16.</w:t>
      </w:r>
      <w:r w:rsidRPr="00F75713">
        <w:rPr>
          <w:rFonts w:eastAsia="SimSun"/>
          <w:lang w:val="en-US" w:eastAsia="en-US"/>
        </w:rPr>
        <w:tab/>
        <w:t>Cyprus and Netherlands are the lead countries regarding this deliverable. Both of those member States currently support the development of the toolkit through in-kind and financial contributions.</w:t>
      </w:r>
    </w:p>
    <w:p w14:paraId="2CFF379C" w14:textId="48171F62" w:rsidR="00F75713" w:rsidRPr="00F75713" w:rsidRDefault="00F75713" w:rsidP="00F75713">
      <w:pPr>
        <w:spacing w:before="240"/>
        <w:jc w:val="center"/>
        <w:rPr>
          <w:u w:val="single"/>
        </w:rPr>
      </w:pPr>
      <w:r>
        <w:rPr>
          <w:u w:val="single"/>
        </w:rPr>
        <w:tab/>
      </w:r>
      <w:r>
        <w:rPr>
          <w:u w:val="single"/>
        </w:rPr>
        <w:tab/>
      </w:r>
      <w:r>
        <w:rPr>
          <w:u w:val="single"/>
        </w:rPr>
        <w:tab/>
      </w:r>
    </w:p>
    <w:sectPr w:rsidR="00F75713" w:rsidRPr="00F75713" w:rsidSect="00C939C9">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2736" w14:textId="77777777" w:rsidR="006E3897" w:rsidRDefault="006E3897"/>
  </w:endnote>
  <w:endnote w:type="continuationSeparator" w:id="0">
    <w:p w14:paraId="357B1B80" w14:textId="77777777" w:rsidR="006E3897" w:rsidRDefault="006E3897"/>
  </w:endnote>
  <w:endnote w:type="continuationNotice" w:id="1">
    <w:p w14:paraId="39DD94CD" w14:textId="77777777" w:rsidR="006E3897" w:rsidRDefault="006E3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8925" w14:textId="2453F322" w:rsidR="00C939C9" w:rsidRPr="00C939C9" w:rsidRDefault="00C939C9" w:rsidP="00C939C9">
    <w:pPr>
      <w:pStyle w:val="Footer"/>
      <w:tabs>
        <w:tab w:val="right" w:pos="9638"/>
      </w:tabs>
      <w:rPr>
        <w:sz w:val="18"/>
      </w:rPr>
    </w:pPr>
    <w:r w:rsidRPr="00C939C9">
      <w:rPr>
        <w:b/>
        <w:sz w:val="18"/>
      </w:rPr>
      <w:fldChar w:fldCharType="begin"/>
    </w:r>
    <w:r w:rsidRPr="00C939C9">
      <w:rPr>
        <w:b/>
        <w:sz w:val="18"/>
      </w:rPr>
      <w:instrText xml:space="preserve"> PAGE  \* MERGEFORMAT </w:instrText>
    </w:r>
    <w:r w:rsidRPr="00C939C9">
      <w:rPr>
        <w:b/>
        <w:sz w:val="18"/>
      </w:rPr>
      <w:fldChar w:fldCharType="separate"/>
    </w:r>
    <w:r w:rsidRPr="00C939C9">
      <w:rPr>
        <w:b/>
        <w:noProof/>
        <w:sz w:val="18"/>
      </w:rPr>
      <w:t>2</w:t>
    </w:r>
    <w:r w:rsidRPr="00C939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518F" w14:textId="45DF90E5" w:rsidR="00C939C9" w:rsidRPr="00C939C9" w:rsidRDefault="00C939C9" w:rsidP="00C939C9">
    <w:pPr>
      <w:pStyle w:val="Footer"/>
      <w:tabs>
        <w:tab w:val="right" w:pos="9638"/>
      </w:tabs>
      <w:rPr>
        <w:b/>
        <w:sz w:val="18"/>
      </w:rPr>
    </w:pPr>
    <w:r>
      <w:tab/>
    </w:r>
    <w:r w:rsidRPr="00C939C9">
      <w:rPr>
        <w:b/>
        <w:sz w:val="18"/>
      </w:rPr>
      <w:fldChar w:fldCharType="begin"/>
    </w:r>
    <w:r w:rsidRPr="00C939C9">
      <w:rPr>
        <w:b/>
        <w:sz w:val="18"/>
      </w:rPr>
      <w:instrText xml:space="preserve"> PAGE  \* MERGEFORMAT </w:instrText>
    </w:r>
    <w:r w:rsidRPr="00C939C9">
      <w:rPr>
        <w:b/>
        <w:sz w:val="18"/>
      </w:rPr>
      <w:fldChar w:fldCharType="separate"/>
    </w:r>
    <w:r w:rsidRPr="00C939C9">
      <w:rPr>
        <w:b/>
        <w:noProof/>
        <w:sz w:val="18"/>
      </w:rPr>
      <w:t>3</w:t>
    </w:r>
    <w:r w:rsidRPr="00C939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D72A" w14:textId="3EF2AE61" w:rsidR="00674C6A" w:rsidRDefault="00674C6A" w:rsidP="00674C6A">
    <w:pPr>
      <w:pStyle w:val="Footer"/>
    </w:pPr>
    <w:r w:rsidRPr="0027112F">
      <w:rPr>
        <w:noProof/>
        <w:lang w:val="en-US"/>
      </w:rPr>
      <w:drawing>
        <wp:anchor distT="0" distB="0" distL="114300" distR="114300" simplePos="0" relativeHeight="251659264" behindDoc="0" locked="1" layoutInCell="1" allowOverlap="1" wp14:anchorId="388F5322" wp14:editId="6D750FF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18A0DE" w14:textId="2000172B" w:rsidR="00674C6A" w:rsidRPr="00674C6A" w:rsidRDefault="00674C6A" w:rsidP="00674C6A">
    <w:pPr>
      <w:pStyle w:val="Footer"/>
      <w:ind w:right="1134"/>
      <w:rPr>
        <w:sz w:val="20"/>
      </w:rPr>
    </w:pPr>
    <w:r>
      <w:rPr>
        <w:sz w:val="20"/>
      </w:rPr>
      <w:t>GE.24-05349  (E)</w:t>
    </w:r>
    <w:r>
      <w:rPr>
        <w:noProof/>
        <w:sz w:val="20"/>
      </w:rPr>
      <w:drawing>
        <wp:anchor distT="0" distB="0" distL="114300" distR="114300" simplePos="0" relativeHeight="251660288" behindDoc="0" locked="0" layoutInCell="1" allowOverlap="1" wp14:anchorId="1A0009F2" wp14:editId="2887B40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BBDF" w14:textId="77777777" w:rsidR="006E3897" w:rsidRPr="000B175B" w:rsidRDefault="006E3897" w:rsidP="000B175B">
      <w:pPr>
        <w:tabs>
          <w:tab w:val="right" w:pos="2155"/>
        </w:tabs>
        <w:spacing w:after="80"/>
        <w:ind w:left="680"/>
        <w:rPr>
          <w:u w:val="single"/>
        </w:rPr>
      </w:pPr>
      <w:r>
        <w:rPr>
          <w:u w:val="single"/>
        </w:rPr>
        <w:tab/>
      </w:r>
    </w:p>
  </w:footnote>
  <w:footnote w:type="continuationSeparator" w:id="0">
    <w:p w14:paraId="0B58BA3E" w14:textId="77777777" w:rsidR="006E3897" w:rsidRPr="00FC68B7" w:rsidRDefault="006E3897" w:rsidP="00FC68B7">
      <w:pPr>
        <w:tabs>
          <w:tab w:val="left" w:pos="2155"/>
        </w:tabs>
        <w:spacing w:after="80"/>
        <w:ind w:left="680"/>
        <w:rPr>
          <w:u w:val="single"/>
        </w:rPr>
      </w:pPr>
      <w:r>
        <w:rPr>
          <w:u w:val="single"/>
        </w:rPr>
        <w:tab/>
      </w:r>
    </w:p>
  </w:footnote>
  <w:footnote w:type="continuationNotice" w:id="1">
    <w:p w14:paraId="69073BA6" w14:textId="77777777" w:rsidR="006E3897" w:rsidRDefault="006E3897"/>
  </w:footnote>
  <w:footnote w:id="2">
    <w:p w14:paraId="0E9DB4D4" w14:textId="374751AC" w:rsidR="00F75713" w:rsidRPr="00D72B48" w:rsidRDefault="00E36897" w:rsidP="00F75713">
      <w:pPr>
        <w:pStyle w:val="FootnoteText"/>
        <w:rPr>
          <w:lang w:val="en-US"/>
        </w:rPr>
      </w:pPr>
      <w:r>
        <w:tab/>
      </w:r>
      <w:r w:rsidR="00F75713">
        <w:rPr>
          <w:rStyle w:val="FootnoteReference"/>
        </w:rPr>
        <w:footnoteRef/>
      </w:r>
      <w:r>
        <w:tab/>
      </w:r>
      <w:r w:rsidR="00F75713">
        <w:t xml:space="preserve">CEP/AC.13/2005/3/Rev.1, para. 7 (d). </w:t>
      </w:r>
    </w:p>
  </w:footnote>
  <w:footnote w:id="3">
    <w:p w14:paraId="532ED200" w14:textId="2CC880CD" w:rsidR="00F75713" w:rsidRPr="004219C2" w:rsidRDefault="00E36897" w:rsidP="00F75713">
      <w:pPr>
        <w:pStyle w:val="FootnoteText"/>
        <w:rPr>
          <w:lang w:val="en-US"/>
        </w:rPr>
      </w:pPr>
      <w:r>
        <w:tab/>
      </w:r>
      <w:r w:rsidR="00F75713">
        <w:rPr>
          <w:rStyle w:val="FootnoteReference"/>
        </w:rPr>
        <w:footnoteRef/>
      </w:r>
      <w:r>
        <w:tab/>
      </w:r>
      <w:r w:rsidR="00F75713" w:rsidRPr="005F4221">
        <w:rPr>
          <w:i/>
          <w:iCs/>
          <w:lang w:val="en-US"/>
        </w:rPr>
        <w:t>Learning from Each Other: The United Nations Economic Commission for Europe Strategy for Education for Sustainable Development</w:t>
      </w:r>
      <w:r w:rsidR="00F75713">
        <w:rPr>
          <w:lang w:val="en-US"/>
        </w:rPr>
        <w:t xml:space="preserve"> (</w:t>
      </w:r>
      <w:r w:rsidR="00F75713">
        <w:t>ECE/CEP/159),</w:t>
      </w:r>
      <w:r w:rsidR="00F75713">
        <w:rPr>
          <w:lang w:val="en-US"/>
        </w:rPr>
        <w:t xml:space="preserve"> para. 56.</w:t>
      </w:r>
    </w:p>
  </w:footnote>
  <w:footnote w:id="4">
    <w:p w14:paraId="463B318D" w14:textId="74FD8273" w:rsidR="00F75713" w:rsidRPr="00D72B48" w:rsidRDefault="00E36897" w:rsidP="00F75713">
      <w:pPr>
        <w:pStyle w:val="FootnoteText"/>
        <w:rPr>
          <w:lang w:val="en-US"/>
        </w:rPr>
      </w:pPr>
      <w:r>
        <w:tab/>
      </w:r>
      <w:r w:rsidR="00F75713">
        <w:rPr>
          <w:rStyle w:val="FootnoteReference"/>
        </w:rPr>
        <w:footnoteRef/>
      </w:r>
      <w:bookmarkStart w:id="1" w:name="_Hlk161659387"/>
      <w:r>
        <w:tab/>
      </w:r>
      <w:r w:rsidR="00F75713" w:rsidRPr="00680672">
        <w:t>ECE/CEP/AC.13/2022/3</w:t>
      </w:r>
      <w:r w:rsidR="00F75713" w:rsidRPr="005F4221">
        <w:t xml:space="preserve">, para. 56. </w:t>
      </w:r>
      <w:bookmarkEnd w:id="1"/>
    </w:p>
  </w:footnote>
  <w:footnote w:id="5">
    <w:p w14:paraId="67E8C91C" w14:textId="3CEA4792" w:rsidR="00F75713" w:rsidRPr="00D72B48" w:rsidRDefault="00F37395" w:rsidP="00F75713">
      <w:pPr>
        <w:pStyle w:val="FootnoteText"/>
        <w:rPr>
          <w:lang w:val="en-US"/>
        </w:rPr>
      </w:pPr>
      <w:r>
        <w:tab/>
      </w:r>
      <w:r w:rsidR="00F75713">
        <w:rPr>
          <w:rStyle w:val="FootnoteReference"/>
        </w:rPr>
        <w:footnoteRef/>
      </w:r>
      <w:r>
        <w:tab/>
      </w:r>
      <w:r w:rsidR="00F75713">
        <w:rPr>
          <w:lang w:val="en-US"/>
        </w:rPr>
        <w:t>Ibid., paras. 55</w:t>
      </w:r>
      <w:r w:rsidR="00F75713" w:rsidRPr="00D72B48">
        <w:rPr>
          <w:lang w:eastAsia="en-US"/>
        </w:rPr>
        <w:t>–</w:t>
      </w:r>
      <w:r w:rsidR="00F75713">
        <w:rPr>
          <w:lang w:val="en-US"/>
        </w:rPr>
        <w:t>56.</w:t>
      </w:r>
    </w:p>
  </w:footnote>
  <w:footnote w:id="6">
    <w:p w14:paraId="68781DAC" w14:textId="3E0B0FA3" w:rsidR="00F75713" w:rsidRPr="00D72B48" w:rsidRDefault="00F37395" w:rsidP="00F75713">
      <w:pPr>
        <w:pStyle w:val="FootnoteText"/>
        <w:rPr>
          <w:lang w:val="en-US"/>
        </w:rPr>
      </w:pPr>
      <w:r>
        <w:tab/>
      </w:r>
      <w:r w:rsidR="00F75713">
        <w:rPr>
          <w:rStyle w:val="FootnoteReference"/>
        </w:rPr>
        <w:footnoteRef/>
      </w:r>
      <w:r>
        <w:tab/>
      </w:r>
      <w:r w:rsidR="00F75713" w:rsidRPr="005F4221">
        <w:rPr>
          <w:i/>
          <w:iCs/>
        </w:rPr>
        <w:t>Learning for the Future: Competences in Education for Sustainable Development</w:t>
      </w:r>
      <w:r w:rsidR="00F75713">
        <w:t xml:space="preserve">, United Nations Economic Commission for Europe (ECE) (Utrecht, </w:t>
      </w:r>
      <w:proofErr w:type="spellStart"/>
      <w:r w:rsidR="00F75713">
        <w:t>Programma</w:t>
      </w:r>
      <w:proofErr w:type="spellEnd"/>
      <w:r w:rsidR="00F75713">
        <w:t xml:space="preserve"> </w:t>
      </w:r>
      <w:proofErr w:type="spellStart"/>
      <w:r w:rsidR="00F75713">
        <w:t>Leren</w:t>
      </w:r>
      <w:proofErr w:type="spellEnd"/>
      <w:r w:rsidR="00F75713">
        <w:t xml:space="preserve"> </w:t>
      </w:r>
      <w:proofErr w:type="spellStart"/>
      <w:r w:rsidR="00F75713">
        <w:t>voor</w:t>
      </w:r>
      <w:proofErr w:type="spellEnd"/>
      <w:r w:rsidR="00F75713">
        <w:t xml:space="preserve"> </w:t>
      </w:r>
      <w:proofErr w:type="spellStart"/>
      <w:r w:rsidR="00F75713">
        <w:t>Duurzame</w:t>
      </w:r>
      <w:proofErr w:type="spellEnd"/>
      <w:r w:rsidR="00F75713">
        <w:t xml:space="preserve"> </w:t>
      </w:r>
      <w:proofErr w:type="spellStart"/>
      <w:r w:rsidR="00F75713">
        <w:t>Ontwikkeling</w:t>
      </w:r>
      <w:proofErr w:type="spellEnd"/>
      <w:r w:rsidR="00F75713">
        <w:t>, 2012), pp. 13</w:t>
      </w:r>
      <w:r w:rsidR="00F75713" w:rsidRPr="00D72B48">
        <w:rPr>
          <w:lang w:eastAsia="en-US"/>
        </w:rPr>
        <w:t>–</w:t>
      </w:r>
      <w:r w:rsidR="00F75713">
        <w:t>17.</w:t>
      </w:r>
    </w:p>
  </w:footnote>
  <w:footnote w:id="7">
    <w:p w14:paraId="63173BE7" w14:textId="0A63AFB7" w:rsidR="00F75713" w:rsidRPr="00D72B48" w:rsidRDefault="00F37395" w:rsidP="00F75713">
      <w:pPr>
        <w:pStyle w:val="FootnoteText"/>
        <w:rPr>
          <w:lang w:val="en-US"/>
        </w:rPr>
      </w:pPr>
      <w:r>
        <w:tab/>
      </w:r>
      <w:r w:rsidR="00F75713">
        <w:rPr>
          <w:rStyle w:val="FootnoteReference"/>
        </w:rPr>
        <w:footnoteRef/>
      </w:r>
      <w:r>
        <w:tab/>
      </w:r>
      <w:r w:rsidR="00F75713">
        <w:t xml:space="preserve">See </w:t>
      </w:r>
      <w:hyperlink r:id="rId1" w:history="1">
        <w:r w:rsidR="00F75713" w:rsidRPr="00D37F72">
          <w:rPr>
            <w:rStyle w:val="Hyperlink"/>
          </w:rPr>
          <w:t>https://aroundersenseofpurpose.eu/</w:t>
        </w:r>
      </w:hyperlink>
      <w:r w:rsidR="00F75713">
        <w:t>.</w:t>
      </w:r>
    </w:p>
  </w:footnote>
  <w:footnote w:id="8">
    <w:p w14:paraId="0D6206C1" w14:textId="4E036A69" w:rsidR="00F75713" w:rsidRPr="00D72B48" w:rsidRDefault="00F37395" w:rsidP="00F75713">
      <w:pPr>
        <w:pStyle w:val="FootnoteText"/>
        <w:rPr>
          <w:lang w:val="en-US"/>
        </w:rPr>
      </w:pPr>
      <w:r>
        <w:tab/>
      </w:r>
      <w:r w:rsidR="00F75713">
        <w:rPr>
          <w:rStyle w:val="FootnoteReference"/>
        </w:rPr>
        <w:footnoteRef/>
      </w:r>
      <w:r>
        <w:tab/>
      </w:r>
      <w:r w:rsidR="00F75713">
        <w:t xml:space="preserve">G. </w:t>
      </w:r>
      <w:r w:rsidR="00F75713" w:rsidRPr="005F4221">
        <w:t xml:space="preserve">Bianchi, </w:t>
      </w:r>
      <w:r w:rsidR="00F75713">
        <w:t>U.</w:t>
      </w:r>
      <w:r w:rsidR="00F75713" w:rsidRPr="005F4221">
        <w:t xml:space="preserve"> </w:t>
      </w:r>
      <w:proofErr w:type="spellStart"/>
      <w:r w:rsidR="00F75713" w:rsidRPr="005F4221">
        <w:t>Pisiotis</w:t>
      </w:r>
      <w:proofErr w:type="spellEnd"/>
      <w:r w:rsidR="00F75713" w:rsidRPr="005F4221">
        <w:t xml:space="preserve"> and </w:t>
      </w:r>
      <w:r w:rsidR="00F75713">
        <w:t xml:space="preserve">M. </w:t>
      </w:r>
      <w:r w:rsidR="00F75713" w:rsidRPr="005F4221">
        <w:t xml:space="preserve">Cabrera </w:t>
      </w:r>
      <w:proofErr w:type="spellStart"/>
      <w:r w:rsidR="00F75713" w:rsidRPr="005F4221">
        <w:t>Giraldez</w:t>
      </w:r>
      <w:proofErr w:type="spellEnd"/>
      <w:r w:rsidR="00F75713" w:rsidRPr="005F4221">
        <w:t xml:space="preserve">, </w:t>
      </w:r>
      <w:proofErr w:type="spellStart"/>
      <w:r w:rsidR="00F75713" w:rsidRPr="005F4221">
        <w:rPr>
          <w:i/>
          <w:iCs/>
        </w:rPr>
        <w:t>GreenComp</w:t>
      </w:r>
      <w:proofErr w:type="spellEnd"/>
      <w:r w:rsidR="00F75713" w:rsidRPr="005F4221">
        <w:rPr>
          <w:i/>
          <w:iCs/>
        </w:rPr>
        <w:t>: The European Sustainability Competence Framework</w:t>
      </w:r>
      <w:r w:rsidR="00F75713" w:rsidRPr="009D1632">
        <w:t xml:space="preserve"> </w:t>
      </w:r>
      <w:r w:rsidR="00F75713">
        <w:t xml:space="preserve">(Luxembourg, Publications </w:t>
      </w:r>
      <w:r w:rsidR="00F75713" w:rsidRPr="009D1632">
        <w:t xml:space="preserve">Office of the European Union, </w:t>
      </w:r>
      <w:r w:rsidR="00F75713">
        <w:t xml:space="preserve">2022). </w:t>
      </w:r>
    </w:p>
  </w:footnote>
  <w:footnote w:id="9">
    <w:p w14:paraId="04A9DAEE" w14:textId="3966B3B2" w:rsidR="00F75713" w:rsidRPr="005F4221" w:rsidRDefault="00F37395" w:rsidP="00F75713">
      <w:pPr>
        <w:pStyle w:val="FootnoteText"/>
        <w:rPr>
          <w:lang w:val="es-ES"/>
        </w:rPr>
      </w:pPr>
      <w:r w:rsidRPr="00FB135F">
        <w:tab/>
      </w:r>
      <w:r w:rsidR="00F75713">
        <w:rPr>
          <w:rStyle w:val="FootnoteReference"/>
        </w:rPr>
        <w:footnoteRef/>
      </w:r>
      <w:r>
        <w:rPr>
          <w:lang w:val="es-ES"/>
        </w:rPr>
        <w:tab/>
      </w:r>
      <w:r w:rsidR="00F75713" w:rsidRPr="005F4221">
        <w:rPr>
          <w:lang w:val="es-ES"/>
        </w:rPr>
        <w:t>ECE/CEP/AC.13/2022/3, para. 78 (a).</w:t>
      </w:r>
      <w:r w:rsidR="00F75713" w:rsidRPr="005F4221" w:rsidDel="0043061C">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51E5" w14:textId="4D0BD6AC" w:rsidR="00C939C9" w:rsidRPr="00C939C9" w:rsidRDefault="00C939C9">
    <w:pPr>
      <w:pStyle w:val="Header"/>
    </w:pPr>
    <w:r>
      <w:t>ECE/CEP/AC.13/2024/5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C383" w14:textId="18DCE252" w:rsidR="00C939C9" w:rsidRPr="00C939C9" w:rsidRDefault="00C939C9" w:rsidP="00C939C9">
    <w:pPr>
      <w:pStyle w:val="Header"/>
      <w:jc w:val="right"/>
    </w:pPr>
    <w:r>
      <w:t>ECE/CEP/AC.13/2024/5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9A28D5"/>
    <w:multiLevelType w:val="hybridMultilevel"/>
    <w:tmpl w:val="3A1E0CC0"/>
    <w:lvl w:ilvl="0" w:tplc="92A8C0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3455A9"/>
    <w:multiLevelType w:val="hybridMultilevel"/>
    <w:tmpl w:val="5514546A"/>
    <w:lvl w:ilvl="0" w:tplc="BE58DF12">
      <w:start w:val="1"/>
      <w:numFmt w:val="lowerLetter"/>
      <w:lvlText w:val="(%1)"/>
      <w:lvlJc w:val="left"/>
      <w:pPr>
        <w:ind w:left="360" w:hanging="360"/>
      </w:pPr>
      <w:rPr>
        <w:rFonts w:ascii="Times New Roman" w:eastAsia="SimSun" w:hAnsi="Times New Roman"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B354FE"/>
    <w:multiLevelType w:val="hybridMultilevel"/>
    <w:tmpl w:val="06A42496"/>
    <w:lvl w:ilvl="0" w:tplc="5A1EA5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B503F"/>
    <w:multiLevelType w:val="hybridMultilevel"/>
    <w:tmpl w:val="C92E88A6"/>
    <w:lvl w:ilvl="0" w:tplc="EE000034">
      <w:start w:val="1"/>
      <w:numFmt w:val="lowerLetter"/>
      <w:lvlText w:val="(%1)"/>
      <w:lvlJc w:val="left"/>
      <w:pPr>
        <w:ind w:left="360" w:hanging="360"/>
      </w:pPr>
      <w:rPr>
        <w:rFonts w:ascii="Times New Roman" w:eastAsia="SimSun"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5106196"/>
    <w:multiLevelType w:val="hybridMultilevel"/>
    <w:tmpl w:val="8E560C58"/>
    <w:lvl w:ilvl="0" w:tplc="782240BA">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15E7A"/>
    <w:multiLevelType w:val="hybridMultilevel"/>
    <w:tmpl w:val="5E322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2415910">
    <w:abstractNumId w:val="1"/>
  </w:num>
  <w:num w:numId="2" w16cid:durableId="198783049">
    <w:abstractNumId w:val="0"/>
  </w:num>
  <w:num w:numId="3" w16cid:durableId="1543440145">
    <w:abstractNumId w:val="2"/>
  </w:num>
  <w:num w:numId="4" w16cid:durableId="1308510554">
    <w:abstractNumId w:val="3"/>
  </w:num>
  <w:num w:numId="5" w16cid:durableId="213783630">
    <w:abstractNumId w:val="8"/>
  </w:num>
  <w:num w:numId="6" w16cid:durableId="1423141985">
    <w:abstractNumId w:val="9"/>
  </w:num>
  <w:num w:numId="7" w16cid:durableId="121926530">
    <w:abstractNumId w:val="7"/>
  </w:num>
  <w:num w:numId="8" w16cid:durableId="599488762">
    <w:abstractNumId w:val="6"/>
  </w:num>
  <w:num w:numId="9" w16cid:durableId="934552929">
    <w:abstractNumId w:val="5"/>
  </w:num>
  <w:num w:numId="10" w16cid:durableId="1510171537">
    <w:abstractNumId w:val="4"/>
  </w:num>
  <w:num w:numId="11" w16cid:durableId="230427257">
    <w:abstractNumId w:val="17"/>
  </w:num>
  <w:num w:numId="12" w16cid:durableId="1973703721">
    <w:abstractNumId w:val="16"/>
  </w:num>
  <w:num w:numId="13" w16cid:durableId="1275750767">
    <w:abstractNumId w:val="10"/>
  </w:num>
  <w:num w:numId="14" w16cid:durableId="283462915">
    <w:abstractNumId w:val="14"/>
  </w:num>
  <w:num w:numId="15" w16cid:durableId="1970744121">
    <w:abstractNumId w:val="18"/>
  </w:num>
  <w:num w:numId="16" w16cid:durableId="1849322802">
    <w:abstractNumId w:val="15"/>
  </w:num>
  <w:num w:numId="17" w16cid:durableId="1132593542">
    <w:abstractNumId w:val="22"/>
  </w:num>
  <w:num w:numId="18" w16cid:durableId="354966388">
    <w:abstractNumId w:val="24"/>
  </w:num>
  <w:num w:numId="19" w16cid:durableId="1427116200">
    <w:abstractNumId w:val="12"/>
  </w:num>
  <w:num w:numId="20" w16cid:durableId="1875460073">
    <w:abstractNumId w:val="12"/>
  </w:num>
  <w:num w:numId="21" w16cid:durableId="499466133">
    <w:abstractNumId w:val="23"/>
  </w:num>
  <w:num w:numId="22" w16cid:durableId="1934584974">
    <w:abstractNumId w:val="20"/>
  </w:num>
  <w:num w:numId="23" w16cid:durableId="1312448108">
    <w:abstractNumId w:val="19"/>
  </w:num>
  <w:num w:numId="24" w16cid:durableId="282880751">
    <w:abstractNumId w:val="11"/>
  </w:num>
  <w:num w:numId="25" w16cid:durableId="374693412">
    <w:abstractNumId w:val="21"/>
  </w:num>
  <w:num w:numId="26" w16cid:durableId="55844556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C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B7139"/>
    <w:rsid w:val="000D7EEE"/>
    <w:rsid w:val="000D7F75"/>
    <w:rsid w:val="000E0415"/>
    <w:rsid w:val="000E7A6F"/>
    <w:rsid w:val="000F7715"/>
    <w:rsid w:val="00156B99"/>
    <w:rsid w:val="00166124"/>
    <w:rsid w:val="00184DDA"/>
    <w:rsid w:val="001900CD"/>
    <w:rsid w:val="00192A38"/>
    <w:rsid w:val="001A0452"/>
    <w:rsid w:val="001B4B04"/>
    <w:rsid w:val="001B5875"/>
    <w:rsid w:val="001C4B9C"/>
    <w:rsid w:val="001C6663"/>
    <w:rsid w:val="001C7895"/>
    <w:rsid w:val="001D26DF"/>
    <w:rsid w:val="001D35D7"/>
    <w:rsid w:val="001F1599"/>
    <w:rsid w:val="001F19C4"/>
    <w:rsid w:val="001F74B5"/>
    <w:rsid w:val="002043F0"/>
    <w:rsid w:val="00211E0B"/>
    <w:rsid w:val="00232575"/>
    <w:rsid w:val="00247258"/>
    <w:rsid w:val="00257CAC"/>
    <w:rsid w:val="0027237A"/>
    <w:rsid w:val="002900BD"/>
    <w:rsid w:val="002974E9"/>
    <w:rsid w:val="002A7F94"/>
    <w:rsid w:val="002B109A"/>
    <w:rsid w:val="002B2F42"/>
    <w:rsid w:val="002C5E4A"/>
    <w:rsid w:val="002C6D45"/>
    <w:rsid w:val="002D6E53"/>
    <w:rsid w:val="002F046D"/>
    <w:rsid w:val="002F3023"/>
    <w:rsid w:val="00300840"/>
    <w:rsid w:val="00301764"/>
    <w:rsid w:val="003229D8"/>
    <w:rsid w:val="00336C97"/>
    <w:rsid w:val="00337F88"/>
    <w:rsid w:val="00342432"/>
    <w:rsid w:val="0035223F"/>
    <w:rsid w:val="00352D4B"/>
    <w:rsid w:val="0035638C"/>
    <w:rsid w:val="00360643"/>
    <w:rsid w:val="003971AB"/>
    <w:rsid w:val="003A46BB"/>
    <w:rsid w:val="003A4EC7"/>
    <w:rsid w:val="003A7295"/>
    <w:rsid w:val="003B1F60"/>
    <w:rsid w:val="003C2CC4"/>
    <w:rsid w:val="003D0A37"/>
    <w:rsid w:val="003D4B23"/>
    <w:rsid w:val="003E278A"/>
    <w:rsid w:val="004011CC"/>
    <w:rsid w:val="00413520"/>
    <w:rsid w:val="004325CB"/>
    <w:rsid w:val="00440A07"/>
    <w:rsid w:val="00462880"/>
    <w:rsid w:val="00476F24"/>
    <w:rsid w:val="00487B6A"/>
    <w:rsid w:val="004C55B0"/>
    <w:rsid w:val="004F6BA0"/>
    <w:rsid w:val="00503BEA"/>
    <w:rsid w:val="00533616"/>
    <w:rsid w:val="00533D38"/>
    <w:rsid w:val="00535ABA"/>
    <w:rsid w:val="0053768B"/>
    <w:rsid w:val="005420F2"/>
    <w:rsid w:val="0054285C"/>
    <w:rsid w:val="00584173"/>
    <w:rsid w:val="00595520"/>
    <w:rsid w:val="005A44B9"/>
    <w:rsid w:val="005B1BA0"/>
    <w:rsid w:val="005B3DB3"/>
    <w:rsid w:val="005C78FF"/>
    <w:rsid w:val="005D15CA"/>
    <w:rsid w:val="005F08DF"/>
    <w:rsid w:val="005F3066"/>
    <w:rsid w:val="005F3E61"/>
    <w:rsid w:val="00604DDD"/>
    <w:rsid w:val="006115CC"/>
    <w:rsid w:val="00611FC4"/>
    <w:rsid w:val="006128CF"/>
    <w:rsid w:val="00613716"/>
    <w:rsid w:val="006176FB"/>
    <w:rsid w:val="006302E6"/>
    <w:rsid w:val="00630FCB"/>
    <w:rsid w:val="00640B26"/>
    <w:rsid w:val="0065766B"/>
    <w:rsid w:val="00674C6A"/>
    <w:rsid w:val="006770B2"/>
    <w:rsid w:val="00686A48"/>
    <w:rsid w:val="00686C96"/>
    <w:rsid w:val="006940E1"/>
    <w:rsid w:val="006A3C72"/>
    <w:rsid w:val="006A7392"/>
    <w:rsid w:val="006B03A1"/>
    <w:rsid w:val="006B0786"/>
    <w:rsid w:val="006B67D9"/>
    <w:rsid w:val="006C5535"/>
    <w:rsid w:val="006D0589"/>
    <w:rsid w:val="006E3897"/>
    <w:rsid w:val="006E564B"/>
    <w:rsid w:val="006E7154"/>
    <w:rsid w:val="007003CD"/>
    <w:rsid w:val="0070701E"/>
    <w:rsid w:val="0072632A"/>
    <w:rsid w:val="007358E8"/>
    <w:rsid w:val="00736ECE"/>
    <w:rsid w:val="0074533B"/>
    <w:rsid w:val="00760C40"/>
    <w:rsid w:val="007643BC"/>
    <w:rsid w:val="00780C68"/>
    <w:rsid w:val="007959FE"/>
    <w:rsid w:val="007A0CF1"/>
    <w:rsid w:val="007B52BB"/>
    <w:rsid w:val="007B6BA5"/>
    <w:rsid w:val="007C3390"/>
    <w:rsid w:val="007C42D8"/>
    <w:rsid w:val="007C4F4B"/>
    <w:rsid w:val="007D7362"/>
    <w:rsid w:val="007F5CE2"/>
    <w:rsid w:val="007F6611"/>
    <w:rsid w:val="008011B0"/>
    <w:rsid w:val="00807FCF"/>
    <w:rsid w:val="00810BAC"/>
    <w:rsid w:val="008175E9"/>
    <w:rsid w:val="008242D7"/>
    <w:rsid w:val="0082577B"/>
    <w:rsid w:val="008472AB"/>
    <w:rsid w:val="00866893"/>
    <w:rsid w:val="00866F02"/>
    <w:rsid w:val="00867D18"/>
    <w:rsid w:val="00871F9A"/>
    <w:rsid w:val="00871FD5"/>
    <w:rsid w:val="0088172E"/>
    <w:rsid w:val="00881EFA"/>
    <w:rsid w:val="008879CB"/>
    <w:rsid w:val="008979B1"/>
    <w:rsid w:val="008A6B25"/>
    <w:rsid w:val="008A6C4F"/>
    <w:rsid w:val="008B389E"/>
    <w:rsid w:val="008D045E"/>
    <w:rsid w:val="008D048B"/>
    <w:rsid w:val="008D3F25"/>
    <w:rsid w:val="008D4D82"/>
    <w:rsid w:val="008E0E46"/>
    <w:rsid w:val="008E7116"/>
    <w:rsid w:val="008F143B"/>
    <w:rsid w:val="008F3882"/>
    <w:rsid w:val="008F4574"/>
    <w:rsid w:val="008F4B7C"/>
    <w:rsid w:val="0090604C"/>
    <w:rsid w:val="00921E89"/>
    <w:rsid w:val="00926E47"/>
    <w:rsid w:val="00947162"/>
    <w:rsid w:val="009610D0"/>
    <w:rsid w:val="0096375C"/>
    <w:rsid w:val="009662E6"/>
    <w:rsid w:val="0097095E"/>
    <w:rsid w:val="0098592B"/>
    <w:rsid w:val="00985FC4"/>
    <w:rsid w:val="00990766"/>
    <w:rsid w:val="00991261"/>
    <w:rsid w:val="009964C4"/>
    <w:rsid w:val="009A4A5A"/>
    <w:rsid w:val="009A7B81"/>
    <w:rsid w:val="009D01C0"/>
    <w:rsid w:val="009D6A08"/>
    <w:rsid w:val="009E0A16"/>
    <w:rsid w:val="009E1E65"/>
    <w:rsid w:val="009E6CB7"/>
    <w:rsid w:val="009E7970"/>
    <w:rsid w:val="009F2EAC"/>
    <w:rsid w:val="009F57E3"/>
    <w:rsid w:val="009F6F1E"/>
    <w:rsid w:val="00A10F4F"/>
    <w:rsid w:val="00A11067"/>
    <w:rsid w:val="00A1704A"/>
    <w:rsid w:val="00A2349E"/>
    <w:rsid w:val="00A425EB"/>
    <w:rsid w:val="00A72F22"/>
    <w:rsid w:val="00A733BC"/>
    <w:rsid w:val="00A748A6"/>
    <w:rsid w:val="00A76A69"/>
    <w:rsid w:val="00A879A4"/>
    <w:rsid w:val="00A97D88"/>
    <w:rsid w:val="00AA0FF8"/>
    <w:rsid w:val="00AC0F2C"/>
    <w:rsid w:val="00AC177D"/>
    <w:rsid w:val="00AC3D49"/>
    <w:rsid w:val="00AC502A"/>
    <w:rsid w:val="00AD624F"/>
    <w:rsid w:val="00AF58C1"/>
    <w:rsid w:val="00B04A3F"/>
    <w:rsid w:val="00B06643"/>
    <w:rsid w:val="00B15055"/>
    <w:rsid w:val="00B20551"/>
    <w:rsid w:val="00B30179"/>
    <w:rsid w:val="00B33FC7"/>
    <w:rsid w:val="00B37B15"/>
    <w:rsid w:val="00B45C02"/>
    <w:rsid w:val="00B70B63"/>
    <w:rsid w:val="00B72A1E"/>
    <w:rsid w:val="00B81E12"/>
    <w:rsid w:val="00B85B9B"/>
    <w:rsid w:val="00BA28B9"/>
    <w:rsid w:val="00BA339B"/>
    <w:rsid w:val="00BC1E7E"/>
    <w:rsid w:val="00BC74E9"/>
    <w:rsid w:val="00BE14FB"/>
    <w:rsid w:val="00BE36A9"/>
    <w:rsid w:val="00BE618E"/>
    <w:rsid w:val="00BE7BEC"/>
    <w:rsid w:val="00BF0A5A"/>
    <w:rsid w:val="00BF0E63"/>
    <w:rsid w:val="00BF12A3"/>
    <w:rsid w:val="00BF16D7"/>
    <w:rsid w:val="00BF2373"/>
    <w:rsid w:val="00C044E2"/>
    <w:rsid w:val="00C048CB"/>
    <w:rsid w:val="00C066F3"/>
    <w:rsid w:val="00C463DD"/>
    <w:rsid w:val="00C745C3"/>
    <w:rsid w:val="00C939C9"/>
    <w:rsid w:val="00C978F5"/>
    <w:rsid w:val="00CA24A4"/>
    <w:rsid w:val="00CB348D"/>
    <w:rsid w:val="00CD46F5"/>
    <w:rsid w:val="00CE4A8F"/>
    <w:rsid w:val="00CF071D"/>
    <w:rsid w:val="00D0123D"/>
    <w:rsid w:val="00D04B56"/>
    <w:rsid w:val="00D15B04"/>
    <w:rsid w:val="00D2031B"/>
    <w:rsid w:val="00D25FE2"/>
    <w:rsid w:val="00D37DA9"/>
    <w:rsid w:val="00D406A7"/>
    <w:rsid w:val="00D43252"/>
    <w:rsid w:val="00D44D86"/>
    <w:rsid w:val="00D50B7D"/>
    <w:rsid w:val="00D52012"/>
    <w:rsid w:val="00D704E5"/>
    <w:rsid w:val="00D72727"/>
    <w:rsid w:val="00D7697D"/>
    <w:rsid w:val="00D81E9A"/>
    <w:rsid w:val="00D978C6"/>
    <w:rsid w:val="00DA0956"/>
    <w:rsid w:val="00DA236E"/>
    <w:rsid w:val="00DA357F"/>
    <w:rsid w:val="00DA3E12"/>
    <w:rsid w:val="00DA653B"/>
    <w:rsid w:val="00DC18AD"/>
    <w:rsid w:val="00DD2766"/>
    <w:rsid w:val="00DF396F"/>
    <w:rsid w:val="00DF7CAE"/>
    <w:rsid w:val="00E36897"/>
    <w:rsid w:val="00E423C0"/>
    <w:rsid w:val="00E6414C"/>
    <w:rsid w:val="00E7260F"/>
    <w:rsid w:val="00E8702D"/>
    <w:rsid w:val="00E905F4"/>
    <w:rsid w:val="00E916A9"/>
    <w:rsid w:val="00E916DE"/>
    <w:rsid w:val="00E925AD"/>
    <w:rsid w:val="00E96630"/>
    <w:rsid w:val="00EC4D42"/>
    <w:rsid w:val="00ED18DC"/>
    <w:rsid w:val="00ED6201"/>
    <w:rsid w:val="00ED7A2A"/>
    <w:rsid w:val="00EF1D7F"/>
    <w:rsid w:val="00F0137E"/>
    <w:rsid w:val="00F21786"/>
    <w:rsid w:val="00F3701D"/>
    <w:rsid w:val="00F37395"/>
    <w:rsid w:val="00F3742B"/>
    <w:rsid w:val="00F41FDB"/>
    <w:rsid w:val="00F56D63"/>
    <w:rsid w:val="00F609A9"/>
    <w:rsid w:val="00F75713"/>
    <w:rsid w:val="00F80C99"/>
    <w:rsid w:val="00F867EC"/>
    <w:rsid w:val="00F91B2B"/>
    <w:rsid w:val="00FB135F"/>
    <w:rsid w:val="00FC03CD"/>
    <w:rsid w:val="00FC0646"/>
    <w:rsid w:val="00FC68B7"/>
    <w:rsid w:val="00FE6985"/>
    <w:rsid w:val="00FE7F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30D5D"/>
  <w15:docId w15:val="{7F68A2A5-69BD-4634-B185-1384F72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roundersenseofpurpos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CEP\CE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4FD14E-C7AE-422C-A7F2-DE92EE7B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DA8FD-F02C-4C0A-B3D3-8AF259AF82DA}">
  <ds:schemaRefs>
    <ds:schemaRef ds:uri="http://schemas.microsoft.com/sharepoint/v3/contenttype/forms"/>
  </ds:schemaRefs>
</ds:datastoreItem>
</file>

<file path=customXml/itemProps3.xml><?xml version="1.0" encoding="utf-8"?>
<ds:datastoreItem xmlns:ds="http://schemas.openxmlformats.org/officeDocument/2006/customXml" ds:itemID="{29DF0E6F-2247-4289-A31E-C5C3B3B0A4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CEP_E.dotm</Template>
  <TotalTime>0</TotalTime>
  <Pages>7</Pages>
  <Words>2749</Words>
  <Characters>16045</Characters>
  <Application>Microsoft Office Word</Application>
  <DocSecurity>0</DocSecurity>
  <Lines>432</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ECE/CEP/AC.13/2024/5</vt:lpstr>
      <vt:lpstr/>
    </vt:vector>
  </TitlesOfParts>
  <Company>CSD</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ECE/CEP/AC.13/2024/5</dc:title>
  <dc:subject>2405349</dc:subject>
  <dc:creator>Maricar De_La_Cruz</dc:creator>
  <cp:keywords/>
  <dc:description/>
  <cp:lastModifiedBy>Don Canete Martin</cp:lastModifiedBy>
  <cp:revision>2</cp:revision>
  <cp:lastPrinted>2009-02-18T09:36:00Z</cp:lastPrinted>
  <dcterms:created xsi:type="dcterms:W3CDTF">2024-03-20T15:50:00Z</dcterms:created>
  <dcterms:modified xsi:type="dcterms:W3CDTF">2024-03-20T15:50:00Z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cd0ee358-e8c7-415b-8e66-7dcd2672dcb4</vt:lpwstr>
  </property>
  <property fmtid="{D5CDD505-2E9C-101B-9397-08002B2CF9AE}" pid="4" name="MediaServiceImageTags">
    <vt:lpwstr/>
  </property>
</Properties>
</file>