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6ACD87D" w14:textId="77777777" w:rsidTr="00387CD4">
        <w:trPr>
          <w:trHeight w:hRule="exact" w:val="851"/>
        </w:trPr>
        <w:tc>
          <w:tcPr>
            <w:tcW w:w="142" w:type="dxa"/>
            <w:tcBorders>
              <w:bottom w:val="single" w:sz="4" w:space="0" w:color="auto"/>
            </w:tcBorders>
          </w:tcPr>
          <w:p w14:paraId="372F0C73" w14:textId="77777777" w:rsidR="002D5AAC" w:rsidRDefault="002D5AAC" w:rsidP="00A35DE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2FD57F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C2586AF" w14:textId="01EE9EA9" w:rsidR="002D5AAC" w:rsidRDefault="00A35DE0" w:rsidP="00A35DE0">
            <w:pPr>
              <w:jc w:val="right"/>
            </w:pPr>
            <w:r w:rsidRPr="00A35DE0">
              <w:rPr>
                <w:sz w:val="40"/>
              </w:rPr>
              <w:t>ECE</w:t>
            </w:r>
            <w:r>
              <w:t>/CEP/AC.13/2024/6</w:t>
            </w:r>
          </w:p>
        </w:tc>
      </w:tr>
      <w:tr w:rsidR="002D5AAC" w:rsidRPr="00351EAE" w14:paraId="4285B3FB" w14:textId="77777777" w:rsidTr="00387CD4">
        <w:trPr>
          <w:trHeight w:hRule="exact" w:val="2835"/>
        </w:trPr>
        <w:tc>
          <w:tcPr>
            <w:tcW w:w="1280" w:type="dxa"/>
            <w:gridSpan w:val="2"/>
            <w:tcBorders>
              <w:top w:val="single" w:sz="4" w:space="0" w:color="auto"/>
              <w:bottom w:val="single" w:sz="12" w:space="0" w:color="auto"/>
            </w:tcBorders>
          </w:tcPr>
          <w:p w14:paraId="5FFA296C" w14:textId="77777777" w:rsidR="002D5AAC" w:rsidRDefault="002E5067" w:rsidP="00387CD4">
            <w:pPr>
              <w:spacing w:before="120"/>
              <w:jc w:val="center"/>
            </w:pPr>
            <w:r>
              <w:rPr>
                <w:noProof/>
                <w:lang w:val="fr-CH" w:eastAsia="fr-CH"/>
              </w:rPr>
              <w:drawing>
                <wp:inline distT="0" distB="0" distL="0" distR="0" wp14:anchorId="2722D07B" wp14:editId="7DA4BF0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B13F15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D365C75" w14:textId="77777777" w:rsidR="002D5AAC" w:rsidRDefault="00A35DE0" w:rsidP="00387CD4">
            <w:pPr>
              <w:spacing w:before="240"/>
              <w:rPr>
                <w:lang w:val="en-US"/>
              </w:rPr>
            </w:pPr>
            <w:r>
              <w:rPr>
                <w:lang w:val="en-US"/>
              </w:rPr>
              <w:t>Distr.: General</w:t>
            </w:r>
          </w:p>
          <w:p w14:paraId="3745E09C" w14:textId="585CF171" w:rsidR="00A35DE0" w:rsidRPr="0074428C" w:rsidRDefault="0074428C" w:rsidP="00A35DE0">
            <w:pPr>
              <w:spacing w:line="240" w:lineRule="exact"/>
              <w:rPr>
                <w:lang w:val="en-US"/>
              </w:rPr>
            </w:pPr>
            <w:r w:rsidRPr="0074428C">
              <w:rPr>
                <w:lang w:val="en-US"/>
              </w:rPr>
              <w:t>20 March 2024</w:t>
            </w:r>
          </w:p>
          <w:p w14:paraId="66B2B1D6" w14:textId="77777777" w:rsidR="00A35DE0" w:rsidRDefault="00A35DE0" w:rsidP="00A35DE0">
            <w:pPr>
              <w:spacing w:line="240" w:lineRule="exact"/>
              <w:rPr>
                <w:lang w:val="en-US"/>
              </w:rPr>
            </w:pPr>
            <w:r>
              <w:rPr>
                <w:lang w:val="en-US"/>
              </w:rPr>
              <w:t>Russian</w:t>
            </w:r>
          </w:p>
          <w:p w14:paraId="671F9AE2" w14:textId="43AC79AA" w:rsidR="00A35DE0" w:rsidRPr="008D53B6" w:rsidRDefault="00A35DE0" w:rsidP="00A35DE0">
            <w:pPr>
              <w:spacing w:line="240" w:lineRule="exact"/>
              <w:rPr>
                <w:lang w:val="en-US"/>
              </w:rPr>
            </w:pPr>
            <w:r>
              <w:rPr>
                <w:lang w:val="en-US"/>
              </w:rPr>
              <w:t>Original: English</w:t>
            </w:r>
          </w:p>
        </w:tc>
      </w:tr>
    </w:tbl>
    <w:p w14:paraId="1E5682E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F8315A0" w14:textId="77777777" w:rsidR="00A35DE0" w:rsidRPr="00A35DE0" w:rsidRDefault="00A35DE0" w:rsidP="00A35DE0">
      <w:pPr>
        <w:spacing w:before="120" w:line="240" w:lineRule="auto"/>
        <w:rPr>
          <w:bCs/>
          <w:sz w:val="28"/>
          <w:szCs w:val="28"/>
        </w:rPr>
      </w:pPr>
      <w:r w:rsidRPr="00A35DE0">
        <w:rPr>
          <w:sz w:val="28"/>
          <w:szCs w:val="28"/>
        </w:rPr>
        <w:t>Комитет по экологической политике</w:t>
      </w:r>
    </w:p>
    <w:p w14:paraId="72E169F2" w14:textId="03F77914" w:rsidR="00A35DE0" w:rsidRPr="00A35DE0" w:rsidRDefault="00A35DE0" w:rsidP="00A35DE0">
      <w:pPr>
        <w:spacing w:before="120"/>
        <w:rPr>
          <w:b/>
          <w:bCs/>
          <w:sz w:val="24"/>
          <w:szCs w:val="24"/>
        </w:rPr>
      </w:pPr>
      <w:r w:rsidRPr="00A35DE0">
        <w:rPr>
          <w:b/>
          <w:bCs/>
          <w:sz w:val="24"/>
          <w:szCs w:val="24"/>
        </w:rPr>
        <w:t xml:space="preserve">Руководящий комитет Европейской </w:t>
      </w:r>
      <w:r>
        <w:rPr>
          <w:b/>
          <w:bCs/>
          <w:sz w:val="24"/>
          <w:szCs w:val="24"/>
        </w:rPr>
        <w:br/>
      </w:r>
      <w:r w:rsidRPr="00A35DE0">
        <w:rPr>
          <w:b/>
          <w:bCs/>
          <w:sz w:val="24"/>
          <w:szCs w:val="24"/>
        </w:rPr>
        <w:t xml:space="preserve">экономической комиссии Организации </w:t>
      </w:r>
      <w:r>
        <w:rPr>
          <w:b/>
          <w:bCs/>
          <w:sz w:val="24"/>
          <w:szCs w:val="24"/>
        </w:rPr>
        <w:br/>
      </w:r>
      <w:r w:rsidRPr="00A35DE0">
        <w:rPr>
          <w:b/>
          <w:bCs/>
          <w:sz w:val="24"/>
          <w:szCs w:val="24"/>
        </w:rPr>
        <w:t xml:space="preserve">Объединенных Наций по образованию </w:t>
      </w:r>
      <w:r>
        <w:rPr>
          <w:b/>
          <w:bCs/>
          <w:sz w:val="24"/>
          <w:szCs w:val="24"/>
        </w:rPr>
        <w:br/>
      </w:r>
      <w:r w:rsidRPr="00A35DE0">
        <w:rPr>
          <w:b/>
          <w:bCs/>
          <w:sz w:val="24"/>
          <w:szCs w:val="24"/>
        </w:rPr>
        <w:t>в интересах устойчивого развития</w:t>
      </w:r>
    </w:p>
    <w:p w14:paraId="4CAA6C6A" w14:textId="77777777" w:rsidR="00A35DE0" w:rsidRPr="007365F4" w:rsidRDefault="00A35DE0" w:rsidP="00A35DE0">
      <w:pPr>
        <w:spacing w:before="120"/>
        <w:rPr>
          <w:b/>
        </w:rPr>
      </w:pPr>
      <w:r>
        <w:rPr>
          <w:b/>
          <w:bCs/>
        </w:rPr>
        <w:t>Девятнадцатое совещание</w:t>
      </w:r>
    </w:p>
    <w:p w14:paraId="410DEFF5" w14:textId="12E496F8" w:rsidR="00A35DE0" w:rsidRPr="007365F4" w:rsidRDefault="00A35DE0" w:rsidP="00A35DE0">
      <w:r>
        <w:t xml:space="preserve">Женева, </w:t>
      </w:r>
      <w:r w:rsidR="00B209E6">
        <w:t xml:space="preserve">29, </w:t>
      </w:r>
      <w:r>
        <w:t>30 и 31 мая 202</w:t>
      </w:r>
      <w:r w:rsidR="00794329">
        <w:t>4</w:t>
      </w:r>
      <w:r w:rsidR="00224CB7">
        <w:t> год</w:t>
      </w:r>
      <w:r>
        <w:t>а</w:t>
      </w:r>
    </w:p>
    <w:p w14:paraId="4EBB4E7D" w14:textId="77777777" w:rsidR="00A35DE0" w:rsidRPr="007365F4" w:rsidRDefault="00A35DE0" w:rsidP="00A35DE0">
      <w:r>
        <w:t>Пункт 5 предварительной повестки дня</w:t>
      </w:r>
    </w:p>
    <w:p w14:paraId="02BEEC01" w14:textId="47ECABF0" w:rsidR="00A35DE0" w:rsidRPr="007365F4" w:rsidRDefault="00A35DE0" w:rsidP="00A35DE0">
      <w:pPr>
        <w:rPr>
          <w:b/>
          <w:bCs/>
        </w:rPr>
      </w:pPr>
      <w:r>
        <w:rPr>
          <w:b/>
          <w:bCs/>
        </w:rPr>
        <w:t xml:space="preserve">Обновленная информация об итогах работы </w:t>
      </w:r>
      <w:r>
        <w:rPr>
          <w:b/>
          <w:bCs/>
        </w:rPr>
        <w:br/>
        <w:t>Специальной группы по показателям:</w:t>
      </w:r>
      <w:r>
        <w:t xml:space="preserve"> </w:t>
      </w:r>
    </w:p>
    <w:p w14:paraId="04E9A509" w14:textId="67AA062A" w:rsidR="00A35DE0" w:rsidRPr="007365F4" w:rsidRDefault="00A35DE0" w:rsidP="00A35DE0">
      <w:pPr>
        <w:rPr>
          <w:b/>
          <w:bCs/>
        </w:rPr>
      </w:pPr>
      <w:r>
        <w:rPr>
          <w:b/>
          <w:bCs/>
        </w:rPr>
        <w:t xml:space="preserve">окончательный проект Формы отчетности </w:t>
      </w:r>
      <w:r>
        <w:rPr>
          <w:b/>
          <w:bCs/>
        </w:rPr>
        <w:br/>
        <w:t xml:space="preserve">об осуществлении Стратегии Европейской </w:t>
      </w:r>
      <w:r>
        <w:rPr>
          <w:b/>
          <w:bCs/>
        </w:rPr>
        <w:br/>
        <w:t xml:space="preserve">экономической комиссии Организации </w:t>
      </w:r>
      <w:r>
        <w:rPr>
          <w:b/>
          <w:bCs/>
        </w:rPr>
        <w:br/>
        <w:t xml:space="preserve">Объединенных Наций для образования </w:t>
      </w:r>
      <w:r>
        <w:rPr>
          <w:b/>
          <w:bCs/>
        </w:rPr>
        <w:br/>
        <w:t>в интересах устойчивого развития</w:t>
      </w:r>
      <w:r>
        <w:t xml:space="preserve"> </w:t>
      </w:r>
      <w:r>
        <w:rPr>
          <w:b/>
          <w:bCs/>
        </w:rPr>
        <w:t>(2021–2025</w:t>
      </w:r>
      <w:r w:rsidR="00224CB7">
        <w:rPr>
          <w:b/>
          <w:bCs/>
        </w:rPr>
        <w:t> год</w:t>
      </w:r>
      <w:r>
        <w:rPr>
          <w:b/>
          <w:bCs/>
        </w:rPr>
        <w:t xml:space="preserve">ы) </w:t>
      </w:r>
      <w:r>
        <w:rPr>
          <w:b/>
          <w:bCs/>
        </w:rPr>
        <w:br/>
        <w:t>и руководства по работе с показателями</w:t>
      </w:r>
    </w:p>
    <w:p w14:paraId="126D0CE2" w14:textId="766B0D0D" w:rsidR="00A35DE0" w:rsidRPr="007365F4" w:rsidRDefault="00A35DE0" w:rsidP="00A35DE0">
      <w:pPr>
        <w:pStyle w:val="HChG"/>
      </w:pPr>
      <w:r>
        <w:tab/>
      </w:r>
      <w:r>
        <w:tab/>
      </w:r>
      <w:r>
        <w:rPr>
          <w:bCs/>
        </w:rPr>
        <w:t>Руководство по процессу отчетности об осуществлении Стратегии Европейской экономической комиссии Организации Объединенных Наций для образования в</w:t>
      </w:r>
      <w:r>
        <w:rPr>
          <w:bCs/>
          <w:lang w:val="fr-CH"/>
        </w:rPr>
        <w:t> </w:t>
      </w:r>
      <w:r>
        <w:rPr>
          <w:bCs/>
        </w:rPr>
        <w:t>интересах устойчивого развития</w:t>
      </w:r>
      <w:bookmarkStart w:id="0" w:name="_Hlk129877013"/>
    </w:p>
    <w:bookmarkEnd w:id="0"/>
    <w:p w14:paraId="7C93FFEE" w14:textId="77777777" w:rsidR="00A35DE0" w:rsidRDefault="00A35DE0" w:rsidP="00A35DE0">
      <w:pPr>
        <w:pStyle w:val="H1G"/>
        <w:rPr>
          <w:bCs/>
        </w:rPr>
      </w:pPr>
      <w:r>
        <w:tab/>
      </w:r>
      <w:r>
        <w:tab/>
      </w:r>
      <w:r>
        <w:rPr>
          <w:bCs/>
        </w:rPr>
        <w:t>Записка Специальной группы по показателям</w:t>
      </w:r>
    </w:p>
    <w:tbl>
      <w:tblPr>
        <w:tblStyle w:val="ac"/>
        <w:tblW w:w="0" w:type="auto"/>
        <w:jc w:val="center"/>
        <w:tblLook w:val="05E0" w:firstRow="1" w:lastRow="1" w:firstColumn="1" w:lastColumn="1" w:noHBand="0" w:noVBand="1"/>
      </w:tblPr>
      <w:tblGrid>
        <w:gridCol w:w="9628"/>
      </w:tblGrid>
      <w:tr w:rsidR="00A35DE0" w:rsidRPr="00A35DE0" w14:paraId="7CB517A1" w14:textId="77777777" w:rsidTr="00850215">
        <w:trPr>
          <w:jc w:val="center"/>
        </w:trPr>
        <w:tc>
          <w:tcPr>
            <w:tcW w:w="9637" w:type="dxa"/>
            <w:tcBorders>
              <w:bottom w:val="nil"/>
            </w:tcBorders>
          </w:tcPr>
          <w:p w14:paraId="4028EA66" w14:textId="77777777" w:rsidR="00A35DE0" w:rsidRPr="00A35DE0" w:rsidRDefault="00A35DE0" w:rsidP="00850215">
            <w:pPr>
              <w:tabs>
                <w:tab w:val="left" w:pos="255"/>
              </w:tabs>
              <w:spacing w:before="240" w:after="120"/>
              <w:rPr>
                <w:rFonts w:cs="Times New Roman"/>
                <w:sz w:val="24"/>
              </w:rPr>
            </w:pPr>
            <w:r w:rsidRPr="00A35DE0">
              <w:rPr>
                <w:rFonts w:cs="Times New Roman"/>
              </w:rPr>
              <w:tab/>
            </w:r>
            <w:r w:rsidRPr="00A35DE0">
              <w:rPr>
                <w:rFonts w:cs="Times New Roman"/>
                <w:i/>
                <w:sz w:val="24"/>
              </w:rPr>
              <w:t>Резюме</w:t>
            </w:r>
          </w:p>
        </w:tc>
      </w:tr>
      <w:tr w:rsidR="00A35DE0" w:rsidRPr="00A35DE0" w14:paraId="3D775F1A" w14:textId="77777777" w:rsidTr="00850215">
        <w:trPr>
          <w:jc w:val="center"/>
        </w:trPr>
        <w:tc>
          <w:tcPr>
            <w:tcW w:w="9637" w:type="dxa"/>
            <w:tcBorders>
              <w:top w:val="nil"/>
              <w:bottom w:val="nil"/>
            </w:tcBorders>
            <w:shd w:val="clear" w:color="auto" w:fill="auto"/>
          </w:tcPr>
          <w:p w14:paraId="4A586DC1" w14:textId="11C1A9BF" w:rsidR="00A35DE0" w:rsidRPr="00A35DE0" w:rsidRDefault="00A35DE0" w:rsidP="00D6488B">
            <w:pPr>
              <w:pStyle w:val="SingleTxtG"/>
            </w:pPr>
            <w:r>
              <w:tab/>
              <w:t xml:space="preserve">Настоящее Руководство по процессу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дополняет форму отчетности под названием </w:t>
            </w:r>
            <w:r w:rsidR="00D76DA6">
              <w:t>«</w:t>
            </w:r>
            <w:r>
              <w:t>Форма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(2021</w:t>
            </w:r>
            <w:r w:rsidR="00D76DA6">
              <w:t>–</w:t>
            </w:r>
            <w:r>
              <w:t>2025</w:t>
            </w:r>
            <w:r w:rsidR="00224CB7">
              <w:t> год</w:t>
            </w:r>
            <w:r>
              <w:t>ы)</w:t>
            </w:r>
            <w:r w:rsidR="00D76DA6">
              <w:t>»</w:t>
            </w:r>
            <w:r>
              <w:t xml:space="preserve"> (ECE/CEP/AC.13/2023/4). Руководство было разработано Специальной группой по показателям Европейской экономической комиссии Организации Объединенных Наций и представляет собой краткое руководство для национальных координаторов и/или других национальных экспертов, ответственных за подготовку национальных докладов об осуществлении, по заполнению формы отчетности для пятого цикла обязательной отчетности (начало запланировано в 2023</w:t>
            </w:r>
            <w:r w:rsidR="00224CB7">
              <w:t> год</w:t>
            </w:r>
            <w:r>
              <w:t>у).</w:t>
            </w:r>
          </w:p>
        </w:tc>
      </w:tr>
      <w:tr w:rsidR="00A35DE0" w:rsidRPr="00A35DE0" w14:paraId="19E5B54E" w14:textId="77777777" w:rsidTr="00850215">
        <w:trPr>
          <w:jc w:val="center"/>
        </w:trPr>
        <w:tc>
          <w:tcPr>
            <w:tcW w:w="9637" w:type="dxa"/>
            <w:tcBorders>
              <w:top w:val="nil"/>
              <w:bottom w:val="nil"/>
            </w:tcBorders>
            <w:shd w:val="clear" w:color="auto" w:fill="auto"/>
          </w:tcPr>
          <w:p w14:paraId="1C44E3D9" w14:textId="1CFE8D28" w:rsidR="00A35DE0" w:rsidRDefault="00A35DE0" w:rsidP="00A35DE0">
            <w:pPr>
              <w:pStyle w:val="SingleTxtG"/>
              <w:pageBreakBefore/>
            </w:pPr>
            <w:r>
              <w:lastRenderedPageBreak/>
              <w:tab/>
              <w:t>Руководство следует также рассматривать как дополнение к первоначальному Руководству по процессу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(ECE/CEP/AC.13/2009/5), разработанному Группой экспертов по показателям Европейской экономической комиссии Организации Объединенных Наций с целью облегчения подготовки отчетности для предыдущих циклов отчетности в 2010, 2015 и 2018</w:t>
            </w:r>
            <w:r w:rsidR="00224CB7">
              <w:t> год</w:t>
            </w:r>
            <w:r>
              <w:t>ах.</w:t>
            </w:r>
          </w:p>
        </w:tc>
      </w:tr>
      <w:tr w:rsidR="00A35DE0" w:rsidRPr="00A35DE0" w14:paraId="3241123C" w14:textId="77777777" w:rsidTr="00850215">
        <w:trPr>
          <w:jc w:val="center"/>
        </w:trPr>
        <w:tc>
          <w:tcPr>
            <w:tcW w:w="9637" w:type="dxa"/>
            <w:tcBorders>
              <w:top w:val="nil"/>
            </w:tcBorders>
          </w:tcPr>
          <w:p w14:paraId="2788480E" w14:textId="77777777" w:rsidR="00A35DE0" w:rsidRPr="00A35DE0" w:rsidRDefault="00A35DE0" w:rsidP="00850215">
            <w:pPr>
              <w:rPr>
                <w:rFonts w:cs="Times New Roman"/>
              </w:rPr>
            </w:pPr>
          </w:p>
        </w:tc>
      </w:tr>
    </w:tbl>
    <w:p w14:paraId="591D03B7" w14:textId="77777777" w:rsidR="00A35DE0" w:rsidRDefault="00A35DE0" w:rsidP="00A35DE0">
      <w:pPr>
        <w:rPr>
          <w:lang w:eastAsia="ru-RU"/>
        </w:rPr>
      </w:pPr>
    </w:p>
    <w:p w14:paraId="67F8BB1F" w14:textId="77777777" w:rsidR="00A35DE0" w:rsidRPr="007365F4" w:rsidRDefault="00A35DE0" w:rsidP="00A35DE0">
      <w:r w:rsidRPr="007365F4">
        <w:br w:type="page"/>
      </w:r>
    </w:p>
    <w:p w14:paraId="4C2F9357" w14:textId="77777777" w:rsidR="00A35DE0" w:rsidRPr="007365F4" w:rsidRDefault="00A35DE0" w:rsidP="00A35DE0">
      <w:pPr>
        <w:pStyle w:val="HChG"/>
      </w:pPr>
      <w:r>
        <w:tab/>
      </w:r>
      <w:r>
        <w:tab/>
      </w:r>
      <w:r>
        <w:rPr>
          <w:bCs/>
        </w:rPr>
        <w:t>Введение</w:t>
      </w:r>
    </w:p>
    <w:p w14:paraId="58344CD7" w14:textId="08F03419" w:rsidR="00A35DE0" w:rsidRPr="007365F4" w:rsidRDefault="00A35DE0" w:rsidP="00A35DE0">
      <w:pPr>
        <w:pStyle w:val="SingleTxtG"/>
      </w:pPr>
      <w:r>
        <w:t>1.</w:t>
      </w:r>
      <w:r>
        <w:tab/>
        <w:t xml:space="preserve">Настоящее руководство по процессу отчетности об осуществлении Стратегии Европейской экономической комиссии Организации Объединенных Наций (ЕЭК ООН) для образования в интересах устойчивого развития (ОУР) было разработано в качестве вклада в механизм мониторинга и отчетности в рамках Стратегии ЕЭК ООН для ОУР. Настоящий документ, подготовленный Специальной группой ЕЭК по показателям, дополняет форму отчетности под названием </w:t>
      </w:r>
      <w:r w:rsidR="00D76DA6">
        <w:t>«</w:t>
      </w:r>
      <w:r>
        <w:t xml:space="preserve">Форма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w:t>
      </w:r>
      <w:r w:rsidR="00224CB7">
        <w:br/>
      </w:r>
      <w:r>
        <w:t>(2021–2025</w:t>
      </w:r>
      <w:r w:rsidR="00224CB7">
        <w:t> год</w:t>
      </w:r>
      <w:r>
        <w:t>ы)</w:t>
      </w:r>
      <w:r w:rsidR="00D76DA6">
        <w:t>»</w:t>
      </w:r>
      <w:r>
        <w:t xml:space="preserve"> (ECE/CEP/AC.13/2023/4). Он содержит рекомендации и замечания, призванные помочь национальным координаторам по ОУР и/или другим национальным экспертам в подготовке их соответствующих национальных докладов о ходе осуществления Стратегии в течение пятого цикла обязательной отчетности, начало которого запланировано на 2023</w:t>
      </w:r>
      <w:r w:rsidR="00224CB7">
        <w:t> год</w:t>
      </w:r>
      <w:r>
        <w:t>, а также в заполнении вышеупомянутой формы отчетности.</w:t>
      </w:r>
    </w:p>
    <w:p w14:paraId="6974C4F2" w14:textId="06247339" w:rsidR="00A35DE0" w:rsidRPr="007365F4" w:rsidRDefault="00A35DE0" w:rsidP="00A35DE0">
      <w:pPr>
        <w:pStyle w:val="SingleTxtG"/>
      </w:pPr>
      <w:r>
        <w:t>2.</w:t>
      </w:r>
      <w:r>
        <w:tab/>
        <w:t>Настоящий документ следует также рассматривать как дополнение к Руководству по процессу отчетности об осуществлении Стратегии ЕЭК ООН для образования в интересах устойчивого развития (ECE/CEP/AC.13/2009/5), разработанному Группой экспертов по показателям ЕЭК в 2009</w:t>
      </w:r>
      <w:r w:rsidR="00224CB7">
        <w:t> год</w:t>
      </w:r>
      <w:r>
        <w:t>у с целью облегчения подготовки отчетности для предыдущих циклов отчетности в 2010, 2015 и</w:t>
      </w:r>
      <w:r w:rsidR="00224CB7">
        <w:t> </w:t>
      </w:r>
      <w:r>
        <w:t>2018</w:t>
      </w:r>
      <w:r w:rsidR="00224CB7">
        <w:t> год</w:t>
      </w:r>
      <w:r>
        <w:t>ах.</w:t>
      </w:r>
    </w:p>
    <w:p w14:paraId="3FB466E2" w14:textId="77777777" w:rsidR="00A35DE0" w:rsidRPr="007365F4" w:rsidRDefault="00A35DE0" w:rsidP="00A35DE0">
      <w:pPr>
        <w:pStyle w:val="SingleTxtG"/>
      </w:pPr>
      <w:r>
        <w:t>3.</w:t>
      </w:r>
      <w:r>
        <w:tab/>
        <w:t>Мониторинг и оценка ОУР — интересная, но сложная работа, поскольку ОУР представляет собой широкую и развивающуюся область, охватывающую формальное образование, от детского сада до высшего образования, а также неформальное образование и информальное обучение. Кроме того, устойчивое развитие охватывает все аспекты Целей в области устойчивого развития.</w:t>
      </w:r>
    </w:p>
    <w:p w14:paraId="06DBC652" w14:textId="31C48EEF" w:rsidR="00A35DE0" w:rsidRPr="007365F4" w:rsidRDefault="00A35DE0" w:rsidP="00A35DE0">
      <w:pPr>
        <w:pStyle w:val="SingleTxtG"/>
      </w:pPr>
      <w:r>
        <w:t>4.</w:t>
      </w:r>
      <w:r>
        <w:tab/>
        <w:t>Подготовка национального доклада об осуществлении Стратегии ЕЭК ООН для ОУР требует знания как образовательной и экологической политики, так и политики в области устойчивого развития, а также подробной информации о практике в школах и на местах с участием многих различных партнеров и заинтересованных сторон. В силу этого для подготовки национального доклада об осуществлении требуется специальная группа сотрудников.</w:t>
      </w:r>
    </w:p>
    <w:p w14:paraId="3853DF94" w14:textId="39AE4E0B" w:rsidR="00A35DE0" w:rsidRPr="007365F4" w:rsidRDefault="00A35DE0" w:rsidP="00A35DE0">
      <w:pPr>
        <w:pStyle w:val="SingleTxtG"/>
      </w:pPr>
      <w:r>
        <w:t>5.</w:t>
      </w:r>
      <w:r>
        <w:tab/>
        <w:t>Настоящий документ предназначен для ознакомления национальных координаторов</w:t>
      </w:r>
      <w:r w:rsidR="004F2F8F" w:rsidRPr="009F3A14">
        <w:rPr>
          <w:vertAlign w:val="superscript"/>
        </w:rPr>
        <w:footnoteReference w:id="1"/>
      </w:r>
      <w:r>
        <w:t xml:space="preserve"> и других заинтересованных сторон, участвующих в подготовке национальных докладов об осуществлении, с порядком заполнения формы отчетности, содержащейся в документе ECE/CEP/AC.13/2023/4, приложение I.</w:t>
      </w:r>
    </w:p>
    <w:p w14:paraId="04B4F58E" w14:textId="77777777" w:rsidR="00A35DE0" w:rsidRPr="007365F4" w:rsidRDefault="00A35DE0" w:rsidP="00A35DE0">
      <w:pPr>
        <w:pStyle w:val="HChG"/>
      </w:pPr>
      <w:r>
        <w:tab/>
      </w:r>
      <w:r>
        <w:tab/>
      </w:r>
      <w:r>
        <w:rPr>
          <w:bCs/>
        </w:rPr>
        <w:t>Краткое руководство по процессу составления отчетности об осуществлении и по структуре формы отчетности</w:t>
      </w:r>
    </w:p>
    <w:p w14:paraId="2D3CF253" w14:textId="77777777" w:rsidR="00A35DE0" w:rsidRPr="007365F4" w:rsidRDefault="00A35DE0" w:rsidP="00A35DE0">
      <w:pPr>
        <w:pStyle w:val="SingleTxtG"/>
      </w:pPr>
      <w:r>
        <w:t>6.</w:t>
      </w:r>
      <w:r>
        <w:tab/>
        <w:t>Подготовка национального доклада об осуществлении может быть частью национальной политики мониторинга и оценки, поскольку она предполагает обзор соответствующей политики, организаций и воздействия национальных программ и мероприятий в области ОУР.</w:t>
      </w:r>
    </w:p>
    <w:p w14:paraId="1629144D" w14:textId="1163EEE6" w:rsidR="00A35DE0" w:rsidRPr="007365F4" w:rsidRDefault="00A35DE0" w:rsidP="00A35DE0">
      <w:pPr>
        <w:pStyle w:val="SingleTxtG"/>
      </w:pPr>
      <w:r>
        <w:t>7.</w:t>
      </w:r>
      <w:r>
        <w:tab/>
        <w:t xml:space="preserve">Процесс мониторинга и оценки, связанный со Стратегией ЕЭК ООН для ОУР, предназначен не для </w:t>
      </w:r>
      <w:r w:rsidR="00D76DA6">
        <w:t>«</w:t>
      </w:r>
      <w:r>
        <w:t>сравнительного анализа</w:t>
      </w:r>
      <w:r w:rsidR="00D76DA6">
        <w:t>»</w:t>
      </w:r>
      <w:r>
        <w:t xml:space="preserve"> деятельности стран, а скорее для того, чтобы дать возможность обучиться и служить источником вдохновения, например, путем обмена передовым опытом.</w:t>
      </w:r>
    </w:p>
    <w:p w14:paraId="40FC7FA6" w14:textId="5E3FB384" w:rsidR="00A35DE0" w:rsidRPr="007365F4" w:rsidRDefault="00A35DE0" w:rsidP="00A35DE0">
      <w:pPr>
        <w:pStyle w:val="SingleTxtG"/>
      </w:pPr>
      <w:r>
        <w:t>8.</w:t>
      </w:r>
      <w:r>
        <w:tab/>
        <w:t>Координация подготовки национального доклада об осуществлении — это трудоемкий, но полезный процесс, поскольку он предполагает изучение того, что происходит в данной стране под общей эгидой ОУР, и документирование усилий, способствующих обучению, инновациям и преобразованиям в направлении достижения Повестки дня в области устойчивого развития на период до 2030</w:t>
      </w:r>
      <w:r w:rsidR="00224CB7">
        <w:t> год</w:t>
      </w:r>
      <w:r>
        <w:t>а и ее Целей в области устойчивого развития.</w:t>
      </w:r>
    </w:p>
    <w:p w14:paraId="31B9ED8E" w14:textId="10800310" w:rsidR="00A35DE0" w:rsidRPr="007365F4" w:rsidRDefault="00A35DE0" w:rsidP="00A35DE0">
      <w:pPr>
        <w:pStyle w:val="SingleTxtG"/>
      </w:pPr>
      <w:r>
        <w:t>9.</w:t>
      </w:r>
      <w:r>
        <w:tab/>
        <w:t xml:space="preserve">Типовая форма отчетности представлена в документе ECE/CEP/AC.13/2023/4, во введении к которому изложены предпосылки в плане политики, </w:t>
      </w:r>
      <w:r w:rsidR="0016353E">
        <w:br/>
      </w:r>
      <w:r>
        <w:t>а в приложении I — типовая форма отчетности, состоящая из трех частей. Каждая часть содержит вопросы, относящиеся к конкретным показателям:</w:t>
      </w:r>
    </w:p>
    <w:p w14:paraId="44DB29CA" w14:textId="2D70ECA5" w:rsidR="00A35DE0" w:rsidRPr="007365F4" w:rsidRDefault="00A35DE0" w:rsidP="00A35DE0">
      <w:pPr>
        <w:pStyle w:val="SingleTxtG"/>
        <w:ind w:firstLine="567"/>
      </w:pPr>
      <w:r>
        <w:t>a)</w:t>
      </w:r>
      <w:r>
        <w:tab/>
        <w:t>часть 1 соответствует структуре Стратегии ЕЭК ООН для ОУР, принятой на первом Совещании высокого уровня представителей министерств охраны окружающей среды и образования (Вильнюс, 17–18 марта 2005</w:t>
      </w:r>
      <w:r w:rsidR="00224CB7">
        <w:t> год</w:t>
      </w:r>
      <w:r>
        <w:t>а) (CEP/AC.13/2005/3/Rev.1); он</w:t>
      </w:r>
      <w:r w:rsidR="00F148DF">
        <w:t>а</w:t>
      </w:r>
      <w:r>
        <w:t xml:space="preserve"> содержит показатели и подпоказатели. Отвечая на вопросы анкеты, приводя примеры передовой практики и ссылаясь на национальные документы, респонденты представят четкую картину деятельности и достижений своей страны в области ОУР, что позволит задать новые вопросы и получить новую информацию. Необходимо отметить следующие моменты:</w:t>
      </w:r>
    </w:p>
    <w:p w14:paraId="26DF15FB" w14:textId="28B6FDCA" w:rsidR="00A35DE0" w:rsidRPr="007365F4" w:rsidRDefault="00A35DE0" w:rsidP="00A35DE0">
      <w:pPr>
        <w:pStyle w:val="SingleTxtG"/>
        <w:ind w:left="1701"/>
      </w:pPr>
      <w:r>
        <w:t>i)</w:t>
      </w:r>
      <w:r>
        <w:tab/>
        <w:t>в начале каждого блока вопросов респондентам предлагается дать краткое описание (не более 1500 знаков, кроме вопроса 7 (не более 2000 знаков)) конкретного положения в их стране</w:t>
      </w:r>
      <w:r w:rsidR="00F148DF">
        <w:t>.</w:t>
      </w:r>
      <w:r>
        <w:t xml:space="preserve"> Нет необходимости ссылаться на заявления министров; основное внимание должно быть уделено существующей политике и текущей практике;</w:t>
      </w:r>
    </w:p>
    <w:p w14:paraId="575B11BA" w14:textId="7C5F331A" w:rsidR="00A35DE0" w:rsidRPr="007365F4" w:rsidRDefault="00A35DE0" w:rsidP="00A35DE0">
      <w:pPr>
        <w:pStyle w:val="SingleTxtG"/>
        <w:ind w:left="1701"/>
      </w:pPr>
      <w:r>
        <w:t>ii)</w:t>
      </w:r>
      <w:r>
        <w:tab/>
        <w:t>поскольку структура части 1 соответствует структуре предыдущих докладов, респонденты могут использовать более ранние национальные доклады об осуществлении, представленные ЕЭК, в качестве справочной информации, хотя следует отметить, что некоторые вопросы были исключены, так как они более не являются актуальными. Другие вопросы были перефразированы для получения информации, относящейся к последнему отчетному периоду, и могут относиться к концепциям ОУР, которые развивались на протяжении многих лет. Во многих случаях запрашивается самая актуальная информация или подробные сведения об изменениях, произошедших со времени предыдущего представления отчетности в 2018</w:t>
      </w:r>
      <w:r w:rsidR="00224CB7">
        <w:t> год</w:t>
      </w:r>
      <w:r>
        <w:t>у</w:t>
      </w:r>
      <w:r w:rsidRPr="009F3A14">
        <w:rPr>
          <w:sz w:val="18"/>
          <w:vertAlign w:val="superscript"/>
        </w:rPr>
        <w:footnoteReference w:id="2"/>
      </w:r>
      <w:r>
        <w:t>;</w:t>
      </w:r>
    </w:p>
    <w:p w14:paraId="5BC3FAB7" w14:textId="44EDDE35" w:rsidR="00A35DE0" w:rsidRPr="007365F4" w:rsidRDefault="00A35DE0" w:rsidP="00A35DE0">
      <w:pPr>
        <w:pStyle w:val="SingleTxtG"/>
        <w:ind w:left="1701"/>
      </w:pPr>
      <w:r>
        <w:t>iii)</w:t>
      </w:r>
      <w:r>
        <w:tab/>
        <w:t>просьба обратить внимание на то, что во многих вопросах респондентов просят привести примеры передовой практики; в большинстве случаев достаточно ссылки на документ, доклад или веб-сайт</w:t>
      </w:r>
      <w:r w:rsidR="009D211F">
        <w:t>.</w:t>
      </w:r>
      <w:r>
        <w:t xml:space="preserve"> В помощь для отбора примеров см. примечания к подходу </w:t>
      </w:r>
      <w:r w:rsidR="00D76DA6">
        <w:t>«</w:t>
      </w:r>
      <w:r>
        <w:t>наиболее значительные изменения</w:t>
      </w:r>
      <w:r w:rsidR="00D76DA6">
        <w:t>»</w:t>
      </w:r>
      <w:r>
        <w:t xml:space="preserve"> (см.</w:t>
      </w:r>
      <w:r w:rsidR="009D211F">
        <w:t> </w:t>
      </w:r>
      <w:r>
        <w:t>пункт 15);</w:t>
      </w:r>
    </w:p>
    <w:p w14:paraId="087618C6" w14:textId="267C8BB3" w:rsidR="00A35DE0" w:rsidRPr="007365F4" w:rsidRDefault="00A35DE0" w:rsidP="00A35DE0">
      <w:pPr>
        <w:pStyle w:val="SingleTxtG"/>
        <w:ind w:firstLine="567"/>
      </w:pPr>
      <w:r>
        <w:t>b)</w:t>
      </w:r>
      <w:r>
        <w:tab/>
        <w:t>часть 2 включает показатели и подпоказатели, которые соответствуют обновленным и новым направлениям, согласованным в Рамочной программе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2021–2030</w:t>
      </w:r>
      <w:r w:rsidR="00224CB7">
        <w:t> год</w:t>
      </w:r>
      <w:r>
        <w:t xml:space="preserve">ов (ECE/NICOSIA.CONF/2022/10), принятой на девятой Конференции министров </w:t>
      </w:r>
      <w:r w:rsidR="00D76DA6">
        <w:t>«</w:t>
      </w:r>
      <w:r>
        <w:t>Окружающая среда для Европы</w:t>
      </w:r>
      <w:r w:rsidR="00D76DA6">
        <w:t>»</w:t>
      </w:r>
      <w:r>
        <w:t xml:space="preserve"> (Никосия, 5–7 октября 2022</w:t>
      </w:r>
      <w:r w:rsidR="00224CB7">
        <w:t> год</w:t>
      </w:r>
      <w:r>
        <w:t>а). В</w:t>
      </w:r>
      <w:r w:rsidR="00487207">
        <w:t> </w:t>
      </w:r>
      <w:r>
        <w:t xml:space="preserve">Рамочной программе выделены следующие четыре направления работы или приоритетные тематические области: </w:t>
      </w:r>
    </w:p>
    <w:p w14:paraId="35A112B0" w14:textId="77777777" w:rsidR="00A35DE0" w:rsidRPr="007365F4" w:rsidRDefault="00A35DE0" w:rsidP="00A02474">
      <w:pPr>
        <w:pStyle w:val="SingleTxtG"/>
        <w:ind w:left="1701"/>
      </w:pPr>
      <w:r>
        <w:t>i)</w:t>
      </w:r>
      <w:r>
        <w:tab/>
        <w:t xml:space="preserve">управление качеством образования и образование в интересах устойчивого развития; </w:t>
      </w:r>
    </w:p>
    <w:p w14:paraId="7F56AA99" w14:textId="77777777" w:rsidR="00A35DE0" w:rsidRPr="007365F4" w:rsidRDefault="00A35DE0" w:rsidP="00A02474">
      <w:pPr>
        <w:pStyle w:val="SingleTxtG"/>
        <w:ind w:left="1701"/>
      </w:pPr>
      <w:r>
        <w:t>ii)</w:t>
      </w:r>
      <w:r>
        <w:tab/>
        <w:t xml:space="preserve">общеучрежденческий подход и образование в интересах устойчивого развития; </w:t>
      </w:r>
    </w:p>
    <w:p w14:paraId="3ADBA66B" w14:textId="77777777" w:rsidR="00A35DE0" w:rsidRPr="007365F4" w:rsidRDefault="00A35DE0" w:rsidP="00A02474">
      <w:pPr>
        <w:pStyle w:val="SingleTxtG"/>
        <w:ind w:left="1701"/>
      </w:pPr>
      <w:r>
        <w:t>iii)</w:t>
      </w:r>
      <w:r>
        <w:tab/>
        <w:t xml:space="preserve">цифровое образование, информационно-коммуникационные технологии и образование в интересах устойчивого развития; </w:t>
      </w:r>
    </w:p>
    <w:p w14:paraId="178C3402" w14:textId="77777777" w:rsidR="00A35DE0" w:rsidRPr="007365F4" w:rsidRDefault="00A35DE0" w:rsidP="00A02474">
      <w:pPr>
        <w:pStyle w:val="SingleTxtG"/>
        <w:ind w:left="1701"/>
      </w:pPr>
      <w:r>
        <w:t>iv)</w:t>
      </w:r>
      <w:r>
        <w:tab/>
        <w:t>предпринимательство, занятость, инновации и образование в интересах устойчивого развития. По каждому из этих направлений сначала определяется информация, собранная с помощью показателей из части 1, а затем задаются дополнительные вопросы о конкретных изменениях;</w:t>
      </w:r>
    </w:p>
    <w:p w14:paraId="78B40218" w14:textId="77777777" w:rsidR="00A35DE0" w:rsidRPr="007365F4" w:rsidRDefault="00A35DE0" w:rsidP="00A35DE0">
      <w:pPr>
        <w:pStyle w:val="SingleTxtG"/>
        <w:ind w:firstLine="567"/>
      </w:pPr>
      <w:r>
        <w:t>c)</w:t>
      </w:r>
      <w:r>
        <w:tab/>
        <w:t>в части 3 резюмируются ответы с указанием на прогресс, конкретные препятствия и потребности в конкретной стране. Наконец, имеется посвященная самооценке страница, на которой респонденты собирают всю информацию и выносят окончательное суждение о достигнутом на национальном уровне прогрессе.</w:t>
      </w:r>
    </w:p>
    <w:p w14:paraId="2CC15CF7" w14:textId="39C4CF5F" w:rsidR="00A35DE0" w:rsidRPr="007365F4" w:rsidRDefault="00A35DE0" w:rsidP="00A35DE0">
      <w:pPr>
        <w:pStyle w:val="SingleTxtG"/>
      </w:pPr>
      <w:r>
        <w:t>10.</w:t>
      </w:r>
      <w:r>
        <w:tab/>
        <w:t>По некоторым показателям могут быть в наличии количественные данные; для других может предлагаться только информация качественного характера, или же на вопрос по тому или иному показателю можно ответить с помощью примеров. В</w:t>
      </w:r>
      <w:r w:rsidR="00CB3F34">
        <w:t> </w:t>
      </w:r>
      <w:r>
        <w:t>некоторых случаях эта работа по подготовке национального доклада об осуществлении может стимулировать респондентов к проведению дальнейших исследований и мероприятий по мониторингу и оценке для изучения принципов, организации, сетей, методологий, мероприятий, результатов и воздействия в плане ОУР.</w:t>
      </w:r>
    </w:p>
    <w:p w14:paraId="11182828" w14:textId="77777777" w:rsidR="00A35DE0" w:rsidRPr="007365F4" w:rsidRDefault="00A35DE0" w:rsidP="00A35DE0">
      <w:pPr>
        <w:pStyle w:val="SingleTxtG"/>
      </w:pPr>
      <w:r>
        <w:t>11.</w:t>
      </w:r>
      <w:r>
        <w:tab/>
        <w:t>Было бы целесообразно сформировать рабочую группу экспертов, которым было бы поручено подготовить национальный доклад об осуществлении с целью заполнения формы отчетности. Поскольку подготовка национальных докладов об осуществлении является обязанностью правительства, к работе должны быть привлечены, как минимум, представители министерства окружающей среды и министерства образования, а также представители других министерств, местных органов власти или органов, ответственных за принятие мер по ОУР. В силу того, что ОУР предполагает межведомственное и межсекторальное сотрудничество, такой доклад может быть результатом вклада многих заинтересованных сторон из сферы образования, частного и государственного секторов, неправительственных и/или общественных организаций и научных кругов.</w:t>
      </w:r>
    </w:p>
    <w:p w14:paraId="66C93163" w14:textId="397A17E6" w:rsidR="00A35DE0" w:rsidRPr="007365F4" w:rsidRDefault="00A35DE0" w:rsidP="00A35DE0">
      <w:pPr>
        <w:pStyle w:val="SingleTxtG"/>
      </w:pPr>
      <w:r>
        <w:t>12.</w:t>
      </w:r>
      <w:r>
        <w:tab/>
        <w:t xml:space="preserve">Поскольку ОУР в контексте </w:t>
      </w:r>
      <w:r w:rsidR="00D76DA6">
        <w:t>«</w:t>
      </w:r>
      <w:r>
        <w:t>формального образования</w:t>
      </w:r>
      <w:r w:rsidR="00D76DA6">
        <w:t>»</w:t>
      </w:r>
      <w:r>
        <w:t xml:space="preserve"> распространяется на учебные заведения от детского сада до аспирантуры, важно привлечь респондентов со всех уровней образования к предоставлению запрашиваемой информации. Это позволит составить отчетность в соответствии с различными уровнями Международной стандартной классификации образования.</w:t>
      </w:r>
    </w:p>
    <w:p w14:paraId="4F789F45" w14:textId="77777777" w:rsidR="00A35DE0" w:rsidRPr="007365F4" w:rsidRDefault="00A35DE0" w:rsidP="00A35DE0">
      <w:pPr>
        <w:pStyle w:val="SingleTxtG"/>
      </w:pPr>
      <w:r>
        <w:t>13.</w:t>
      </w:r>
      <w:r>
        <w:tab/>
        <w:t xml:space="preserve">Кроме того, поскольку ОУР охватывает неформальное образование и информальное обучение, рекомендуется в отношении процесса отчетности использовать подход с участием многих заинтересованных сторон путем привлечения рабочей группы по составлению национального доклада об осуществлении, участников исследований и других информированных лиц. </w:t>
      </w:r>
    </w:p>
    <w:p w14:paraId="61830104" w14:textId="77777777" w:rsidR="00A35DE0" w:rsidRPr="007365F4" w:rsidRDefault="00A35DE0" w:rsidP="00A35DE0">
      <w:pPr>
        <w:pStyle w:val="SingleTxtG"/>
      </w:pPr>
      <w:r>
        <w:t>14.</w:t>
      </w:r>
      <w:r>
        <w:tab/>
        <w:t xml:space="preserve">Концепция рабочей группы может быть расширена за счет создания национального форума по ОУР с участием многих заинтересованных сторон. В нем могут принять участие представители различных секторов (частного, неправительственного, академического и местных органов власти) и разных регионов страны. Вместо того чтобы предложить вниманию участников форума все разделы формы отчетности, возможно, стоит предложить им высказаться по соответствующим разделам или даже конкретным вопросам, на которые могут ответить участники форума. В каждом случае должно быть предоставлено достаточно времени для уточнения вопроса и объяснения контекста. Таким образом, заинтересованные стороны должны быть полностью осведомлены о том, что от них ожидается при предоставлении данных.  </w:t>
      </w:r>
    </w:p>
    <w:p w14:paraId="79CAE651" w14:textId="129D11D6" w:rsidR="00A35DE0" w:rsidRPr="00351EAE" w:rsidRDefault="00A35DE0" w:rsidP="00A35DE0">
      <w:pPr>
        <w:pStyle w:val="SingleTxtG"/>
        <w:rPr>
          <w:color w:val="000000" w:themeColor="text1"/>
        </w:rPr>
      </w:pPr>
      <w:r w:rsidRPr="00351EAE">
        <w:rPr>
          <w:color w:val="000000" w:themeColor="text1"/>
        </w:rPr>
        <w:t>15.</w:t>
      </w:r>
      <w:r w:rsidRPr="00351EAE">
        <w:rPr>
          <w:color w:val="000000" w:themeColor="text1"/>
        </w:rPr>
        <w:tab/>
        <w:t xml:space="preserve">Может быть трудно решить, какие примеры стоит привести, а какие оставить без внимания. Одним из способов решения этой проблемы является использование подхода </w:t>
      </w:r>
      <w:r w:rsidR="00D76DA6" w:rsidRPr="00351EAE">
        <w:rPr>
          <w:color w:val="000000" w:themeColor="text1"/>
        </w:rPr>
        <w:t>«</w:t>
      </w:r>
      <w:r w:rsidRPr="00351EAE">
        <w:rPr>
          <w:color w:val="000000" w:themeColor="text1"/>
        </w:rPr>
        <w:t>наиболее значительных изменений</w:t>
      </w:r>
      <w:r w:rsidR="00D76DA6" w:rsidRPr="00351EAE">
        <w:rPr>
          <w:color w:val="000000" w:themeColor="text1"/>
        </w:rPr>
        <w:t>»</w:t>
      </w:r>
      <w:r w:rsidRPr="00351EAE">
        <w:rPr>
          <w:color w:val="000000" w:themeColor="text1"/>
        </w:rPr>
        <w:t>, который можно разбить на следующие шаги:</w:t>
      </w:r>
    </w:p>
    <w:p w14:paraId="77F2B8E5" w14:textId="56DC727F" w:rsidR="00A35DE0" w:rsidRPr="007365F4" w:rsidRDefault="00A35DE0" w:rsidP="00A35DE0">
      <w:pPr>
        <w:pStyle w:val="SingleTxtG"/>
        <w:ind w:left="1701"/>
      </w:pPr>
      <w:r>
        <w:t>a)</w:t>
      </w:r>
      <w:r>
        <w:tab/>
        <w:t>определите заинтересованные организации, которые могут (и хотят) участвовать в подготовке отчетности, и поделитесь с ними вопросом(ами), который(ые) относится(</w:t>
      </w:r>
      <w:r w:rsidR="00351EAE">
        <w:t>я</w:t>
      </w:r>
      <w:r>
        <w:t xml:space="preserve">тся) к их сфере деятельности; </w:t>
      </w:r>
    </w:p>
    <w:p w14:paraId="35AC129E" w14:textId="5E7AA40E" w:rsidR="00A35DE0" w:rsidRPr="007365F4" w:rsidRDefault="00A35DE0" w:rsidP="00A35DE0">
      <w:pPr>
        <w:pStyle w:val="SingleTxtG"/>
        <w:ind w:left="1701"/>
      </w:pPr>
      <w:r>
        <w:t>b)</w:t>
      </w:r>
      <w:r>
        <w:tab/>
        <w:t xml:space="preserve">попросите указанные заинтересованные организации привести наиболее значимые примеры изменений и обосновать, почему они выбрали именно эти изменения в качестве </w:t>
      </w:r>
      <w:r w:rsidR="00D76DA6">
        <w:t>«</w:t>
      </w:r>
      <w:r>
        <w:t>наиболее значительных</w:t>
      </w:r>
      <w:r w:rsidR="00D76DA6">
        <w:t>»</w:t>
      </w:r>
      <w:r>
        <w:t>. Таким образом, внешним заинтересованным сторонам предлагается обосновать свой выбор, а не навязывать им свои критерии. В свою очередь, организации заинтересованных сторон могут делегировать применение этого подхода своим собственным заинтересованным сторонам, чтобы определить наиболее значительные изменения с задействованием своих местных участников. В каждом случае у тех, кто ближе всего к деятельности, должна быть свобода выбора примеров, но вместе с этой свободой приходит и ответственность за обоснование своего выбора;</w:t>
      </w:r>
    </w:p>
    <w:p w14:paraId="255300C1" w14:textId="5779F2F3" w:rsidR="00A35DE0" w:rsidRPr="007365F4" w:rsidRDefault="00A35DE0" w:rsidP="00A35DE0">
      <w:pPr>
        <w:pStyle w:val="SingleTxtG"/>
        <w:ind w:left="1701"/>
      </w:pPr>
      <w:r>
        <w:t>c)</w:t>
      </w:r>
      <w:r>
        <w:tab/>
        <w:t>национальным координаторам рекомендуется провести онлайн- или очное рабочее совещание для заинтересованных сторон</w:t>
      </w:r>
      <w:r w:rsidR="0043534D">
        <w:rPr>
          <w:rStyle w:val="aa"/>
        </w:rPr>
        <w:footnoteReference w:id="3"/>
      </w:r>
      <w:r>
        <w:t>, чтобы сделать окончательный выбор примеров для доклада ЕЭК. На этом этапе можно принять решение о том, на какие истории следует обратить внимание в докладе, а какие привести в кратком изложении. Любое краткое изложение может содержать ссылки на сайты, где можно найти более подробную информацию по каждой из историй; таким образом, ни одна организация не должна быть исключена из доклада.</w:t>
      </w:r>
    </w:p>
    <w:p w14:paraId="7C50BF48" w14:textId="77777777" w:rsidR="00A35DE0" w:rsidRPr="007365F4" w:rsidRDefault="00A35DE0" w:rsidP="00A35DE0">
      <w:pPr>
        <w:pStyle w:val="SingleTxtG"/>
      </w:pPr>
      <w:r>
        <w:t>16.</w:t>
      </w:r>
      <w:r>
        <w:tab/>
        <w:t>На вопросы по каждому подпоказателю можно ответить на следующих двух или трех уровнях:</w:t>
      </w:r>
    </w:p>
    <w:p w14:paraId="40C71ED3" w14:textId="5118DC34" w:rsidR="00A35DE0" w:rsidRPr="007365F4" w:rsidRDefault="00A35DE0" w:rsidP="00A35DE0">
      <w:pPr>
        <w:pStyle w:val="Bullet1G"/>
        <w:numPr>
          <w:ilvl w:val="0"/>
          <w:numId w:val="22"/>
        </w:numPr>
        <w:suppressAutoHyphens w:val="0"/>
      </w:pPr>
      <w:r>
        <w:t xml:space="preserve">первый уровень — простой ответ </w:t>
      </w:r>
      <w:r w:rsidR="00D76DA6">
        <w:t>«</w:t>
      </w:r>
      <w:r>
        <w:t>Да/Нет</w:t>
      </w:r>
      <w:r w:rsidR="00D76DA6">
        <w:t>»</w:t>
      </w:r>
      <w:r>
        <w:t>;</w:t>
      </w:r>
    </w:p>
    <w:p w14:paraId="31F64D42" w14:textId="26EF49C9" w:rsidR="00A35DE0" w:rsidRPr="003766B9" w:rsidRDefault="00A35DE0" w:rsidP="00A35DE0">
      <w:pPr>
        <w:pStyle w:val="Bullet1G"/>
        <w:numPr>
          <w:ilvl w:val="0"/>
          <w:numId w:val="22"/>
        </w:numPr>
        <w:suppressAutoHyphens w:val="0"/>
      </w:pPr>
      <w:r>
        <w:t>второй уровень — запрашивается более подробная информация, которая может потребовать заполнения таблицы или более глубокого ответа на вопросы. По</w:t>
      </w:r>
      <w:r w:rsidR="0043534D">
        <w:t> </w:t>
      </w:r>
      <w:r>
        <w:t>некоторым вопросам подробная информация может быть представлена в приложении. Если количественная информация отсутствует, респонденты могут предоставить качественные, описательные ответы о работе своей страны над конкретным вопросом</w:t>
      </w:r>
      <w:r w:rsidR="00D238C5">
        <w:t>. П</w:t>
      </w:r>
      <w:r>
        <w:t>ри предоставлении качественных данных, избегая излишней описательности, респонденты должны указывать достаточное количество деталей, чтобы другие могли понять пример; они должны приводить примеры действий и их последствий, а не сосредотачиваться на вспомогательных описаниях</w:t>
      </w:r>
      <w:r w:rsidR="006F38C8">
        <w:t>;</w:t>
      </w:r>
    </w:p>
    <w:p w14:paraId="50FEB731" w14:textId="7359E9E1" w:rsidR="00A35DE0" w:rsidRPr="003766B9" w:rsidRDefault="00A35DE0" w:rsidP="00A35DE0">
      <w:pPr>
        <w:pStyle w:val="Bullet1G"/>
        <w:numPr>
          <w:ilvl w:val="0"/>
          <w:numId w:val="22"/>
        </w:numPr>
        <w:suppressAutoHyphens w:val="0"/>
      </w:pPr>
      <w:r>
        <w:t xml:space="preserve">третий уровень — требуется представить примеры текущей практики или ссылки на другие документы (например, описание политики, доклады, веб-сайты, материалы или доклады по проектам), которые могут выступать в качестве подтверждающих материалов. Во многих случаях они могут быть частью ответа для второго уровня, но при этом также могут содержать информацию для вопросов более открытого типа, помещаемых после каждого показателя. При выборе примеров можно использовать описанный выше подход </w:t>
      </w:r>
      <w:r w:rsidR="00D76DA6">
        <w:t>«</w:t>
      </w:r>
      <w:r>
        <w:t>наиболее значительных изменений</w:t>
      </w:r>
      <w:r w:rsidR="00D76DA6">
        <w:t>»</w:t>
      </w:r>
      <w:r w:rsidR="00F60F89">
        <w:t>;</w:t>
      </w:r>
    </w:p>
    <w:p w14:paraId="56C6A0F3" w14:textId="30A06160" w:rsidR="00A35DE0" w:rsidRPr="003766B9" w:rsidRDefault="00F60F89" w:rsidP="00A35DE0">
      <w:pPr>
        <w:pStyle w:val="Bullet1G"/>
        <w:numPr>
          <w:ilvl w:val="0"/>
          <w:numId w:val="22"/>
        </w:numPr>
        <w:suppressAutoHyphens w:val="0"/>
      </w:pPr>
      <w:r>
        <w:t>р</w:t>
      </w:r>
      <w:r w:rsidR="00A35DE0">
        <w:t>еспонденты должны убедиться, что они заполнили все таблицы в приложениях; они служат расширениями конкретных подпоказателей.</w:t>
      </w:r>
    </w:p>
    <w:p w14:paraId="1D19756D" w14:textId="77777777" w:rsidR="00A35DE0" w:rsidRPr="003766B9" w:rsidRDefault="00A35DE0" w:rsidP="00A35DE0">
      <w:pPr>
        <w:pStyle w:val="SingleTxtG"/>
      </w:pPr>
      <w:r>
        <w:t>17.</w:t>
      </w:r>
      <w:r>
        <w:tab/>
        <w:t>Если какой-либо вопрос остался без ответа или таблица осталась незаполненной, необходимо дать надлежащее объяснение соответствующего пробела; такие объяснения также представляют собой ценную информацию. Если данные отсутствуют, это также может побудить респондентов к проведению дальнейших исследований или мониторинга и оценки деятельности, связанной с ОУР, в их стране. Такая исследовательская работа может проводиться на добровольной основе.</w:t>
      </w:r>
    </w:p>
    <w:p w14:paraId="74BAA6B1" w14:textId="45697E37" w:rsidR="00A35DE0" w:rsidRPr="003766B9" w:rsidRDefault="00A35DE0" w:rsidP="00A35DE0">
      <w:pPr>
        <w:pStyle w:val="SingleTxtG"/>
      </w:pPr>
      <w:r>
        <w:t>18.</w:t>
      </w:r>
      <w:r>
        <w:tab/>
        <w:t>И</w:t>
      </w:r>
      <w:r w:rsidR="001A7DBE">
        <w:t>,</w:t>
      </w:r>
      <w:r>
        <w:t xml:space="preserve"> хотя эта форма отчетности предназначена для предоставления информации об осуществлении Стратегии ЕЭК ООН для ОУР, респонденты могут проанализировать и использовать собранные данные для мониторинга, оценки и отчетности по другим международным инструментам в области ОУР, таким как:</w:t>
      </w:r>
    </w:p>
    <w:p w14:paraId="3799DB2C" w14:textId="6110ED20" w:rsidR="00A35DE0" w:rsidRPr="003766B9" w:rsidRDefault="00A35DE0" w:rsidP="00A35DE0">
      <w:pPr>
        <w:pStyle w:val="Bullet1G"/>
        <w:numPr>
          <w:ilvl w:val="0"/>
          <w:numId w:val="22"/>
        </w:numPr>
        <w:suppressAutoHyphens w:val="0"/>
      </w:pPr>
      <w:r>
        <w:t xml:space="preserve">Рамочная программа Организации Объединенных Наций по вопросам образования, науки и культуры (ЮНЕСКО) </w:t>
      </w:r>
      <w:r w:rsidR="00D76DA6">
        <w:t>«</w:t>
      </w:r>
      <w:r>
        <w:t>ОУР на период до 2030</w:t>
      </w:r>
      <w:r w:rsidR="00224CB7">
        <w:t> год</w:t>
      </w:r>
      <w:r>
        <w:t>а</w:t>
      </w:r>
      <w:r w:rsidR="00D76DA6">
        <w:t>»</w:t>
      </w:r>
      <w:r>
        <w:t>;</w:t>
      </w:r>
    </w:p>
    <w:p w14:paraId="2479FF07" w14:textId="4283EC6C" w:rsidR="00A35DE0" w:rsidRPr="003766B9" w:rsidRDefault="00A35DE0" w:rsidP="00A35DE0">
      <w:pPr>
        <w:pStyle w:val="Bullet1G"/>
        <w:numPr>
          <w:ilvl w:val="0"/>
          <w:numId w:val="22"/>
        </w:numPr>
        <w:suppressAutoHyphens w:val="0"/>
      </w:pPr>
      <w:r>
        <w:t>Европейская система компетенций в области устойчивого развития (</w:t>
      </w:r>
      <w:r w:rsidR="00D76DA6">
        <w:t>«</w:t>
      </w:r>
      <w:r>
        <w:t>GreenComp</w:t>
      </w:r>
      <w:r w:rsidR="00D76DA6">
        <w:t>»</w:t>
      </w:r>
      <w:r>
        <w:t>);</w:t>
      </w:r>
    </w:p>
    <w:p w14:paraId="7739736D" w14:textId="77777777" w:rsidR="00A35DE0" w:rsidRPr="003766B9" w:rsidRDefault="00A35DE0" w:rsidP="00A35DE0">
      <w:pPr>
        <w:pStyle w:val="Bullet1G"/>
        <w:numPr>
          <w:ilvl w:val="0"/>
          <w:numId w:val="22"/>
        </w:numPr>
        <w:suppressAutoHyphens w:val="0"/>
      </w:pPr>
      <w:r>
        <w:t>отчетность по Целям в области устойчивого развития и, в частности, по Цели 4 и задаче 4.7;</w:t>
      </w:r>
    </w:p>
    <w:p w14:paraId="720E0C2A" w14:textId="0D9602FB" w:rsidR="00A35DE0" w:rsidRPr="003766B9" w:rsidRDefault="00A35DE0" w:rsidP="00A35DE0">
      <w:pPr>
        <w:pStyle w:val="Bullet1G"/>
        <w:numPr>
          <w:ilvl w:val="0"/>
          <w:numId w:val="22"/>
        </w:numPr>
        <w:suppressAutoHyphens w:val="0"/>
      </w:pPr>
      <w:r>
        <w:t>отчетность по глобальному образованию, в частности Рекомендация ЮНЕСКО о воспитании в духе международного взаимопонимания, сотрудничества и мира и воспитании в духе прав человека и основных свобод</w:t>
      </w:r>
      <w:r w:rsidRPr="00216102">
        <w:rPr>
          <w:sz w:val="18"/>
          <w:vertAlign w:val="superscript"/>
          <w:lang w:eastAsia="en-US"/>
        </w:rPr>
        <w:footnoteReference w:id="4"/>
      </w:r>
      <w:r w:rsidR="008F6FAA">
        <w:t>.</w:t>
      </w:r>
    </w:p>
    <w:p w14:paraId="1FF592EF" w14:textId="77777777" w:rsidR="00A35DE0" w:rsidRPr="003766B9" w:rsidRDefault="00A35DE0" w:rsidP="00A35DE0">
      <w:pPr>
        <w:pStyle w:val="SingleTxtG"/>
      </w:pPr>
      <w:r>
        <w:t>19.</w:t>
      </w:r>
      <w:r>
        <w:tab/>
        <w:t>Аналогичным образом доклады об осуществлении в рамках других процессов, связанных с ОУР, могут быть использованы для предоставления информации или внесения вклада в отчетность об осуществлении Стратегии ЕЭК ООН для ОУР и разработку национальных докладов об осуществлении.</w:t>
      </w:r>
    </w:p>
    <w:p w14:paraId="2B128F0D" w14:textId="05D77868" w:rsidR="00A35DE0" w:rsidRPr="003766B9" w:rsidRDefault="00A35DE0" w:rsidP="00A35DE0">
      <w:pPr>
        <w:pStyle w:val="SingleTxtG"/>
      </w:pPr>
      <w:r>
        <w:t>20.</w:t>
      </w:r>
      <w:r>
        <w:tab/>
        <w:t xml:space="preserve">В прошлом государства-члены ознакомились со Стратегией ЕЭК ООН для ОУР, Глобальной программой действий ЮНЕСКО по образованию в интересах устойчивого развития и, в последнее время, с рекомендацией Совета Европейского союза по обучению в интересах </w:t>
      </w:r>
      <w:r w:rsidR="00D76DA6">
        <w:t>«</w:t>
      </w:r>
      <w:r>
        <w:t>зеленого</w:t>
      </w:r>
      <w:r w:rsidR="00D76DA6">
        <w:t>»</w:t>
      </w:r>
      <w:r>
        <w:t xml:space="preserve"> перехода и устойчивого развития</w:t>
      </w:r>
      <w:r w:rsidRPr="00216102">
        <w:rPr>
          <w:sz w:val="18"/>
          <w:vertAlign w:val="superscript"/>
        </w:rPr>
        <w:footnoteReference w:id="5"/>
      </w:r>
      <w:r>
        <w:t>. Эти усилия позволяют привлекать конкретные заинтересованные стороны и способствуют ключевым действиям в отношении политики, учебных программ, компетенций учителей и преподавателей и материалов по ОУР, а также общеучрежденческих подходов, управления качеством образования и вовлечения молодежи. Именно по этой причине конкретные вопросы посвящены данным аспектам, при этом там, где это необходимо, соответствующие связи выделяются с помощью сносок и ссылок на документы.</w:t>
      </w:r>
    </w:p>
    <w:p w14:paraId="0206B05B" w14:textId="1C5352D6" w:rsidR="00A35DE0" w:rsidRPr="003766B9" w:rsidRDefault="00A35DE0" w:rsidP="00A35DE0">
      <w:pPr>
        <w:pStyle w:val="SingleTxtG"/>
      </w:pPr>
      <w:r>
        <w:t>21.</w:t>
      </w:r>
      <w:r>
        <w:tab/>
        <w:t>ЕЭК будет оказывать поддержку субъектам, которые берут на себя ответственность за национальную отчетность и подготовку национальных докладов об осуществлении. Члены Специальной группы по показателям готовы (через секретариат ЕЭК) ответить на конкретные вопросы и предоставить рекомендации, касающиеся этого процесса. В ближайшие</w:t>
      </w:r>
      <w:r w:rsidR="00224CB7">
        <w:t> год</w:t>
      </w:r>
      <w:r>
        <w:t xml:space="preserve">ы будут введены в действие механизмы обучения и другие механизмы поддержки отчетности. В этой связи Руководящий комитет ЕЭК по ОУР может рассмотреть вопрос о создании рамочной системы оказания помощи, включающей, при условии принятия соответствующего решения Руководящим комитетом, учреждение </w:t>
      </w:r>
      <w:r w:rsidR="00D76DA6">
        <w:t>«</w:t>
      </w:r>
      <w:r>
        <w:t>группы поддержки</w:t>
      </w:r>
      <w:r w:rsidR="00D76DA6">
        <w:t>»</w:t>
      </w:r>
      <w:r>
        <w:t xml:space="preserve"> для мониторинга и оценки осуществления Стратегии, состоящей из экспертов и опытных национальных координаторов Руководящего комитета, которая будет помогать государствам-членам в реализации их процесса мониторинга и оценки посредством мероприятий по наращиванию потенциала, таких как организация консультативных рабочих совещаний (в очном режиме и режиме онлайн) на региональном, субрегиональном и национальном уровнях, причем последние будут направлены на удовлетворение конкретных потребностей заинтересованных стран. Финансирование организации таких рабочих совещаний и предоставление помощи внешними экспертами могут быть обеспечены за счет финансовых взносов или взносов натурой государств-членов.</w:t>
      </w:r>
    </w:p>
    <w:p w14:paraId="55A8433D" w14:textId="0D399ED1" w:rsidR="00A35DE0" w:rsidRPr="003766B9" w:rsidRDefault="00A35DE0" w:rsidP="00A35DE0">
      <w:pPr>
        <w:pStyle w:val="SingleTxtG"/>
      </w:pPr>
      <w:r>
        <w:t>22.</w:t>
      </w:r>
      <w:r>
        <w:tab/>
        <w:t xml:space="preserve">Наконец, Специальная группа по показателям признает, что </w:t>
      </w:r>
      <w:r w:rsidR="00D76DA6">
        <w:t>«</w:t>
      </w:r>
      <w:r>
        <w:t>дорога</w:t>
      </w:r>
      <w:r w:rsidR="00D76DA6">
        <w:t>»</w:t>
      </w:r>
      <w:r>
        <w:t xml:space="preserve"> сама по себе значит не менее, чем </w:t>
      </w:r>
      <w:r w:rsidR="00D76DA6">
        <w:t>«</w:t>
      </w:r>
      <w:r>
        <w:t>место назначения</w:t>
      </w:r>
      <w:r w:rsidR="00D76DA6">
        <w:t>»</w:t>
      </w:r>
      <w:r>
        <w:t>, и что такая отчетность является важнейшей частью самого процесса осуществления.</w:t>
      </w:r>
    </w:p>
    <w:p w14:paraId="5EBD3147" w14:textId="1E92891D" w:rsidR="00E12C5F" w:rsidRPr="008D53B6" w:rsidRDefault="00A35DE0" w:rsidP="00A35DE0">
      <w:pPr>
        <w:spacing w:before="240"/>
        <w:jc w:val="center"/>
      </w:pPr>
      <w:r w:rsidRPr="003766B9">
        <w:rPr>
          <w:u w:val="single"/>
        </w:rPr>
        <w:tab/>
      </w:r>
      <w:r w:rsidRPr="003766B9">
        <w:rPr>
          <w:u w:val="single"/>
        </w:rPr>
        <w:tab/>
      </w:r>
      <w:r w:rsidRPr="003766B9">
        <w:rPr>
          <w:u w:val="single"/>
        </w:rPr>
        <w:tab/>
      </w:r>
    </w:p>
    <w:sectPr w:rsidR="00E12C5F" w:rsidRPr="008D53B6" w:rsidSect="00A35DE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9559" w14:textId="77777777" w:rsidR="00595B4D" w:rsidRPr="00A312BC" w:rsidRDefault="00595B4D" w:rsidP="00A312BC"/>
  </w:endnote>
  <w:endnote w:type="continuationSeparator" w:id="0">
    <w:p w14:paraId="0E8B701F" w14:textId="77777777" w:rsidR="00595B4D" w:rsidRPr="00A312BC" w:rsidRDefault="00595B4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A28A" w14:textId="18245AB7" w:rsidR="00A35DE0" w:rsidRPr="00A35DE0" w:rsidRDefault="00A35DE0">
    <w:pPr>
      <w:pStyle w:val="a8"/>
    </w:pPr>
    <w:r w:rsidRPr="00A35DE0">
      <w:rPr>
        <w:b/>
        <w:sz w:val="18"/>
      </w:rPr>
      <w:fldChar w:fldCharType="begin"/>
    </w:r>
    <w:r w:rsidRPr="00A35DE0">
      <w:rPr>
        <w:b/>
        <w:sz w:val="18"/>
      </w:rPr>
      <w:instrText xml:space="preserve"> PAGE  \* MERGEFORMAT </w:instrText>
    </w:r>
    <w:r w:rsidRPr="00A35DE0">
      <w:rPr>
        <w:b/>
        <w:sz w:val="18"/>
      </w:rPr>
      <w:fldChar w:fldCharType="separate"/>
    </w:r>
    <w:r w:rsidRPr="00A35DE0">
      <w:rPr>
        <w:b/>
        <w:noProof/>
        <w:sz w:val="18"/>
      </w:rPr>
      <w:t>2</w:t>
    </w:r>
    <w:r w:rsidRPr="00A35DE0">
      <w:rPr>
        <w:b/>
        <w:sz w:val="18"/>
      </w:rPr>
      <w:fldChar w:fldCharType="end"/>
    </w:r>
    <w:r>
      <w:rPr>
        <w:b/>
        <w:sz w:val="18"/>
      </w:rPr>
      <w:tab/>
    </w:r>
    <w:r>
      <w:t>GE.24-05382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FB3C" w14:textId="49C30740" w:rsidR="00A35DE0" w:rsidRPr="00A35DE0" w:rsidRDefault="00A35DE0" w:rsidP="00A35DE0">
    <w:pPr>
      <w:pStyle w:val="a8"/>
      <w:tabs>
        <w:tab w:val="clear" w:pos="9639"/>
        <w:tab w:val="right" w:pos="9638"/>
      </w:tabs>
      <w:rPr>
        <w:b/>
        <w:sz w:val="18"/>
      </w:rPr>
    </w:pPr>
    <w:r>
      <w:t>GE.24-05382</w:t>
    </w:r>
    <w:r>
      <w:tab/>
    </w:r>
    <w:r w:rsidRPr="00A35DE0">
      <w:rPr>
        <w:b/>
        <w:sz w:val="18"/>
      </w:rPr>
      <w:fldChar w:fldCharType="begin"/>
    </w:r>
    <w:r w:rsidRPr="00A35DE0">
      <w:rPr>
        <w:b/>
        <w:sz w:val="18"/>
      </w:rPr>
      <w:instrText xml:space="preserve"> PAGE  \* MERGEFORMAT </w:instrText>
    </w:r>
    <w:r w:rsidRPr="00A35DE0">
      <w:rPr>
        <w:b/>
        <w:sz w:val="18"/>
      </w:rPr>
      <w:fldChar w:fldCharType="separate"/>
    </w:r>
    <w:r w:rsidRPr="00A35DE0">
      <w:rPr>
        <w:b/>
        <w:noProof/>
        <w:sz w:val="18"/>
      </w:rPr>
      <w:t>3</w:t>
    </w:r>
    <w:r w:rsidRPr="00A35D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8DE2" w14:textId="5CCA8B84" w:rsidR="00042B72" w:rsidRPr="00A35DE0" w:rsidRDefault="00A35DE0" w:rsidP="00A35DE0">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0214372" wp14:editId="6E8AC50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24-05382  (R)</w:t>
    </w:r>
    <w:r>
      <w:rPr>
        <w:noProof/>
      </w:rPr>
      <w:drawing>
        <wp:anchor distT="0" distB="0" distL="114300" distR="114300" simplePos="0" relativeHeight="251659264" behindDoc="0" locked="0" layoutInCell="1" allowOverlap="1" wp14:anchorId="2CC6F4A1" wp14:editId="39EE5CA2">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020424  040424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0A53" w14:textId="77777777" w:rsidR="00595B4D" w:rsidRPr="001075E9" w:rsidRDefault="00595B4D" w:rsidP="001075E9">
      <w:pPr>
        <w:tabs>
          <w:tab w:val="right" w:pos="2155"/>
        </w:tabs>
        <w:spacing w:after="80" w:line="240" w:lineRule="auto"/>
        <w:ind w:left="680"/>
        <w:rPr>
          <w:u w:val="single"/>
        </w:rPr>
      </w:pPr>
      <w:r>
        <w:rPr>
          <w:u w:val="single"/>
        </w:rPr>
        <w:tab/>
      </w:r>
    </w:p>
  </w:footnote>
  <w:footnote w:type="continuationSeparator" w:id="0">
    <w:p w14:paraId="70AB6104" w14:textId="77777777" w:rsidR="00595B4D" w:rsidRDefault="00595B4D" w:rsidP="00407B78">
      <w:pPr>
        <w:tabs>
          <w:tab w:val="right" w:pos="2155"/>
        </w:tabs>
        <w:spacing w:after="80"/>
        <w:ind w:left="680"/>
        <w:rPr>
          <w:u w:val="single"/>
        </w:rPr>
      </w:pPr>
      <w:r>
        <w:rPr>
          <w:u w:val="single"/>
        </w:rPr>
        <w:tab/>
      </w:r>
    </w:p>
  </w:footnote>
  <w:footnote w:id="1">
    <w:p w14:paraId="6EF4C6EC" w14:textId="77777777" w:rsidR="004F2F8F" w:rsidRPr="003766B9" w:rsidRDefault="004F2F8F" w:rsidP="004F2F8F">
      <w:pPr>
        <w:pStyle w:val="ad"/>
      </w:pPr>
      <w:r>
        <w:tab/>
      </w:r>
      <w:r>
        <w:rPr>
          <w:rStyle w:val="aa"/>
        </w:rPr>
        <w:footnoteRef/>
      </w:r>
      <w:r>
        <w:tab/>
        <w:t>В соответствии со Стратегией Европейской экономической комиссии Организации Объединенных Наций для образования в интересах устойчивого развития (ОУР) 2005 года каждой стране было предложено назначить то или иное лицо в министерстве образования и/или министерстве окружающей среды в качестве «национального координатора». С</w:t>
      </w:r>
      <w:r>
        <w:rPr>
          <w:lang w:val="fr-CH"/>
        </w:rPr>
        <w:t> </w:t>
      </w:r>
      <w:r>
        <w:t>развитием ОУР соответствующее лицо(а) может (могут) иметь более широкий мандат, охватывающий ответственность за ОУР на национальном уровне и руководство такой отчетностью.</w:t>
      </w:r>
    </w:p>
  </w:footnote>
  <w:footnote w:id="2">
    <w:p w14:paraId="7AD153A6" w14:textId="18857ED4" w:rsidR="00A35DE0" w:rsidRPr="00A35DE0" w:rsidRDefault="00A35DE0" w:rsidP="00A35DE0">
      <w:pPr>
        <w:pStyle w:val="ad"/>
      </w:pPr>
      <w:r>
        <w:tab/>
      </w:r>
      <w:r>
        <w:rPr>
          <w:rStyle w:val="aa"/>
        </w:rPr>
        <w:footnoteRef/>
      </w:r>
      <w:r>
        <w:tab/>
        <w:t>Большинство национальных докладов об осуществлении за 2018</w:t>
      </w:r>
      <w:r w:rsidR="00224CB7">
        <w:t> год</w:t>
      </w:r>
      <w:r>
        <w:t xml:space="preserve"> доступны по </w:t>
      </w:r>
      <w:r>
        <w:rPr>
          <w:lang w:val="es-ES"/>
        </w:rPr>
        <w:t>URL</w:t>
      </w:r>
      <w:r>
        <w:t xml:space="preserve">: </w:t>
      </w:r>
      <w:hyperlink r:id="rId1" w:history="1">
        <w:r w:rsidRPr="00FA203E">
          <w:rPr>
            <w:rStyle w:val="af1"/>
          </w:rPr>
          <w:t>https://unece.org/national-implementation-reports</w:t>
        </w:r>
      </w:hyperlink>
      <w:r>
        <w:t>.</w:t>
      </w:r>
      <w:r w:rsidRPr="00A35DE0">
        <w:t xml:space="preserve"> </w:t>
      </w:r>
    </w:p>
  </w:footnote>
  <w:footnote w:id="3">
    <w:p w14:paraId="7C6A4497" w14:textId="77777777" w:rsidR="0043534D" w:rsidRPr="003766B9" w:rsidRDefault="0043534D" w:rsidP="0043534D">
      <w:pPr>
        <w:pStyle w:val="ad"/>
      </w:pPr>
      <w:r>
        <w:tab/>
      </w:r>
      <w:r>
        <w:rPr>
          <w:rStyle w:val="aa"/>
        </w:rPr>
        <w:footnoteRef/>
      </w:r>
      <w:r>
        <w:tab/>
        <w:t>В этой связи целесообразно проконсультироваться с коллегами из неправительственных организаций (НПО); они могут обладать опытом применения подходов, основанных на широком участии.</w:t>
      </w:r>
    </w:p>
  </w:footnote>
  <w:footnote w:id="4">
    <w:p w14:paraId="7B008C59" w14:textId="77777777" w:rsidR="00A35DE0" w:rsidRPr="00A35DE0" w:rsidRDefault="00A35DE0" w:rsidP="00A35DE0">
      <w:pPr>
        <w:pStyle w:val="ad"/>
        <w:rPr>
          <w:lang w:val="en-US"/>
        </w:rPr>
      </w:pPr>
      <w:r>
        <w:tab/>
      </w:r>
      <w:r>
        <w:rPr>
          <w:rStyle w:val="aa"/>
        </w:rPr>
        <w:footnoteRef/>
      </w:r>
      <w:r w:rsidRPr="003766B9">
        <w:rPr>
          <w:lang w:val="en-US"/>
        </w:rPr>
        <w:tab/>
        <w:t xml:space="preserve">United Nations Educational, Scientific and Cultural Organization (UNESCO), </w:t>
      </w:r>
      <w:r w:rsidRPr="00FA203E">
        <w:rPr>
          <w:i/>
          <w:iCs/>
          <w:lang w:val="en-US"/>
        </w:rPr>
        <w:t>Records of the General Conference, Eighteenth Session, Paris, 17 October–23 November 1974, vol. 1: Resolutions</w:t>
      </w:r>
      <w:r w:rsidRPr="003766B9">
        <w:rPr>
          <w:lang w:val="en-US"/>
        </w:rPr>
        <w:t xml:space="preserve"> (Paris, 1975), pp. 147–154.</w:t>
      </w:r>
    </w:p>
  </w:footnote>
  <w:footnote w:id="5">
    <w:p w14:paraId="5F153ADA" w14:textId="77777777" w:rsidR="00A35DE0" w:rsidRPr="00A35DE0" w:rsidRDefault="00A35DE0" w:rsidP="00A35DE0">
      <w:pPr>
        <w:pStyle w:val="ad"/>
        <w:rPr>
          <w:lang w:val="en-US"/>
        </w:rPr>
      </w:pPr>
      <w:r w:rsidRPr="003766B9">
        <w:rPr>
          <w:lang w:val="en-US"/>
        </w:rPr>
        <w:tab/>
      </w:r>
      <w:r>
        <w:rPr>
          <w:rStyle w:val="aa"/>
        </w:rPr>
        <w:footnoteRef/>
      </w:r>
      <w:r w:rsidRPr="003766B9">
        <w:rPr>
          <w:lang w:val="en-US"/>
        </w:rPr>
        <w:tab/>
        <w:t>Council of the European Union, Proposal for a Council recommendation on learning for environmental sustainability, Interinstitutional file No. 2022/0004(NLE), Brussels, 25 May 2022, 9242/22,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1278" w14:textId="3CC31E3A" w:rsidR="00A35DE0" w:rsidRPr="00A35DE0" w:rsidRDefault="002A3604">
    <w:pPr>
      <w:pStyle w:val="a5"/>
    </w:pPr>
    <w:r>
      <w:fldChar w:fldCharType="begin"/>
    </w:r>
    <w:r>
      <w:instrText xml:space="preserve"> TITLE  \* MERGEFORMAT </w:instrText>
    </w:r>
    <w:r>
      <w:fldChar w:fldCharType="separate"/>
    </w:r>
    <w:r w:rsidR="00D87BF2">
      <w:t>ECE/CEP/AC.13/2024/6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6448" w14:textId="49E88008" w:rsidR="00A35DE0" w:rsidRPr="00A35DE0" w:rsidRDefault="002A3604" w:rsidP="00A35DE0">
    <w:pPr>
      <w:pStyle w:val="a5"/>
      <w:jc w:val="right"/>
    </w:pPr>
    <w:r>
      <w:fldChar w:fldCharType="begin"/>
    </w:r>
    <w:r>
      <w:instrText xml:space="preserve"> TITLE  \* MERGEFORMAT </w:instrText>
    </w:r>
    <w:r>
      <w:fldChar w:fldCharType="separate"/>
    </w:r>
    <w:r w:rsidR="00D87BF2">
      <w:t>ECE/CEP/AC.13/2024/6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D479" w14:textId="77777777" w:rsidR="00A35DE0" w:rsidRDefault="00A35DE0" w:rsidP="00A35DE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2"/>
  </w:num>
  <w:num w:numId="18" w16cid:durableId="961153681">
    <w:abstractNumId w:val="14"/>
  </w:num>
  <w:num w:numId="19" w16cid:durableId="1272468768">
    <w:abstractNumId w:val="16"/>
  </w:num>
  <w:num w:numId="20" w16cid:durableId="807743971">
    <w:abstractNumId w:val="12"/>
  </w:num>
  <w:num w:numId="21" w16cid:durableId="1591162185">
    <w:abstractNumId w:val="14"/>
  </w:num>
  <w:num w:numId="22" w16cid:durableId="88795459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4D"/>
    <w:rsid w:val="00033EE1"/>
    <w:rsid w:val="00042B72"/>
    <w:rsid w:val="000558BD"/>
    <w:rsid w:val="000B57E7"/>
    <w:rsid w:val="000B6373"/>
    <w:rsid w:val="000E4E5B"/>
    <w:rsid w:val="000F09DF"/>
    <w:rsid w:val="000F61B2"/>
    <w:rsid w:val="001075E9"/>
    <w:rsid w:val="0014152F"/>
    <w:rsid w:val="0016353E"/>
    <w:rsid w:val="00180183"/>
    <w:rsid w:val="0018024D"/>
    <w:rsid w:val="0018649F"/>
    <w:rsid w:val="00196389"/>
    <w:rsid w:val="001A7DBE"/>
    <w:rsid w:val="001B3EF6"/>
    <w:rsid w:val="001C7A89"/>
    <w:rsid w:val="00224CB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1EAE"/>
    <w:rsid w:val="00381C24"/>
    <w:rsid w:val="00387CD4"/>
    <w:rsid w:val="003958D0"/>
    <w:rsid w:val="003A0D43"/>
    <w:rsid w:val="003A48CE"/>
    <w:rsid w:val="003B00E5"/>
    <w:rsid w:val="003E0B46"/>
    <w:rsid w:val="00407B78"/>
    <w:rsid w:val="00424203"/>
    <w:rsid w:val="0043534D"/>
    <w:rsid w:val="00452493"/>
    <w:rsid w:val="00453318"/>
    <w:rsid w:val="00454AF2"/>
    <w:rsid w:val="00454E07"/>
    <w:rsid w:val="00472C5C"/>
    <w:rsid w:val="00485F8A"/>
    <w:rsid w:val="00487207"/>
    <w:rsid w:val="004E05B7"/>
    <w:rsid w:val="004F2F8F"/>
    <w:rsid w:val="00500CB0"/>
    <w:rsid w:val="0050108D"/>
    <w:rsid w:val="00513081"/>
    <w:rsid w:val="00517901"/>
    <w:rsid w:val="00526683"/>
    <w:rsid w:val="00526DB8"/>
    <w:rsid w:val="005639C1"/>
    <w:rsid w:val="005709E0"/>
    <w:rsid w:val="00572E19"/>
    <w:rsid w:val="00595B4D"/>
    <w:rsid w:val="005961C8"/>
    <w:rsid w:val="005966F1"/>
    <w:rsid w:val="005D7914"/>
    <w:rsid w:val="005E2B41"/>
    <w:rsid w:val="005F0B42"/>
    <w:rsid w:val="00617A43"/>
    <w:rsid w:val="006345DB"/>
    <w:rsid w:val="00640F49"/>
    <w:rsid w:val="00680D03"/>
    <w:rsid w:val="00681A10"/>
    <w:rsid w:val="006A1ED8"/>
    <w:rsid w:val="006C2031"/>
    <w:rsid w:val="006D461A"/>
    <w:rsid w:val="006F35EE"/>
    <w:rsid w:val="006F38C8"/>
    <w:rsid w:val="007021FF"/>
    <w:rsid w:val="00712895"/>
    <w:rsid w:val="00734ACB"/>
    <w:rsid w:val="0074428C"/>
    <w:rsid w:val="007510F6"/>
    <w:rsid w:val="00757357"/>
    <w:rsid w:val="00792497"/>
    <w:rsid w:val="00794329"/>
    <w:rsid w:val="00806737"/>
    <w:rsid w:val="00825F8D"/>
    <w:rsid w:val="00834B71"/>
    <w:rsid w:val="0086445C"/>
    <w:rsid w:val="00894693"/>
    <w:rsid w:val="008A08D7"/>
    <w:rsid w:val="008A37C8"/>
    <w:rsid w:val="008B6909"/>
    <w:rsid w:val="008D53B6"/>
    <w:rsid w:val="008F6FAA"/>
    <w:rsid w:val="008F7609"/>
    <w:rsid w:val="00906890"/>
    <w:rsid w:val="00911BE4"/>
    <w:rsid w:val="00951972"/>
    <w:rsid w:val="009608F3"/>
    <w:rsid w:val="009A24AC"/>
    <w:rsid w:val="009C59D7"/>
    <w:rsid w:val="009C6FE6"/>
    <w:rsid w:val="009D211F"/>
    <w:rsid w:val="009D7E7D"/>
    <w:rsid w:val="00A02474"/>
    <w:rsid w:val="00A14DA8"/>
    <w:rsid w:val="00A312BC"/>
    <w:rsid w:val="00A35DE0"/>
    <w:rsid w:val="00A84021"/>
    <w:rsid w:val="00A84D35"/>
    <w:rsid w:val="00A917B3"/>
    <w:rsid w:val="00AB4B51"/>
    <w:rsid w:val="00B10CC7"/>
    <w:rsid w:val="00B209E6"/>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B3F34"/>
    <w:rsid w:val="00CE5A1A"/>
    <w:rsid w:val="00CF55F6"/>
    <w:rsid w:val="00D22F14"/>
    <w:rsid w:val="00D238C5"/>
    <w:rsid w:val="00D33D63"/>
    <w:rsid w:val="00D5253A"/>
    <w:rsid w:val="00D76DA6"/>
    <w:rsid w:val="00D873A8"/>
    <w:rsid w:val="00D87BF2"/>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148DF"/>
    <w:rsid w:val="00F2523A"/>
    <w:rsid w:val="00F43903"/>
    <w:rsid w:val="00F60F89"/>
    <w:rsid w:val="00F73C9D"/>
    <w:rsid w:val="00F94155"/>
    <w:rsid w:val="00F9783F"/>
    <w:rsid w:val="00FA203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4F433"/>
  <w15:docId w15:val="{C7FE712E-B5A6-42D4-BDCA-13CA81E5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u w:val="none"/>
    </w:rPr>
  </w:style>
  <w:style w:type="character" w:styleId="af2">
    <w:name w:val="FollowedHyperlink"/>
    <w:basedOn w:val="a0"/>
    <w:rsid w:val="00617A43"/>
    <w:rPr>
      <w:color w:val="0000FF"/>
      <w:u w:val="none"/>
    </w:rPr>
  </w:style>
  <w:style w:type="character" w:customStyle="1" w:styleId="SingleTxtGChar">
    <w:name w:val="_ Single Txt_G Char"/>
    <w:link w:val="SingleTxtG"/>
    <w:rsid w:val="00A35DE0"/>
    <w:rPr>
      <w:lang w:val="ru-RU" w:eastAsia="en-US"/>
    </w:rPr>
  </w:style>
  <w:style w:type="character" w:styleId="af3">
    <w:name w:val="Unresolved Mention"/>
    <w:basedOn w:val="a0"/>
    <w:uiPriority w:val="99"/>
    <w:semiHidden/>
    <w:unhideWhenUsed/>
    <w:rsid w:val="00A35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national-implementation-repo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8</Pages>
  <Words>2403</Words>
  <Characters>16636</Characters>
  <Application>Microsoft Office Word</Application>
  <DocSecurity>0</DocSecurity>
  <Lines>616</Lines>
  <Paragraphs>373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ECE/CEP/AC.13/2024/6</dc:title>
  <dc:subject/>
  <dc:creator>Olga OVTCHINNIKOVA</dc:creator>
  <cp:keywords/>
  <cp:lastModifiedBy>Olga Ovchinnikova</cp:lastModifiedBy>
  <cp:revision>2</cp:revision>
  <cp:lastPrinted>2008-01-15T07:58:00Z</cp:lastPrinted>
  <dcterms:created xsi:type="dcterms:W3CDTF">2024-04-04T12:09:00Z</dcterms:created>
  <dcterms:modified xsi:type="dcterms:W3CDTF">2024-04-04T12:09:00Z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