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FF50CB" w:rsidRPr="00FF50C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F50CB" w:rsidRDefault="00A50A26" w:rsidP="00B11BB4">
            <w:pPr>
              <w:spacing w:after="80"/>
            </w:pPr>
            <w:r w:rsidRPr="00FF50CB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F50CB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F50CB" w:rsidRDefault="00CD57D2" w:rsidP="008E4D7A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F50CB">
              <w:rPr>
                <w:b/>
                <w:sz w:val="28"/>
                <w:szCs w:val="28"/>
              </w:rPr>
              <w:t>INF.</w:t>
            </w:r>
            <w:r w:rsidR="0078202E">
              <w:rPr>
                <w:b/>
                <w:sz w:val="28"/>
                <w:szCs w:val="28"/>
              </w:rPr>
              <w:t>1</w:t>
            </w:r>
            <w:r w:rsidR="008E4D7A">
              <w:rPr>
                <w:b/>
                <w:sz w:val="28"/>
                <w:szCs w:val="28"/>
              </w:rPr>
              <w:t>2</w:t>
            </w:r>
          </w:p>
        </w:tc>
      </w:tr>
    </w:tbl>
    <w:p w:rsidR="00AB32F7" w:rsidRPr="005F4F0A" w:rsidRDefault="00AB32F7" w:rsidP="00AB32F7">
      <w:pPr>
        <w:spacing w:before="120"/>
        <w:rPr>
          <w:b/>
          <w:sz w:val="28"/>
          <w:szCs w:val="28"/>
        </w:rPr>
      </w:pPr>
      <w:r w:rsidRPr="005F4F0A">
        <w:rPr>
          <w:b/>
          <w:sz w:val="28"/>
          <w:szCs w:val="28"/>
        </w:rPr>
        <w:t>Economic Commission for Europe</w:t>
      </w:r>
    </w:p>
    <w:p w:rsidR="00AB32F7" w:rsidRPr="005F4F0A" w:rsidRDefault="00AB32F7" w:rsidP="00AB32F7">
      <w:pPr>
        <w:spacing w:before="120"/>
        <w:rPr>
          <w:sz w:val="28"/>
          <w:szCs w:val="28"/>
        </w:rPr>
      </w:pPr>
      <w:r w:rsidRPr="005F4F0A">
        <w:rPr>
          <w:sz w:val="28"/>
          <w:szCs w:val="28"/>
        </w:rPr>
        <w:t>Inland Transport Committee</w:t>
      </w:r>
    </w:p>
    <w:p w:rsidR="00AB32F7" w:rsidRPr="005F4F0A" w:rsidRDefault="00AB32F7" w:rsidP="00AB32F7">
      <w:pPr>
        <w:spacing w:before="120"/>
        <w:rPr>
          <w:b/>
          <w:sz w:val="24"/>
          <w:szCs w:val="24"/>
        </w:rPr>
      </w:pPr>
      <w:r w:rsidRPr="005F4F0A">
        <w:rPr>
          <w:b/>
          <w:sz w:val="24"/>
          <w:szCs w:val="24"/>
        </w:rPr>
        <w:t>Working Party on the Transport of Dangerous Goods</w:t>
      </w:r>
    </w:p>
    <w:p w:rsidR="00AB32F7" w:rsidRPr="005F4F0A" w:rsidRDefault="00C53A55" w:rsidP="00AB32F7">
      <w:pPr>
        <w:spacing w:before="120"/>
        <w:rPr>
          <w:b/>
        </w:rPr>
      </w:pPr>
      <w:r w:rsidRPr="005F4F0A">
        <w:rPr>
          <w:b/>
        </w:rPr>
        <w:t>Ninety-</w:t>
      </w:r>
      <w:bookmarkStart w:id="0" w:name="_GoBack"/>
      <w:bookmarkEnd w:id="0"/>
      <w:r w:rsidR="0078202E" w:rsidRPr="0078202E">
        <w:rPr>
          <w:b/>
          <w:bCs/>
          <w:lang w:val="en-US"/>
        </w:rPr>
        <w:t>ninth</w:t>
      </w:r>
      <w:r w:rsidR="00AB32F7" w:rsidRPr="005F4F0A">
        <w:rPr>
          <w:b/>
        </w:rPr>
        <w:t xml:space="preserve"> session</w:t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AB32F7" w:rsidRPr="005F4F0A">
        <w:rPr>
          <w:b/>
        </w:rPr>
        <w:tab/>
      </w:r>
      <w:r w:rsidR="008E4D7A">
        <w:rPr>
          <w:b/>
        </w:rPr>
        <w:t>5</w:t>
      </w:r>
      <w:r w:rsidR="0078202E">
        <w:rPr>
          <w:b/>
        </w:rPr>
        <w:t xml:space="preserve"> November</w:t>
      </w:r>
      <w:r w:rsidR="00CD5C2D" w:rsidRPr="005F4F0A">
        <w:rPr>
          <w:b/>
        </w:rPr>
        <w:t xml:space="preserve"> 2015</w:t>
      </w:r>
    </w:p>
    <w:p w:rsidR="00AB32F7" w:rsidRPr="005F4F0A" w:rsidRDefault="00AB32F7" w:rsidP="00AB32F7">
      <w:r w:rsidRPr="005F4F0A">
        <w:t xml:space="preserve">Geneva, </w:t>
      </w:r>
      <w:r w:rsidR="0078202E">
        <w:t>9 – 13 November</w:t>
      </w:r>
      <w:r w:rsidRPr="005F4F0A">
        <w:t xml:space="preserve"> 201</w:t>
      </w:r>
      <w:r w:rsidR="007D1E04" w:rsidRPr="005F4F0A">
        <w:t>5</w:t>
      </w:r>
    </w:p>
    <w:p w:rsidR="00DC2040" w:rsidRPr="005F4F0A" w:rsidRDefault="000130C0" w:rsidP="00DC2040">
      <w:r w:rsidRPr="005F4F0A">
        <w:t xml:space="preserve">Item </w:t>
      </w:r>
      <w:r w:rsidR="008E4D7A">
        <w:t>6(b)</w:t>
      </w:r>
      <w:r w:rsidRPr="005F4F0A">
        <w:t xml:space="preserve"> </w:t>
      </w:r>
      <w:r w:rsidR="00DC2040" w:rsidRPr="005F4F0A">
        <w:t>of the provisional agenda</w:t>
      </w:r>
    </w:p>
    <w:p w:rsidR="00DC2040" w:rsidRPr="008E4D7A" w:rsidRDefault="008E4D7A" w:rsidP="00DC2040">
      <w:pPr>
        <w:rPr>
          <w:b/>
        </w:rPr>
      </w:pPr>
      <w:r w:rsidRPr="008E4D7A">
        <w:rPr>
          <w:b/>
        </w:rPr>
        <w:t>Proposals for amendments to annexes A and B of ADR</w:t>
      </w:r>
      <w:r w:rsidRPr="008E4D7A">
        <w:rPr>
          <w:b/>
        </w:rPr>
        <w:t>:</w:t>
      </w:r>
    </w:p>
    <w:p w:rsidR="008E4D7A" w:rsidRPr="005F4F0A" w:rsidRDefault="008E4D7A" w:rsidP="00DC2040">
      <w:pPr>
        <w:rPr>
          <w:b/>
          <w:bCs/>
        </w:rPr>
      </w:pPr>
      <w:proofErr w:type="gramStart"/>
      <w:r w:rsidRPr="008E4D7A">
        <w:rPr>
          <w:b/>
        </w:rPr>
        <w:t>m</w:t>
      </w:r>
      <w:r w:rsidRPr="008E4D7A">
        <w:rPr>
          <w:b/>
        </w:rPr>
        <w:t>iscellaneous</w:t>
      </w:r>
      <w:proofErr w:type="gramEnd"/>
      <w:r w:rsidRPr="008E4D7A">
        <w:rPr>
          <w:b/>
        </w:rPr>
        <w:t xml:space="preserve"> proposals</w:t>
      </w:r>
    </w:p>
    <w:p w:rsidR="001209FC" w:rsidRPr="005F4F0A" w:rsidRDefault="0022321E" w:rsidP="006863E3">
      <w:pPr>
        <w:pStyle w:val="HChG"/>
        <w:jc w:val="both"/>
      </w:pPr>
      <w:r w:rsidRPr="005F4F0A">
        <w:tab/>
      </w:r>
      <w:r w:rsidRPr="005F4F0A">
        <w:tab/>
      </w:r>
      <w:r w:rsidR="008E4D7A">
        <w:t xml:space="preserve">References to </w:t>
      </w:r>
      <w:r w:rsidR="008E4D7A" w:rsidRPr="001D0548">
        <w:t>standard EN 590:2009 + A1:2010</w:t>
      </w:r>
    </w:p>
    <w:p w:rsidR="008E4D7A" w:rsidRPr="001D0548" w:rsidRDefault="008E4D7A" w:rsidP="008E4D7A">
      <w:pPr>
        <w:pStyle w:val="H1G"/>
      </w:pPr>
      <w:r>
        <w:tab/>
      </w:r>
      <w:r>
        <w:tab/>
      </w:r>
      <w:r>
        <w:t>Transmitted by the Government of Germany</w:t>
      </w:r>
    </w:p>
    <w:p w:rsidR="008E4D7A" w:rsidRPr="00505CC6" w:rsidRDefault="008E4D7A" w:rsidP="008E4D7A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Introduction</w:t>
      </w:r>
    </w:p>
    <w:p w:rsidR="008E4D7A" w:rsidRDefault="008E4D7A" w:rsidP="008E4D7A">
      <w:pPr>
        <w:pStyle w:val="SingleTxtG"/>
        <w:rPr>
          <w:lang w:val="en-US" w:eastAsia="de-DE"/>
        </w:rPr>
      </w:pPr>
      <w:r w:rsidRPr="00505CC6">
        <w:rPr>
          <w:lang w:val="en-US"/>
        </w:rPr>
        <w:t>In Chapter 3.2, Table A, in Table 4.1.1.21.6 and in paragr</w:t>
      </w:r>
      <w:r>
        <w:rPr>
          <w:lang w:val="en-US"/>
        </w:rPr>
        <w:t>a</w:t>
      </w:r>
      <w:r w:rsidRPr="00505CC6">
        <w:rPr>
          <w:lang w:val="en-US"/>
        </w:rPr>
        <w:t xml:space="preserve">ph 9.1.1.2 a) ADR in combination </w:t>
      </w:r>
      <w:r>
        <w:rPr>
          <w:lang w:val="en-US"/>
        </w:rPr>
        <w:t>with</w:t>
      </w:r>
      <w:r w:rsidRPr="00505CC6">
        <w:rPr>
          <w:lang w:val="en-US"/>
        </w:rPr>
        <w:t xml:space="preserve"> UN 1202 </w:t>
      </w:r>
      <w:r>
        <w:rPr>
          <w:lang w:val="en-US"/>
        </w:rPr>
        <w:t xml:space="preserve">a </w:t>
      </w:r>
      <w:r w:rsidRPr="00505CC6">
        <w:rPr>
          <w:lang w:val="en-US"/>
        </w:rPr>
        <w:t xml:space="preserve">reference is made to an applicable standard </w:t>
      </w:r>
      <w:r w:rsidRPr="00505CC6">
        <w:rPr>
          <w:lang w:val="en-US" w:eastAsia="de-DE"/>
        </w:rPr>
        <w:t>EN 590:2009 + A1:2010.</w:t>
      </w:r>
    </w:p>
    <w:p w:rsidR="008E4D7A" w:rsidRPr="00505CC6" w:rsidRDefault="008E4D7A" w:rsidP="008E4D7A">
      <w:pPr>
        <w:pStyle w:val="SingleTxtG"/>
        <w:rPr>
          <w:lang w:val="en-US"/>
        </w:rPr>
      </w:pPr>
      <w:r>
        <w:rPr>
          <w:lang w:val="en-US" w:eastAsia="de-DE"/>
        </w:rPr>
        <w:t>The G</w:t>
      </w:r>
      <w:r w:rsidRPr="00505CC6">
        <w:rPr>
          <w:lang w:val="en-US" w:eastAsia="de-DE"/>
        </w:rPr>
        <w:t xml:space="preserve">erman delegation noticed, that a </w:t>
      </w:r>
      <w:r w:rsidRPr="00505CC6">
        <w:rPr>
          <w:lang w:val="en-US"/>
        </w:rPr>
        <w:t xml:space="preserve">new version of this standard, i.e. </w:t>
      </w:r>
      <w:r w:rsidRPr="00FA40E4">
        <w:rPr>
          <w:b/>
          <w:lang w:val="en-US"/>
        </w:rPr>
        <w:t>EN 590:2013 + AC</w:t>
      </w:r>
      <w:proofErr w:type="gramStart"/>
      <w:r w:rsidRPr="00FA40E4">
        <w:rPr>
          <w:b/>
          <w:lang w:val="en-US"/>
        </w:rPr>
        <w:t>:2014</w:t>
      </w:r>
      <w:proofErr w:type="gramEnd"/>
      <w:r w:rsidRPr="00505CC6">
        <w:rPr>
          <w:lang w:val="en-US"/>
        </w:rPr>
        <w:t xml:space="preserve">, </w:t>
      </w:r>
      <w:r>
        <w:rPr>
          <w:lang w:val="en-US"/>
        </w:rPr>
        <w:t xml:space="preserve">which </w:t>
      </w:r>
      <w:r w:rsidRPr="00505CC6">
        <w:rPr>
          <w:lang w:val="en-US"/>
        </w:rPr>
        <w:t xml:space="preserve">came into </w:t>
      </w:r>
      <w:r>
        <w:rPr>
          <w:lang w:val="en-US"/>
        </w:rPr>
        <w:t>force September 2013/March 2014 and replaced the previous version.</w:t>
      </w:r>
    </w:p>
    <w:p w:rsidR="008E4D7A" w:rsidRPr="00505CC6" w:rsidRDefault="008E4D7A" w:rsidP="008E4D7A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Proposal 1</w:t>
      </w:r>
    </w:p>
    <w:p w:rsidR="008E4D7A" w:rsidRPr="00505CC6" w:rsidRDefault="008E4D7A" w:rsidP="008E4D7A">
      <w:pPr>
        <w:pStyle w:val="SingleTxtG"/>
        <w:rPr>
          <w:lang w:val="en-US"/>
        </w:rPr>
      </w:pPr>
      <w:r w:rsidRPr="00505CC6">
        <w:rPr>
          <w:lang w:val="en-US"/>
        </w:rPr>
        <w:t xml:space="preserve">Amend in </w:t>
      </w:r>
      <w:r w:rsidRPr="00D240E0">
        <w:rPr>
          <w:b/>
          <w:lang w:val="en-US"/>
        </w:rPr>
        <w:t xml:space="preserve">Table </w:t>
      </w:r>
      <w:proofErr w:type="gramStart"/>
      <w:r w:rsidRPr="00D240E0">
        <w:rPr>
          <w:b/>
          <w:lang w:val="en-US"/>
        </w:rPr>
        <w:t>A</w:t>
      </w:r>
      <w:proofErr w:type="gramEnd"/>
      <w:r w:rsidRPr="00D240E0">
        <w:rPr>
          <w:b/>
          <w:lang w:val="en-US"/>
        </w:rPr>
        <w:t>, Chapter 3.2</w:t>
      </w:r>
      <w:r w:rsidRPr="00505CC6">
        <w:rPr>
          <w:lang w:val="en-US"/>
        </w:rPr>
        <w:t xml:space="preserve"> ADR, the second entry for UN 1202 as follows:</w:t>
      </w:r>
    </w:p>
    <w:tbl>
      <w:tblPr>
        <w:tblW w:w="75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48"/>
      </w:tblGrid>
      <w:tr w:rsidR="008E4D7A" w:rsidRPr="002B2F44" w:rsidTr="008E4D7A">
        <w:trPr>
          <w:trHeight w:val="4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jc w:val="center"/>
              <w:rPr>
                <w:lang w:eastAsia="de-DE"/>
              </w:rPr>
            </w:pPr>
            <w:r w:rsidRPr="002B2F44">
              <w:rPr>
                <w:lang w:eastAsia="de-DE"/>
              </w:rPr>
              <w:t>UN No.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rPr>
                <w:lang w:val="en-US" w:eastAsia="de-DE"/>
              </w:rPr>
            </w:pPr>
            <w:r w:rsidRPr="002B2F44">
              <w:rPr>
                <w:lang w:val="en-US" w:eastAsia="de-DE"/>
              </w:rPr>
              <w:t>Name and description</w:t>
            </w:r>
          </w:p>
        </w:tc>
      </w:tr>
      <w:tr w:rsidR="008E4D7A" w:rsidRPr="002B2F44" w:rsidTr="008E4D7A">
        <w:trPr>
          <w:trHeight w:val="2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jc w:val="center"/>
              <w:rPr>
                <w:lang w:eastAsia="de-DE"/>
              </w:rPr>
            </w:pPr>
            <w:r w:rsidRPr="002B2F44">
              <w:rPr>
                <w:lang w:eastAsia="de-DE"/>
              </w:rPr>
              <w:t> 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rPr>
                <w:lang w:val="en-US" w:eastAsia="de-DE"/>
              </w:rPr>
            </w:pPr>
            <w:r w:rsidRPr="002B2F44">
              <w:rPr>
                <w:lang w:val="en-US" w:eastAsia="de-DE"/>
              </w:rPr>
              <w:t>3.1.2</w:t>
            </w:r>
          </w:p>
        </w:tc>
      </w:tr>
      <w:tr w:rsidR="008E4D7A" w:rsidRPr="002B2F44" w:rsidTr="008E4D7A">
        <w:trPr>
          <w:trHeight w:val="2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jc w:val="center"/>
              <w:rPr>
                <w:lang w:eastAsia="de-DE"/>
              </w:rPr>
            </w:pPr>
            <w:r w:rsidRPr="002B2F44">
              <w:rPr>
                <w:lang w:eastAsia="de-DE"/>
              </w:rPr>
              <w:t>(1)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rPr>
                <w:lang w:val="en-US" w:eastAsia="de-DE"/>
              </w:rPr>
            </w:pPr>
            <w:r w:rsidRPr="002B2F44">
              <w:rPr>
                <w:lang w:val="en-US" w:eastAsia="de-DE"/>
              </w:rPr>
              <w:t>(2)</w:t>
            </w:r>
          </w:p>
        </w:tc>
      </w:tr>
      <w:tr w:rsidR="008E4D7A" w:rsidRPr="002B2F44" w:rsidTr="008E4D7A">
        <w:trPr>
          <w:trHeight w:val="7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jc w:val="center"/>
              <w:rPr>
                <w:lang w:eastAsia="de-DE"/>
              </w:rPr>
            </w:pPr>
            <w:r w:rsidRPr="002B2F44">
              <w:rPr>
                <w:lang w:eastAsia="de-DE"/>
              </w:rPr>
              <w:t>1202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7A" w:rsidRPr="002B2F44" w:rsidRDefault="008E4D7A" w:rsidP="003B6C8D">
            <w:pPr>
              <w:rPr>
                <w:lang w:val="en-US" w:eastAsia="de-DE"/>
              </w:rPr>
            </w:pPr>
            <w:r w:rsidRPr="002B2F44">
              <w:rPr>
                <w:lang w:val="en-US" w:eastAsia="de-DE"/>
              </w:rPr>
              <w:t>DIESEL FUEL com</w:t>
            </w:r>
            <w:r w:rsidRPr="00505CC6">
              <w:rPr>
                <w:lang w:val="en-US" w:eastAsia="de-DE"/>
              </w:rPr>
              <w:t>plying with standard EN 590:</w:t>
            </w:r>
            <w:r w:rsidRPr="00505CC6">
              <w:rPr>
                <w:strike/>
                <w:lang w:val="en-US" w:eastAsia="de-DE"/>
              </w:rPr>
              <w:t>2009 + A1:2010</w:t>
            </w:r>
            <w:r w:rsidRPr="00505CC6">
              <w:rPr>
                <w:u w:val="single"/>
                <w:lang w:val="en-US" w:eastAsia="de-DE"/>
              </w:rPr>
              <w:t>2013 + AC:2014</w:t>
            </w:r>
            <w:r w:rsidRPr="002B2F44">
              <w:rPr>
                <w:u w:val="single"/>
                <w:lang w:val="en-US" w:eastAsia="de-DE"/>
              </w:rPr>
              <w:t xml:space="preserve"> </w:t>
            </w:r>
            <w:r w:rsidRPr="002B2F44">
              <w:rPr>
                <w:lang w:val="en-US" w:eastAsia="de-DE"/>
              </w:rPr>
              <w:t xml:space="preserve">or GAS OIL or HEATING OIL, LIGHT with a flash-point as specified in </w:t>
            </w:r>
            <w:r w:rsidRPr="00505CC6">
              <w:rPr>
                <w:lang w:val="en-US" w:eastAsia="de-DE"/>
              </w:rPr>
              <w:t>EN 590:</w:t>
            </w:r>
            <w:r w:rsidRPr="00505CC6">
              <w:rPr>
                <w:strike/>
                <w:lang w:val="en-US" w:eastAsia="de-DE"/>
              </w:rPr>
              <w:t>2009 + A1:2010</w:t>
            </w:r>
            <w:r w:rsidRPr="00505CC6">
              <w:rPr>
                <w:u w:val="single"/>
                <w:lang w:val="en-US" w:eastAsia="de-DE"/>
              </w:rPr>
              <w:t>2013 + AC:2014</w:t>
            </w:r>
          </w:p>
        </w:tc>
      </w:tr>
    </w:tbl>
    <w:p w:rsidR="008E4D7A" w:rsidRPr="00505CC6" w:rsidRDefault="008E4D7A" w:rsidP="008E4D7A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Proposal 2</w:t>
      </w:r>
    </w:p>
    <w:p w:rsidR="008E4D7A" w:rsidRPr="00505CC6" w:rsidRDefault="008E4D7A" w:rsidP="008E4D7A">
      <w:pPr>
        <w:pStyle w:val="SingleTxtG"/>
        <w:rPr>
          <w:lang w:val="en-US"/>
        </w:rPr>
      </w:pPr>
      <w:r w:rsidRPr="00505CC6">
        <w:rPr>
          <w:lang w:val="en-US"/>
        </w:rPr>
        <w:t xml:space="preserve">Amend </w:t>
      </w:r>
      <w:r>
        <w:rPr>
          <w:lang w:val="en-US"/>
        </w:rPr>
        <w:t xml:space="preserve">in </w:t>
      </w:r>
      <w:r w:rsidRPr="00D240E0">
        <w:rPr>
          <w:b/>
          <w:lang w:val="en-US"/>
        </w:rPr>
        <w:t>Table 4.1.1.21.6 Assimilation list</w:t>
      </w:r>
      <w:r w:rsidRPr="00505CC6">
        <w:rPr>
          <w:lang w:val="en-US"/>
        </w:rPr>
        <w:t xml:space="preserve"> the entry “1202 Diesel fuel” as follows:</w:t>
      </w:r>
    </w:p>
    <w:p w:rsidR="008E4D7A" w:rsidRPr="00505CC6" w:rsidRDefault="008E4D7A" w:rsidP="008E4D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“</w:t>
      </w:r>
    </w:p>
    <w:tbl>
      <w:tblPr>
        <w:tblW w:w="7219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160"/>
        <w:gridCol w:w="4531"/>
      </w:tblGrid>
      <w:tr w:rsidR="008E4D7A" w:rsidRPr="00505CC6" w:rsidTr="008E4D7A">
        <w:trPr>
          <w:cantSplit/>
          <w:trHeight w:val="1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8E4D7A">
            <w:pPr>
              <w:spacing w:before="20" w:after="20"/>
            </w:pPr>
            <w:r w:rsidRPr="00505CC6">
              <w:t>UN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8E4D7A">
            <w:pPr>
              <w:spacing w:before="20"/>
              <w:rPr>
                <w:lang w:val="en-US"/>
              </w:rPr>
            </w:pPr>
            <w:r w:rsidRPr="00D240E0">
              <w:rPr>
                <w:lang w:val="en-US"/>
              </w:rPr>
              <w:t>Proper shipping name or technical 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8E4D7A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Description</w:t>
            </w:r>
          </w:p>
        </w:tc>
      </w:tr>
      <w:tr w:rsidR="008E4D7A" w:rsidRPr="00505CC6" w:rsidTr="008E4D7A">
        <w:trPr>
          <w:cantSplit/>
          <w:trHeight w:val="1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8E4D7A">
            <w:pPr>
              <w:spacing w:before="20" w:after="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8E4D7A">
            <w:pPr>
              <w:spacing w:before="20"/>
            </w:pPr>
            <w:r w:rsidRPr="00D240E0">
              <w:t>3.1.2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8E4D7A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3.1.2</w:t>
            </w:r>
          </w:p>
        </w:tc>
      </w:tr>
      <w:tr w:rsidR="008E4D7A" w:rsidRPr="00505CC6" w:rsidTr="008E4D7A">
        <w:trPr>
          <w:cantSplit/>
          <w:trHeight w:val="1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8E4D7A">
            <w:pPr>
              <w:spacing w:before="20" w:after="20"/>
            </w:pPr>
            <w:r w:rsidRPr="00505CC6">
              <w:t>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8E4D7A">
            <w:pPr>
              <w:spacing w:before="20"/>
            </w:pPr>
            <w:r w:rsidRPr="00D240E0">
              <w:t>(2a)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8E4D7A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(2b)</w:t>
            </w:r>
          </w:p>
        </w:tc>
      </w:tr>
      <w:tr w:rsidR="008E4D7A" w:rsidRPr="00505CC6" w:rsidTr="008E4D7A">
        <w:trPr>
          <w:cantSplit/>
          <w:trHeight w:val="107"/>
          <w:jc w:val="center"/>
        </w:trPr>
        <w:tc>
          <w:tcPr>
            <w:tcW w:w="528" w:type="dxa"/>
            <w:shd w:val="clear" w:color="auto" w:fill="FFFFFF"/>
          </w:tcPr>
          <w:p w:rsidR="008E4D7A" w:rsidRPr="00505CC6" w:rsidRDefault="008E4D7A" w:rsidP="008E4D7A">
            <w:pPr>
              <w:spacing w:before="20" w:after="20"/>
            </w:pPr>
            <w:r w:rsidRPr="00505CC6">
              <w:t>1202</w:t>
            </w:r>
          </w:p>
        </w:tc>
        <w:tc>
          <w:tcPr>
            <w:tcW w:w="2160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505CC6" w:rsidRDefault="008E4D7A" w:rsidP="008E4D7A">
            <w:pPr>
              <w:spacing w:before="20"/>
              <w:rPr>
                <w:b/>
              </w:rPr>
            </w:pPr>
            <w:r w:rsidRPr="00505CC6">
              <w:rPr>
                <w:b/>
              </w:rPr>
              <w:t>Diesel fuel</w:t>
            </w:r>
          </w:p>
        </w:tc>
        <w:tc>
          <w:tcPr>
            <w:tcW w:w="453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8E4D7A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 xml:space="preserve">complying with EN </w:t>
            </w:r>
            <w:r w:rsidRPr="00505CC6">
              <w:rPr>
                <w:lang w:val="en-US" w:eastAsia="de-DE"/>
              </w:rPr>
              <w:t>590:</w:t>
            </w:r>
            <w:r w:rsidRPr="00505CC6">
              <w:rPr>
                <w:strike/>
                <w:lang w:val="en-US" w:eastAsia="de-DE"/>
              </w:rPr>
              <w:t>2009 + A1:2010</w:t>
            </w:r>
            <w:r w:rsidRPr="00505CC6">
              <w:rPr>
                <w:u w:val="single"/>
                <w:lang w:val="en-US" w:eastAsia="de-DE"/>
              </w:rPr>
              <w:t>2013 + AC:2014</w:t>
            </w:r>
            <w:r w:rsidRPr="00505CC6">
              <w:rPr>
                <w:lang w:val="en-US"/>
              </w:rPr>
              <w:t xml:space="preserve"> or with a flashpoint not more than 100 °C</w:t>
            </w:r>
          </w:p>
        </w:tc>
      </w:tr>
    </w:tbl>
    <w:p w:rsidR="008E4D7A" w:rsidRDefault="008E4D7A" w:rsidP="008E4D7A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“.</w:t>
      </w:r>
    </w:p>
    <w:p w:rsidR="008E4D7A" w:rsidRPr="00505CC6" w:rsidRDefault="008E4D7A" w:rsidP="008E4D7A">
      <w:pPr>
        <w:pStyle w:val="SingleTxtG"/>
        <w:rPr>
          <w:lang w:val="en-US"/>
        </w:rPr>
      </w:pPr>
      <w:r>
        <w:rPr>
          <w:lang w:val="en-US"/>
        </w:rPr>
        <w:lastRenderedPageBreak/>
        <w:t>Remark: the given description is not coherent with the description in Table A.</w:t>
      </w:r>
    </w:p>
    <w:p w:rsidR="008E4D7A" w:rsidRPr="00505CC6" w:rsidRDefault="008E4D7A" w:rsidP="008E4D7A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Proposal 3</w:t>
      </w:r>
    </w:p>
    <w:p w:rsidR="008E4D7A" w:rsidRPr="00505CC6" w:rsidRDefault="008E4D7A" w:rsidP="008E4D7A">
      <w:pPr>
        <w:pStyle w:val="SingleTxtG"/>
        <w:rPr>
          <w:lang w:val="en-US"/>
        </w:rPr>
      </w:pPr>
      <w:r w:rsidRPr="00505CC6">
        <w:rPr>
          <w:lang w:val="en-US"/>
        </w:rPr>
        <w:t xml:space="preserve">Amend </w:t>
      </w:r>
      <w:r>
        <w:rPr>
          <w:lang w:val="en-US"/>
        </w:rPr>
        <w:t xml:space="preserve">in </w:t>
      </w:r>
      <w:r w:rsidRPr="00D240E0">
        <w:rPr>
          <w:b/>
          <w:lang w:val="en-US"/>
        </w:rPr>
        <w:t>Table 4.1.1.21.6 Assimilation list</w:t>
      </w:r>
      <w:r w:rsidRPr="00505CC6">
        <w:rPr>
          <w:lang w:val="en-US"/>
        </w:rPr>
        <w:t xml:space="preserve"> the entry “1202 Heating oil, light” as follows:</w:t>
      </w:r>
    </w:p>
    <w:p w:rsidR="008E4D7A" w:rsidRPr="00505CC6" w:rsidRDefault="008E4D7A" w:rsidP="008E4D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“</w:t>
      </w:r>
    </w:p>
    <w:tbl>
      <w:tblPr>
        <w:tblW w:w="7219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26"/>
        <w:gridCol w:w="4536"/>
      </w:tblGrid>
      <w:tr w:rsidR="008E4D7A" w:rsidRPr="00505CC6" w:rsidTr="008E4D7A">
        <w:trPr>
          <w:cantSplit/>
          <w:trHeight w:val="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3B6C8D">
            <w:pPr>
              <w:spacing w:before="20" w:after="20"/>
              <w:jc w:val="center"/>
            </w:pPr>
            <w:r w:rsidRPr="00505CC6">
              <w:t>UN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3B6C8D">
            <w:pPr>
              <w:spacing w:before="20" w:after="20"/>
              <w:rPr>
                <w:lang w:val="en-US"/>
              </w:rPr>
            </w:pPr>
            <w:r w:rsidRPr="00D240E0">
              <w:rPr>
                <w:lang w:val="en-US"/>
              </w:rPr>
              <w:t>Proper shipping name or technical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3B6C8D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Description</w:t>
            </w:r>
          </w:p>
        </w:tc>
      </w:tr>
      <w:tr w:rsidR="008E4D7A" w:rsidRPr="00505CC6" w:rsidTr="008E4D7A">
        <w:trPr>
          <w:cantSplit/>
          <w:trHeight w:val="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3B6C8D">
            <w:pPr>
              <w:spacing w:before="20" w:after="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3B6C8D">
            <w:pPr>
              <w:spacing w:before="20" w:after="20"/>
            </w:pPr>
            <w:r w:rsidRPr="00D240E0">
              <w:t>3.1.2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3B6C8D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3.1.2</w:t>
            </w:r>
          </w:p>
        </w:tc>
      </w:tr>
      <w:tr w:rsidR="008E4D7A" w:rsidRPr="00505CC6" w:rsidTr="008E4D7A">
        <w:trPr>
          <w:cantSplit/>
          <w:trHeight w:val="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7A" w:rsidRPr="00505CC6" w:rsidRDefault="008E4D7A" w:rsidP="003B6C8D">
            <w:pPr>
              <w:spacing w:before="20" w:after="20"/>
              <w:jc w:val="center"/>
            </w:pPr>
            <w:r w:rsidRPr="00505CC6"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D240E0" w:rsidRDefault="008E4D7A" w:rsidP="003B6C8D">
            <w:pPr>
              <w:spacing w:before="20" w:after="20"/>
            </w:pPr>
            <w:r w:rsidRPr="00D240E0">
              <w:t>(2a)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3B6C8D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>(2b)</w:t>
            </w:r>
          </w:p>
        </w:tc>
      </w:tr>
      <w:tr w:rsidR="008E4D7A" w:rsidRPr="00505CC6" w:rsidTr="008E4D7A">
        <w:trPr>
          <w:cantSplit/>
          <w:trHeight w:val="96"/>
          <w:jc w:val="center"/>
        </w:trPr>
        <w:tc>
          <w:tcPr>
            <w:tcW w:w="557" w:type="dxa"/>
            <w:shd w:val="clear" w:color="auto" w:fill="FFFFFF"/>
          </w:tcPr>
          <w:p w:rsidR="008E4D7A" w:rsidRPr="00505CC6" w:rsidRDefault="008E4D7A" w:rsidP="003B6C8D">
            <w:pPr>
              <w:spacing w:before="20" w:after="20"/>
              <w:jc w:val="center"/>
            </w:pPr>
            <w:r w:rsidRPr="00505CC6">
              <w:t>1202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8E4D7A" w:rsidRPr="00505CC6" w:rsidRDefault="008E4D7A" w:rsidP="003B6C8D">
            <w:pPr>
              <w:spacing w:before="20" w:after="20"/>
              <w:rPr>
                <w:b/>
              </w:rPr>
            </w:pPr>
            <w:r w:rsidRPr="00505CC6">
              <w:rPr>
                <w:b/>
              </w:rPr>
              <w:t>Heating oil, light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7A" w:rsidRPr="00505CC6" w:rsidRDefault="008E4D7A" w:rsidP="003B6C8D">
            <w:pPr>
              <w:spacing w:before="20" w:after="20"/>
              <w:rPr>
                <w:lang w:val="en-US"/>
              </w:rPr>
            </w:pPr>
            <w:r w:rsidRPr="00505CC6">
              <w:rPr>
                <w:lang w:val="en-US"/>
              </w:rPr>
              <w:t xml:space="preserve">complying with EN </w:t>
            </w:r>
            <w:r w:rsidRPr="00505CC6">
              <w:rPr>
                <w:lang w:val="en-US" w:eastAsia="de-DE"/>
              </w:rPr>
              <w:t>590:</w:t>
            </w:r>
            <w:r w:rsidRPr="00505CC6">
              <w:rPr>
                <w:strike/>
                <w:lang w:val="en-US" w:eastAsia="de-DE"/>
              </w:rPr>
              <w:t>2009 + A1:2010</w:t>
            </w:r>
            <w:r w:rsidRPr="00505CC6">
              <w:rPr>
                <w:u w:val="single"/>
                <w:lang w:val="en-US" w:eastAsia="de-DE"/>
              </w:rPr>
              <w:t xml:space="preserve">2013 + AC:2014 </w:t>
            </w:r>
            <w:r w:rsidRPr="00505CC6">
              <w:rPr>
                <w:lang w:val="en-US"/>
              </w:rPr>
              <w:t>or with a flashpoint not more than 100 °C</w:t>
            </w:r>
          </w:p>
        </w:tc>
      </w:tr>
    </w:tbl>
    <w:p w:rsidR="008E4D7A" w:rsidRDefault="008E4D7A" w:rsidP="008E4D7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“.</w:t>
      </w:r>
    </w:p>
    <w:p w:rsidR="008E4D7A" w:rsidRDefault="008E4D7A" w:rsidP="008E4D7A">
      <w:pPr>
        <w:pStyle w:val="SingleTxtG"/>
        <w:rPr>
          <w:lang w:val="en-US"/>
        </w:rPr>
      </w:pPr>
      <w:r>
        <w:rPr>
          <w:lang w:val="en-US"/>
        </w:rPr>
        <w:t>Remark: the given description is not coherent with the description in Table A.</w:t>
      </w:r>
    </w:p>
    <w:p w:rsidR="008E4D7A" w:rsidRPr="00505CC6" w:rsidRDefault="008E4D7A" w:rsidP="008E4D7A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05CC6">
        <w:rPr>
          <w:lang w:val="en-US"/>
        </w:rPr>
        <w:t>Proposal 4</w:t>
      </w:r>
    </w:p>
    <w:p w:rsidR="008E4D7A" w:rsidRPr="00505CC6" w:rsidRDefault="008E4D7A" w:rsidP="008E4D7A">
      <w:pPr>
        <w:pStyle w:val="SingleTxtG"/>
        <w:rPr>
          <w:lang w:val="en-US"/>
        </w:rPr>
      </w:pPr>
      <w:r w:rsidRPr="00505CC6">
        <w:rPr>
          <w:lang w:val="en-US"/>
        </w:rPr>
        <w:t>Amend paragraph 9.1.1.2 a) as follows:</w:t>
      </w:r>
    </w:p>
    <w:p w:rsidR="008E4D7A" w:rsidRPr="00505CC6" w:rsidRDefault="008E4D7A" w:rsidP="008E4D7A">
      <w:pPr>
        <w:pStyle w:val="SingleTxtG"/>
        <w:ind w:left="1701" w:hanging="567"/>
        <w:rPr>
          <w:lang w:val="en-US"/>
        </w:rPr>
      </w:pPr>
      <w:r>
        <w:rPr>
          <w:lang w:val="en-US"/>
        </w:rPr>
        <w:t>“</w:t>
      </w:r>
      <w:r w:rsidRPr="00505CC6">
        <w:rPr>
          <w:lang w:val="en-US"/>
        </w:rPr>
        <w:t>(a)</w:t>
      </w:r>
      <w:r w:rsidRPr="00505CC6">
        <w:rPr>
          <w:lang w:val="en-US"/>
        </w:rPr>
        <w:tab/>
        <w:t xml:space="preserve">A vehicle intended for the carriage of liquids having a flash-point of not more than 60°C (with the exception of diesel fuel complying with standard EN </w:t>
      </w:r>
      <w:r w:rsidRPr="00505CC6">
        <w:rPr>
          <w:lang w:val="en-US" w:eastAsia="de-DE"/>
        </w:rPr>
        <w:t>590:</w:t>
      </w:r>
      <w:r w:rsidRPr="00505CC6">
        <w:rPr>
          <w:strike/>
          <w:lang w:val="en-US" w:eastAsia="de-DE"/>
        </w:rPr>
        <w:t>2009 + A1:2010</w:t>
      </w:r>
      <w:r w:rsidRPr="00505CC6">
        <w:rPr>
          <w:u w:val="single"/>
          <w:lang w:val="en-US" w:eastAsia="de-DE"/>
        </w:rPr>
        <w:t>2013 + AC:2014</w:t>
      </w:r>
      <w:r w:rsidRPr="00505CC6">
        <w:rPr>
          <w:lang w:val="en-US"/>
        </w:rPr>
        <w:t>, gas oil, and heating oil (light) - UN No. 1202 - with a flash-point as specified in standard EN </w:t>
      </w:r>
      <w:r w:rsidRPr="00505CC6">
        <w:rPr>
          <w:lang w:val="en-US" w:eastAsia="de-DE"/>
        </w:rPr>
        <w:t>590:</w:t>
      </w:r>
      <w:r w:rsidRPr="00505CC6">
        <w:rPr>
          <w:strike/>
          <w:lang w:val="en-US" w:eastAsia="de-DE"/>
        </w:rPr>
        <w:t>2009 + A1:2010</w:t>
      </w:r>
      <w:r w:rsidRPr="00505CC6">
        <w:rPr>
          <w:u w:val="single"/>
          <w:lang w:val="en-US" w:eastAsia="de-DE"/>
        </w:rPr>
        <w:t>2013 + AC:2014</w:t>
      </w:r>
      <w:r w:rsidRPr="00505CC6">
        <w:rPr>
          <w:lang w:val="en-US"/>
        </w:rPr>
        <w:t>) in fixed tanks or demountable tanks with a capacity exceeding 1 m</w:t>
      </w:r>
      <w:r w:rsidRPr="00505CC6">
        <w:rPr>
          <w:vertAlign w:val="superscript"/>
          <w:lang w:val="en-US"/>
        </w:rPr>
        <w:t>3</w:t>
      </w:r>
      <w:r w:rsidRPr="00505CC6">
        <w:rPr>
          <w:lang w:val="en-US"/>
        </w:rPr>
        <w:t xml:space="preserve"> or in tank-containers or portable tanks with an individual capacity exceeding 3 m</w:t>
      </w:r>
      <w:r w:rsidRPr="00505CC6">
        <w:rPr>
          <w:vertAlign w:val="superscript"/>
          <w:lang w:val="en-US"/>
        </w:rPr>
        <w:t>3</w:t>
      </w:r>
      <w:r w:rsidRPr="00505CC6">
        <w:rPr>
          <w:lang w:val="en-US"/>
        </w:rPr>
        <w:t>; or</w:t>
      </w:r>
      <w:r>
        <w:rPr>
          <w:lang w:val="en-US"/>
        </w:rPr>
        <w:t>”.</w:t>
      </w:r>
    </w:p>
    <w:p w:rsidR="001209FC" w:rsidRPr="0078202E" w:rsidRDefault="001209FC" w:rsidP="001209FC">
      <w:pPr>
        <w:pStyle w:val="SingleTxtG"/>
        <w:spacing w:before="240" w:after="0"/>
        <w:jc w:val="center"/>
        <w:rPr>
          <w:u w:val="single"/>
        </w:rPr>
      </w:pPr>
      <w:r w:rsidRPr="0078202E">
        <w:rPr>
          <w:u w:val="single"/>
        </w:rPr>
        <w:tab/>
      </w:r>
      <w:r w:rsidRPr="0078202E">
        <w:rPr>
          <w:u w:val="single"/>
        </w:rPr>
        <w:tab/>
      </w:r>
      <w:r w:rsidRPr="0078202E">
        <w:rPr>
          <w:u w:val="single"/>
        </w:rPr>
        <w:tab/>
      </w:r>
    </w:p>
    <w:sectPr w:rsidR="001209FC" w:rsidRPr="0078202E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E" w:rsidRDefault="0078202E"/>
  </w:endnote>
  <w:endnote w:type="continuationSeparator" w:id="0">
    <w:p w:rsidR="0078202E" w:rsidRDefault="0078202E"/>
  </w:endnote>
  <w:endnote w:type="continuationNotice" w:id="1">
    <w:p w:rsidR="0078202E" w:rsidRDefault="00782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E" w:rsidRPr="009D2A5B" w:rsidRDefault="0078202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E4D7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E" w:rsidRPr="009D2A5B" w:rsidRDefault="0078202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E" w:rsidRPr="00F31170" w:rsidRDefault="006863E3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1905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E" w:rsidRPr="000B175B" w:rsidRDefault="007820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202E" w:rsidRPr="00FC68B7" w:rsidRDefault="007820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202E" w:rsidRDefault="00782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E" w:rsidRPr="00FA7F6B" w:rsidRDefault="008E4D7A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2E" w:rsidRPr="00CD57D2" w:rsidRDefault="0078202E" w:rsidP="009D2A5B">
    <w:pPr>
      <w:pStyle w:val="Header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EB13F2"/>
    <w:multiLevelType w:val="hybridMultilevel"/>
    <w:tmpl w:val="CDCE1494"/>
    <w:lvl w:ilvl="0" w:tplc="0413000F">
      <w:start w:val="1"/>
      <w:numFmt w:val="decimal"/>
      <w:lvlText w:val="%1."/>
      <w:lvlJc w:val="left"/>
      <w:pPr>
        <w:ind w:left="1494" w:hanging="360"/>
      </w:p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07941"/>
    <w:rsid w:val="00012711"/>
    <w:rsid w:val="000130C0"/>
    <w:rsid w:val="0001495C"/>
    <w:rsid w:val="000149A1"/>
    <w:rsid w:val="000218B5"/>
    <w:rsid w:val="000224FC"/>
    <w:rsid w:val="00022CC1"/>
    <w:rsid w:val="00037F90"/>
    <w:rsid w:val="000430A5"/>
    <w:rsid w:val="0004467D"/>
    <w:rsid w:val="000454D2"/>
    <w:rsid w:val="00046B1F"/>
    <w:rsid w:val="00050F6B"/>
    <w:rsid w:val="0005208A"/>
    <w:rsid w:val="00052AAF"/>
    <w:rsid w:val="00057E97"/>
    <w:rsid w:val="00064F8A"/>
    <w:rsid w:val="00072C8C"/>
    <w:rsid w:val="000733B5"/>
    <w:rsid w:val="000771BA"/>
    <w:rsid w:val="00080D90"/>
    <w:rsid w:val="00081815"/>
    <w:rsid w:val="00081F0C"/>
    <w:rsid w:val="000829F7"/>
    <w:rsid w:val="000931C0"/>
    <w:rsid w:val="00096262"/>
    <w:rsid w:val="000A3752"/>
    <w:rsid w:val="000A53B5"/>
    <w:rsid w:val="000A5CF8"/>
    <w:rsid w:val="000A77BB"/>
    <w:rsid w:val="000B0595"/>
    <w:rsid w:val="000B175B"/>
    <w:rsid w:val="000B1789"/>
    <w:rsid w:val="000B31A6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E0415"/>
    <w:rsid w:val="000E5C70"/>
    <w:rsid w:val="000F122A"/>
    <w:rsid w:val="00103CC1"/>
    <w:rsid w:val="00104CDA"/>
    <w:rsid w:val="001103AA"/>
    <w:rsid w:val="0011666B"/>
    <w:rsid w:val="001173F8"/>
    <w:rsid w:val="001209FC"/>
    <w:rsid w:val="001362A8"/>
    <w:rsid w:val="00155068"/>
    <w:rsid w:val="00155F73"/>
    <w:rsid w:val="00165F3A"/>
    <w:rsid w:val="001853E1"/>
    <w:rsid w:val="001A6E55"/>
    <w:rsid w:val="001B13A5"/>
    <w:rsid w:val="001B4789"/>
    <w:rsid w:val="001B4B04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3500"/>
    <w:rsid w:val="001E7B67"/>
    <w:rsid w:val="001F7435"/>
    <w:rsid w:val="002001D5"/>
    <w:rsid w:val="00202DA8"/>
    <w:rsid w:val="00204A8C"/>
    <w:rsid w:val="0021157B"/>
    <w:rsid w:val="00211E0B"/>
    <w:rsid w:val="0022321E"/>
    <w:rsid w:val="002234B1"/>
    <w:rsid w:val="00236A96"/>
    <w:rsid w:val="0024023A"/>
    <w:rsid w:val="002410FE"/>
    <w:rsid w:val="00243217"/>
    <w:rsid w:val="00252290"/>
    <w:rsid w:val="00267F5F"/>
    <w:rsid w:val="00286B4D"/>
    <w:rsid w:val="002A3C85"/>
    <w:rsid w:val="002A603B"/>
    <w:rsid w:val="002D2E24"/>
    <w:rsid w:val="002D4643"/>
    <w:rsid w:val="002D4B6C"/>
    <w:rsid w:val="002D77B8"/>
    <w:rsid w:val="002E11E5"/>
    <w:rsid w:val="002F175C"/>
    <w:rsid w:val="00301D76"/>
    <w:rsid w:val="00302E18"/>
    <w:rsid w:val="0030606F"/>
    <w:rsid w:val="003229D8"/>
    <w:rsid w:val="003354B5"/>
    <w:rsid w:val="003358CF"/>
    <w:rsid w:val="00352709"/>
    <w:rsid w:val="00371178"/>
    <w:rsid w:val="0039240F"/>
    <w:rsid w:val="003A10AC"/>
    <w:rsid w:val="003A27D7"/>
    <w:rsid w:val="003A6810"/>
    <w:rsid w:val="003A6EA4"/>
    <w:rsid w:val="003B36D1"/>
    <w:rsid w:val="003B7418"/>
    <w:rsid w:val="003C2CC4"/>
    <w:rsid w:val="003C6036"/>
    <w:rsid w:val="003D4B23"/>
    <w:rsid w:val="003D6893"/>
    <w:rsid w:val="003E0B6D"/>
    <w:rsid w:val="003E1386"/>
    <w:rsid w:val="003E4F2B"/>
    <w:rsid w:val="003F7107"/>
    <w:rsid w:val="004002CE"/>
    <w:rsid w:val="004105D0"/>
    <w:rsid w:val="00410C89"/>
    <w:rsid w:val="004119B5"/>
    <w:rsid w:val="0041397F"/>
    <w:rsid w:val="0041539A"/>
    <w:rsid w:val="00417F60"/>
    <w:rsid w:val="00422E03"/>
    <w:rsid w:val="00422E85"/>
    <w:rsid w:val="00425C90"/>
    <w:rsid w:val="00425E3F"/>
    <w:rsid w:val="00426B9B"/>
    <w:rsid w:val="00431061"/>
    <w:rsid w:val="004325CB"/>
    <w:rsid w:val="004356D2"/>
    <w:rsid w:val="00442A83"/>
    <w:rsid w:val="00445236"/>
    <w:rsid w:val="004545F9"/>
    <w:rsid w:val="0045495B"/>
    <w:rsid w:val="00463984"/>
    <w:rsid w:val="00470310"/>
    <w:rsid w:val="00482DA4"/>
    <w:rsid w:val="0048397A"/>
    <w:rsid w:val="00485C67"/>
    <w:rsid w:val="004A12F2"/>
    <w:rsid w:val="004A39F1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4F288D"/>
    <w:rsid w:val="00503DEB"/>
    <w:rsid w:val="00504B2D"/>
    <w:rsid w:val="005173AA"/>
    <w:rsid w:val="0052136D"/>
    <w:rsid w:val="00522B58"/>
    <w:rsid w:val="00523521"/>
    <w:rsid w:val="00523CD7"/>
    <w:rsid w:val="0052775E"/>
    <w:rsid w:val="00540EDE"/>
    <w:rsid w:val="005420F2"/>
    <w:rsid w:val="00546993"/>
    <w:rsid w:val="005521E7"/>
    <w:rsid w:val="005628B6"/>
    <w:rsid w:val="00586870"/>
    <w:rsid w:val="00586B71"/>
    <w:rsid w:val="00592114"/>
    <w:rsid w:val="00592ED4"/>
    <w:rsid w:val="0059363D"/>
    <w:rsid w:val="005A6437"/>
    <w:rsid w:val="005B3DB3"/>
    <w:rsid w:val="005B4E13"/>
    <w:rsid w:val="005D2A29"/>
    <w:rsid w:val="005D4578"/>
    <w:rsid w:val="005E085E"/>
    <w:rsid w:val="005E251F"/>
    <w:rsid w:val="005E6A77"/>
    <w:rsid w:val="005F4EF7"/>
    <w:rsid w:val="005F4F0A"/>
    <w:rsid w:val="005F7B75"/>
    <w:rsid w:val="006001C5"/>
    <w:rsid w:val="006001EE"/>
    <w:rsid w:val="00605042"/>
    <w:rsid w:val="00611FC4"/>
    <w:rsid w:val="006176FB"/>
    <w:rsid w:val="00623502"/>
    <w:rsid w:val="006255DB"/>
    <w:rsid w:val="00632E03"/>
    <w:rsid w:val="00634613"/>
    <w:rsid w:val="00640B26"/>
    <w:rsid w:val="00652D0A"/>
    <w:rsid w:val="006623D5"/>
    <w:rsid w:val="00662BB6"/>
    <w:rsid w:val="00667F8F"/>
    <w:rsid w:val="00676B85"/>
    <w:rsid w:val="00684C21"/>
    <w:rsid w:val="006863E3"/>
    <w:rsid w:val="006A2530"/>
    <w:rsid w:val="006C18FA"/>
    <w:rsid w:val="006C3589"/>
    <w:rsid w:val="006D317D"/>
    <w:rsid w:val="006D37AF"/>
    <w:rsid w:val="006D51D0"/>
    <w:rsid w:val="006E564B"/>
    <w:rsid w:val="006E7191"/>
    <w:rsid w:val="00702574"/>
    <w:rsid w:val="00703577"/>
    <w:rsid w:val="00705894"/>
    <w:rsid w:val="00707CAD"/>
    <w:rsid w:val="00722957"/>
    <w:rsid w:val="0072632A"/>
    <w:rsid w:val="007327D5"/>
    <w:rsid w:val="00743E81"/>
    <w:rsid w:val="00753674"/>
    <w:rsid w:val="007611CF"/>
    <w:rsid w:val="007612FF"/>
    <w:rsid w:val="007629C8"/>
    <w:rsid w:val="0077047D"/>
    <w:rsid w:val="0078202E"/>
    <w:rsid w:val="0078507B"/>
    <w:rsid w:val="00793939"/>
    <w:rsid w:val="00797575"/>
    <w:rsid w:val="007A787F"/>
    <w:rsid w:val="007B19AA"/>
    <w:rsid w:val="007B245F"/>
    <w:rsid w:val="007B6BA5"/>
    <w:rsid w:val="007B6C1C"/>
    <w:rsid w:val="007C00D0"/>
    <w:rsid w:val="007C1E0D"/>
    <w:rsid w:val="007C3390"/>
    <w:rsid w:val="007C4F4B"/>
    <w:rsid w:val="007C5966"/>
    <w:rsid w:val="007D1E04"/>
    <w:rsid w:val="007D3031"/>
    <w:rsid w:val="007D3484"/>
    <w:rsid w:val="007D5262"/>
    <w:rsid w:val="007D6870"/>
    <w:rsid w:val="007E01E9"/>
    <w:rsid w:val="007E63F3"/>
    <w:rsid w:val="007F0C4A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579AD"/>
    <w:rsid w:val="00865222"/>
    <w:rsid w:val="008679D9"/>
    <w:rsid w:val="008711DC"/>
    <w:rsid w:val="00871389"/>
    <w:rsid w:val="008767BF"/>
    <w:rsid w:val="00880848"/>
    <w:rsid w:val="00883999"/>
    <w:rsid w:val="00887652"/>
    <w:rsid w:val="008878DE"/>
    <w:rsid w:val="0089375A"/>
    <w:rsid w:val="008979B1"/>
    <w:rsid w:val="008A6B25"/>
    <w:rsid w:val="008A6C4F"/>
    <w:rsid w:val="008B2335"/>
    <w:rsid w:val="008C4E27"/>
    <w:rsid w:val="008E0678"/>
    <w:rsid w:val="008E4D7A"/>
    <w:rsid w:val="008F6CE6"/>
    <w:rsid w:val="009044C2"/>
    <w:rsid w:val="00904927"/>
    <w:rsid w:val="00920910"/>
    <w:rsid w:val="009223CA"/>
    <w:rsid w:val="00933490"/>
    <w:rsid w:val="00940F93"/>
    <w:rsid w:val="0094558F"/>
    <w:rsid w:val="009536F9"/>
    <w:rsid w:val="00961690"/>
    <w:rsid w:val="009760F3"/>
    <w:rsid w:val="00977203"/>
    <w:rsid w:val="009A076F"/>
    <w:rsid w:val="009A0E8D"/>
    <w:rsid w:val="009B104C"/>
    <w:rsid w:val="009B1518"/>
    <w:rsid w:val="009B26E7"/>
    <w:rsid w:val="009B5889"/>
    <w:rsid w:val="009C2DAE"/>
    <w:rsid w:val="009C454F"/>
    <w:rsid w:val="009D2A5B"/>
    <w:rsid w:val="009F2BB8"/>
    <w:rsid w:val="00A00A3F"/>
    <w:rsid w:val="00A01489"/>
    <w:rsid w:val="00A1115A"/>
    <w:rsid w:val="00A12E50"/>
    <w:rsid w:val="00A16858"/>
    <w:rsid w:val="00A20059"/>
    <w:rsid w:val="00A3009E"/>
    <w:rsid w:val="00A3026E"/>
    <w:rsid w:val="00A31D95"/>
    <w:rsid w:val="00A338F1"/>
    <w:rsid w:val="00A50A26"/>
    <w:rsid w:val="00A52D7F"/>
    <w:rsid w:val="00A64C9A"/>
    <w:rsid w:val="00A669A8"/>
    <w:rsid w:val="00A72F22"/>
    <w:rsid w:val="00A7360F"/>
    <w:rsid w:val="00A748A6"/>
    <w:rsid w:val="00A769F4"/>
    <w:rsid w:val="00A776B4"/>
    <w:rsid w:val="00A91F8D"/>
    <w:rsid w:val="00A94361"/>
    <w:rsid w:val="00AA0C3E"/>
    <w:rsid w:val="00AA293C"/>
    <w:rsid w:val="00AA66C0"/>
    <w:rsid w:val="00AB32F7"/>
    <w:rsid w:val="00AB4050"/>
    <w:rsid w:val="00AC6E26"/>
    <w:rsid w:val="00AD1B24"/>
    <w:rsid w:val="00AD2DAE"/>
    <w:rsid w:val="00AD44C2"/>
    <w:rsid w:val="00AD48FA"/>
    <w:rsid w:val="00AD5B47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9473F"/>
    <w:rsid w:val="00BA4F47"/>
    <w:rsid w:val="00BB7CD1"/>
    <w:rsid w:val="00BC3FA0"/>
    <w:rsid w:val="00BC67E1"/>
    <w:rsid w:val="00BC74E9"/>
    <w:rsid w:val="00BF68A8"/>
    <w:rsid w:val="00C10FE6"/>
    <w:rsid w:val="00C11A03"/>
    <w:rsid w:val="00C22C0C"/>
    <w:rsid w:val="00C25E1A"/>
    <w:rsid w:val="00C2751F"/>
    <w:rsid w:val="00C43462"/>
    <w:rsid w:val="00C44F5F"/>
    <w:rsid w:val="00C4527F"/>
    <w:rsid w:val="00C463DD"/>
    <w:rsid w:val="00C4724C"/>
    <w:rsid w:val="00C53A55"/>
    <w:rsid w:val="00C629A0"/>
    <w:rsid w:val="00C64629"/>
    <w:rsid w:val="00C745C3"/>
    <w:rsid w:val="00C7755F"/>
    <w:rsid w:val="00C77BE5"/>
    <w:rsid w:val="00CA39FB"/>
    <w:rsid w:val="00CB3E03"/>
    <w:rsid w:val="00CC4DEF"/>
    <w:rsid w:val="00CD1FCA"/>
    <w:rsid w:val="00CD57D2"/>
    <w:rsid w:val="00CD5C2D"/>
    <w:rsid w:val="00CD7E57"/>
    <w:rsid w:val="00CE36BB"/>
    <w:rsid w:val="00CE4A8F"/>
    <w:rsid w:val="00D2031B"/>
    <w:rsid w:val="00D25FE2"/>
    <w:rsid w:val="00D27259"/>
    <w:rsid w:val="00D35767"/>
    <w:rsid w:val="00D43252"/>
    <w:rsid w:val="00D47EEA"/>
    <w:rsid w:val="00D550D4"/>
    <w:rsid w:val="00D6315F"/>
    <w:rsid w:val="00D6587E"/>
    <w:rsid w:val="00D773DF"/>
    <w:rsid w:val="00D8173A"/>
    <w:rsid w:val="00D840F8"/>
    <w:rsid w:val="00D876F8"/>
    <w:rsid w:val="00D87CBF"/>
    <w:rsid w:val="00D9255F"/>
    <w:rsid w:val="00D95303"/>
    <w:rsid w:val="00D978C6"/>
    <w:rsid w:val="00DA3C1C"/>
    <w:rsid w:val="00DB43CD"/>
    <w:rsid w:val="00DC12A9"/>
    <w:rsid w:val="00DC2040"/>
    <w:rsid w:val="00DD49C4"/>
    <w:rsid w:val="00E0146D"/>
    <w:rsid w:val="00E046DF"/>
    <w:rsid w:val="00E10A9F"/>
    <w:rsid w:val="00E15557"/>
    <w:rsid w:val="00E27346"/>
    <w:rsid w:val="00E2788A"/>
    <w:rsid w:val="00E571AC"/>
    <w:rsid w:val="00E71BC8"/>
    <w:rsid w:val="00E7260F"/>
    <w:rsid w:val="00E73F5D"/>
    <w:rsid w:val="00E77E4E"/>
    <w:rsid w:val="00E96630"/>
    <w:rsid w:val="00EA5249"/>
    <w:rsid w:val="00EB255D"/>
    <w:rsid w:val="00EC106A"/>
    <w:rsid w:val="00EC329E"/>
    <w:rsid w:val="00EC32A0"/>
    <w:rsid w:val="00EC6C88"/>
    <w:rsid w:val="00EC6DF5"/>
    <w:rsid w:val="00ED7A2A"/>
    <w:rsid w:val="00EE6B3A"/>
    <w:rsid w:val="00EF1D7F"/>
    <w:rsid w:val="00EF4BB4"/>
    <w:rsid w:val="00F227A6"/>
    <w:rsid w:val="00F265D2"/>
    <w:rsid w:val="00F31170"/>
    <w:rsid w:val="00F31E5F"/>
    <w:rsid w:val="00F36F0D"/>
    <w:rsid w:val="00F42999"/>
    <w:rsid w:val="00F51ECD"/>
    <w:rsid w:val="00F57ED1"/>
    <w:rsid w:val="00F6100A"/>
    <w:rsid w:val="00F66565"/>
    <w:rsid w:val="00F66B50"/>
    <w:rsid w:val="00F93781"/>
    <w:rsid w:val="00F97C55"/>
    <w:rsid w:val="00F97FD5"/>
    <w:rsid w:val="00FA26FD"/>
    <w:rsid w:val="00FA2814"/>
    <w:rsid w:val="00FA42D6"/>
    <w:rsid w:val="00FA7F6B"/>
    <w:rsid w:val="00FB0304"/>
    <w:rsid w:val="00FB613B"/>
    <w:rsid w:val="00FB76AE"/>
    <w:rsid w:val="00FB7B98"/>
    <w:rsid w:val="00FC2EA1"/>
    <w:rsid w:val="00FC3938"/>
    <w:rsid w:val="00FC3C87"/>
    <w:rsid w:val="00FC5279"/>
    <w:rsid w:val="00FC68B7"/>
    <w:rsid w:val="00FC795D"/>
    <w:rsid w:val="00FE106A"/>
    <w:rsid w:val="00FF145D"/>
    <w:rsid w:val="00FF50C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customStyle="1" w:styleId="RKnormal">
    <w:name w:val="RKnormal"/>
    <w:basedOn w:val="Normal"/>
    <w:uiPriority w:val="99"/>
    <w:rsid w:val="00F97FD5"/>
    <w:pPr>
      <w:tabs>
        <w:tab w:val="left" w:pos="709"/>
        <w:tab w:val="left" w:pos="283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val="sv-SE"/>
    </w:rPr>
  </w:style>
  <w:style w:type="paragraph" w:customStyle="1" w:styleId="Default">
    <w:name w:val="Default"/>
    <w:basedOn w:val="Normal"/>
    <w:rsid w:val="00F97FD5"/>
    <w:pPr>
      <w:suppressAutoHyphens w:val="0"/>
      <w:autoSpaceDE w:val="0"/>
      <w:autoSpaceDN w:val="0"/>
      <w:spacing w:line="240" w:lineRule="auto"/>
    </w:pPr>
    <w:rPr>
      <w:rFonts w:eastAsia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66B50"/>
    <w:rPr>
      <w:b/>
      <w:bCs/>
    </w:rPr>
  </w:style>
  <w:style w:type="character" w:customStyle="1" w:styleId="CommentTextChar">
    <w:name w:val="Comment Text Char"/>
    <w:link w:val="CommentText"/>
    <w:semiHidden/>
    <w:rsid w:val="00F66B50"/>
    <w:rPr>
      <w:lang w:val="en-GB" w:eastAsia="en-US"/>
    </w:rPr>
  </w:style>
  <w:style w:type="character" w:customStyle="1" w:styleId="CommentSubjectChar">
    <w:name w:val="Comment Subject Char"/>
    <w:link w:val="CommentSubject"/>
    <w:rsid w:val="00F66B5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66B5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customStyle="1" w:styleId="RKnormal">
    <w:name w:val="RKnormal"/>
    <w:basedOn w:val="Normal"/>
    <w:uiPriority w:val="99"/>
    <w:rsid w:val="00F97FD5"/>
    <w:pPr>
      <w:tabs>
        <w:tab w:val="left" w:pos="709"/>
        <w:tab w:val="left" w:pos="283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val="sv-SE"/>
    </w:rPr>
  </w:style>
  <w:style w:type="paragraph" w:customStyle="1" w:styleId="Default">
    <w:name w:val="Default"/>
    <w:basedOn w:val="Normal"/>
    <w:rsid w:val="00F97FD5"/>
    <w:pPr>
      <w:suppressAutoHyphens w:val="0"/>
      <w:autoSpaceDE w:val="0"/>
      <w:autoSpaceDN w:val="0"/>
      <w:spacing w:line="240" w:lineRule="auto"/>
    </w:pPr>
    <w:rPr>
      <w:rFonts w:eastAsia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66B50"/>
    <w:rPr>
      <w:b/>
      <w:bCs/>
    </w:rPr>
  </w:style>
  <w:style w:type="character" w:customStyle="1" w:styleId="CommentTextChar">
    <w:name w:val="Comment Text Char"/>
    <w:link w:val="CommentText"/>
    <w:semiHidden/>
    <w:rsid w:val="00F66B50"/>
    <w:rPr>
      <w:lang w:val="en-GB" w:eastAsia="en-US"/>
    </w:rPr>
  </w:style>
  <w:style w:type="character" w:customStyle="1" w:styleId="CommentSubjectChar">
    <w:name w:val="Comment Subject Char"/>
    <w:link w:val="CommentSubject"/>
    <w:rsid w:val="00F66B5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66B5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85A9-9BD2-412C-B24F-66E13766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2015-04-29T11:23:00Z</cp:lastPrinted>
  <dcterms:created xsi:type="dcterms:W3CDTF">2015-11-05T08:09:00Z</dcterms:created>
  <dcterms:modified xsi:type="dcterms:W3CDTF">2015-11-05T08:18:00Z</dcterms:modified>
</cp:coreProperties>
</file>