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3F" w:rsidRPr="00FE64CC" w:rsidRDefault="0000183F" w:rsidP="0000183F">
      <w:pPr>
        <w:spacing w:line="60" w:lineRule="exact"/>
        <w:rPr>
          <w:color w:val="010000"/>
          <w:sz w:val="6"/>
        </w:rPr>
        <w:sectPr w:rsidR="0000183F" w:rsidRPr="00FE64CC" w:rsidSect="000018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FE64CC">
        <w:rPr>
          <w:rStyle w:val="CommentReference"/>
        </w:rPr>
        <w:commentReference w:id="0"/>
      </w:r>
      <w:bookmarkStart w:id="1" w:name="_GoBack"/>
      <w:bookmarkEnd w:id="1"/>
    </w:p>
    <w:p w:rsidR="00050AAD" w:rsidRDefault="00050AAD" w:rsidP="009D391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050AAD">
        <w:rPr>
          <w:sz w:val="28"/>
          <w:szCs w:val="28"/>
        </w:rPr>
        <w:lastRenderedPageBreak/>
        <w:t>Европейская экономическая комиссия</w:t>
      </w:r>
    </w:p>
    <w:p w:rsidR="009D3913" w:rsidRPr="009D3913" w:rsidRDefault="009D3913" w:rsidP="009D391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050AAD" w:rsidRPr="00050AAD" w:rsidRDefault="00050AAD" w:rsidP="00050AA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</w:tabs>
        <w:rPr>
          <w:b w:val="0"/>
          <w:sz w:val="28"/>
          <w:szCs w:val="28"/>
        </w:rPr>
      </w:pPr>
      <w:r w:rsidRPr="00050AAD">
        <w:rPr>
          <w:b w:val="0"/>
          <w:sz w:val="28"/>
          <w:szCs w:val="28"/>
        </w:rPr>
        <w:t>Комитет по внутреннему транспорту</w:t>
      </w:r>
    </w:p>
    <w:p w:rsidR="00050AAD" w:rsidRPr="00050AAD" w:rsidRDefault="00050AAD" w:rsidP="00050AAD">
      <w:pPr>
        <w:spacing w:line="120" w:lineRule="exact"/>
        <w:rPr>
          <w:sz w:val="10"/>
        </w:rPr>
      </w:pPr>
    </w:p>
    <w:p w:rsidR="00050AAD" w:rsidRPr="00050AAD" w:rsidRDefault="00050AAD" w:rsidP="00050AA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50AAD">
        <w:t>Рабочая группа по перевозкам опасных грузов</w:t>
      </w:r>
    </w:p>
    <w:p w:rsidR="00050AAD" w:rsidRPr="00050AAD" w:rsidRDefault="00050AAD" w:rsidP="00050AAD">
      <w:pPr>
        <w:spacing w:line="120" w:lineRule="exact"/>
        <w:rPr>
          <w:sz w:val="10"/>
        </w:rPr>
      </w:pPr>
    </w:p>
    <w:p w:rsidR="00050AAD" w:rsidRPr="00050AAD" w:rsidRDefault="00050AAD" w:rsidP="00050AA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50AAD">
        <w:t xml:space="preserve">Совместное совещание Комиссии экспертов МПОГ </w:t>
      </w:r>
      <w:r w:rsidRPr="00050AAD">
        <w:br/>
        <w:t>и Рабочей группы по перевозкам опасных грузов</w:t>
      </w:r>
    </w:p>
    <w:p w:rsidR="00050AAD" w:rsidRPr="00050AAD" w:rsidRDefault="00050AAD" w:rsidP="00050AAD">
      <w:pPr>
        <w:pStyle w:val="SingleTxt"/>
        <w:spacing w:after="0" w:line="120" w:lineRule="exact"/>
        <w:rPr>
          <w:b/>
          <w:sz w:val="10"/>
        </w:rPr>
      </w:pPr>
    </w:p>
    <w:p w:rsidR="00050AAD" w:rsidRPr="00050AAD" w:rsidRDefault="00050AAD" w:rsidP="00050AAD">
      <w:pPr>
        <w:pStyle w:val="SingleTxt"/>
        <w:spacing w:after="0" w:line="120" w:lineRule="exact"/>
        <w:rPr>
          <w:b/>
          <w:sz w:val="10"/>
        </w:rPr>
      </w:pPr>
    </w:p>
    <w:p w:rsidR="00050AAD" w:rsidRPr="00050AAD" w:rsidRDefault="00050AAD" w:rsidP="00050AAD">
      <w:pPr>
        <w:pStyle w:val="SingleTxt"/>
        <w:spacing w:after="0" w:line="120" w:lineRule="exact"/>
        <w:rPr>
          <w:b/>
          <w:sz w:val="10"/>
        </w:rPr>
      </w:pPr>
    </w:p>
    <w:p w:rsidR="00050AAD" w:rsidRPr="00050AAD" w:rsidRDefault="00050AAD" w:rsidP="00050AA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x-none"/>
        </w:rPr>
      </w:pPr>
      <w:r w:rsidRPr="00050AAD">
        <w:tab/>
      </w:r>
      <w:r w:rsidRPr="00050AAD">
        <w:tab/>
        <w:t>Доклад Совместного совещания Комиссии экспертов МПОГ и Рабочей группы</w:t>
      </w:r>
      <w:r>
        <w:t xml:space="preserve"> по перевозкам опасных грузов о</w:t>
      </w:r>
      <w:r>
        <w:rPr>
          <w:lang w:val="en-US"/>
        </w:rPr>
        <w:t> </w:t>
      </w:r>
      <w:r w:rsidRPr="00050AAD">
        <w:t>работе его осенней сессии 2015 года</w:t>
      </w:r>
      <w:r w:rsidRPr="00050AAD">
        <w:rPr>
          <w:b w:val="0"/>
          <w:sz w:val="20"/>
          <w:vertAlign w:val="superscript"/>
        </w:rPr>
        <w:footnoteReference w:id="1"/>
      </w:r>
      <w:r w:rsidRPr="00050AAD">
        <w:t>,</w:t>
      </w:r>
    </w:p>
    <w:p w:rsidR="00050AAD" w:rsidRPr="00050AAD" w:rsidRDefault="00050AAD" w:rsidP="00050AAD">
      <w:pPr>
        <w:pStyle w:val="SingleTxt"/>
        <w:spacing w:after="0" w:line="120" w:lineRule="exact"/>
        <w:rPr>
          <w:sz w:val="10"/>
        </w:rPr>
      </w:pPr>
    </w:p>
    <w:p w:rsidR="00050AAD" w:rsidRPr="00050AAD" w:rsidRDefault="00050AAD" w:rsidP="00050AAD">
      <w:pPr>
        <w:pStyle w:val="SingleTxt"/>
        <w:spacing w:after="0" w:line="120" w:lineRule="exact"/>
        <w:rPr>
          <w:sz w:val="10"/>
        </w:rPr>
      </w:pPr>
    </w:p>
    <w:p w:rsidR="00050AAD" w:rsidRPr="00050AAD" w:rsidRDefault="00050AAD" w:rsidP="00050AAD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0AAD">
        <w:tab/>
      </w:r>
      <w:r w:rsidRPr="00050AAD">
        <w:tab/>
        <w:t xml:space="preserve">состоявшегося в </w:t>
      </w:r>
      <w:r w:rsidR="00112E05">
        <w:t>Женеве 15–25 сентября 2015 года</w:t>
      </w:r>
    </w:p>
    <w:p w:rsidR="00050AAD" w:rsidRPr="00050AAD" w:rsidRDefault="00050AAD" w:rsidP="00050AAD">
      <w:pPr>
        <w:pStyle w:val="SingleTxt"/>
        <w:spacing w:after="0" w:line="120" w:lineRule="exact"/>
        <w:rPr>
          <w:b/>
          <w:sz w:val="10"/>
        </w:rPr>
      </w:pPr>
    </w:p>
    <w:p w:rsidR="00050AAD" w:rsidRPr="00050AAD" w:rsidRDefault="00050AAD" w:rsidP="00050AAD">
      <w:pPr>
        <w:pStyle w:val="SingleTxt"/>
        <w:spacing w:after="0" w:line="120" w:lineRule="exact"/>
        <w:rPr>
          <w:b/>
          <w:sz w:val="10"/>
        </w:rPr>
      </w:pPr>
    </w:p>
    <w:p w:rsidR="00050AAD" w:rsidRPr="00050AAD" w:rsidRDefault="00050AAD" w:rsidP="00050AA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x-none"/>
        </w:rPr>
      </w:pPr>
      <w:r w:rsidRPr="00050AAD">
        <w:tab/>
      </w:r>
      <w:r w:rsidRPr="00050AAD">
        <w:tab/>
        <w:t>Добавление</w:t>
      </w:r>
      <w:r w:rsidRPr="00050AAD">
        <w:rPr>
          <w:b w:val="0"/>
          <w:vertAlign w:val="superscript"/>
        </w:rPr>
        <w:footnoteReference w:id="2"/>
      </w:r>
    </w:p>
    <w:p w:rsidR="00050AAD" w:rsidRPr="00050AAD" w:rsidRDefault="00050AAD" w:rsidP="00050AAD">
      <w:pPr>
        <w:pStyle w:val="SingleTxt"/>
        <w:spacing w:after="0" w:line="120" w:lineRule="exact"/>
        <w:rPr>
          <w:b/>
          <w:sz w:val="10"/>
        </w:rPr>
      </w:pPr>
    </w:p>
    <w:p w:rsidR="00050AAD" w:rsidRPr="00050AAD" w:rsidRDefault="00050AAD" w:rsidP="00050AAD">
      <w:pPr>
        <w:pStyle w:val="SingleTxt"/>
        <w:spacing w:after="0" w:line="120" w:lineRule="exact"/>
        <w:rPr>
          <w:b/>
          <w:sz w:val="10"/>
        </w:rPr>
      </w:pPr>
    </w:p>
    <w:p w:rsidR="00050AAD" w:rsidRPr="00050AAD" w:rsidRDefault="00050AAD" w:rsidP="00050AA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x-none"/>
        </w:rPr>
      </w:pPr>
      <w:r w:rsidRPr="00E5117D">
        <w:tab/>
      </w:r>
      <w:r w:rsidRPr="00E5117D">
        <w:tab/>
      </w:r>
      <w:r w:rsidRPr="00050AAD">
        <w:t>Приложение II</w:t>
      </w:r>
    </w:p>
    <w:p w:rsidR="00050AAD" w:rsidRPr="00050AAD" w:rsidRDefault="00050AAD" w:rsidP="00050AAD">
      <w:pPr>
        <w:pStyle w:val="SingleTxt"/>
        <w:spacing w:after="0" w:line="120" w:lineRule="exact"/>
        <w:rPr>
          <w:b/>
          <w:sz w:val="10"/>
        </w:rPr>
      </w:pPr>
    </w:p>
    <w:p w:rsidR="00050AAD" w:rsidRPr="00050AAD" w:rsidRDefault="00050AAD" w:rsidP="00050AAD">
      <w:pPr>
        <w:pStyle w:val="SingleTxt"/>
        <w:spacing w:after="0" w:line="120" w:lineRule="exact"/>
        <w:rPr>
          <w:b/>
          <w:sz w:val="10"/>
        </w:rPr>
      </w:pPr>
    </w:p>
    <w:p w:rsidR="00050AAD" w:rsidRPr="00050AAD" w:rsidRDefault="00050AAD" w:rsidP="00050AA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x-none"/>
        </w:rPr>
      </w:pPr>
      <w:r w:rsidRPr="00E5117D">
        <w:tab/>
      </w:r>
      <w:r w:rsidRPr="00050AAD">
        <w:tab/>
        <w:t>Доклад Рабочей группы по цистернам</w:t>
      </w:r>
    </w:p>
    <w:p w:rsidR="00050AAD" w:rsidRPr="00050AAD" w:rsidRDefault="00050AAD" w:rsidP="00050AAD">
      <w:pPr>
        <w:pStyle w:val="SingleTxt"/>
        <w:spacing w:after="0" w:line="120" w:lineRule="exact"/>
        <w:rPr>
          <w:sz w:val="10"/>
        </w:rPr>
      </w:pPr>
    </w:p>
    <w:p w:rsidR="00050AAD" w:rsidRPr="00050AAD" w:rsidRDefault="00050AAD" w:rsidP="00050AAD">
      <w:pPr>
        <w:pStyle w:val="SingleTxt"/>
        <w:spacing w:after="0" w:line="120" w:lineRule="exact"/>
        <w:rPr>
          <w:sz w:val="10"/>
        </w:rPr>
      </w:pPr>
    </w:p>
    <w:p w:rsidR="00050AAD" w:rsidRPr="00050AAD" w:rsidRDefault="00050AAD" w:rsidP="00050AAD">
      <w:pPr>
        <w:pStyle w:val="SingleTxt"/>
      </w:pPr>
      <w:r w:rsidRPr="00050AAD">
        <w:t>1.</w:t>
      </w:r>
      <w:r w:rsidRPr="00050AAD">
        <w:tab/>
        <w:t>Рабочая группа по цистернам провела сво</w:t>
      </w:r>
      <w:r>
        <w:t>е совещание 21−23 сентября 2015</w:t>
      </w:r>
      <w:r>
        <w:rPr>
          <w:lang w:val="en-US"/>
        </w:rPr>
        <w:t> </w:t>
      </w:r>
      <w:r w:rsidRPr="00050AAD">
        <w:t>года в Женеве на основе мандата, предоставленного Совместным совещ</w:t>
      </w:r>
      <w:r w:rsidRPr="00050AAD">
        <w:t>а</w:t>
      </w:r>
      <w:r w:rsidRPr="00050AAD">
        <w:t xml:space="preserve">нием МПОГ/ДОПОГ/ВОПОГ, под председательством г-на </w:t>
      </w:r>
      <w:proofErr w:type="spellStart"/>
      <w:r w:rsidRPr="00050AAD">
        <w:t>Арне</w:t>
      </w:r>
      <w:proofErr w:type="spellEnd"/>
      <w:r w:rsidRPr="00050AAD">
        <w:t xml:space="preserve"> </w:t>
      </w:r>
      <w:proofErr w:type="spellStart"/>
      <w:r w:rsidRPr="00050AAD">
        <w:t>Бейла</w:t>
      </w:r>
      <w:proofErr w:type="spellEnd"/>
      <w:r w:rsidRPr="00050AAD">
        <w:t xml:space="preserve"> (Соед</w:t>
      </w:r>
      <w:r w:rsidRPr="00050AAD">
        <w:t>и</w:t>
      </w:r>
      <w:r w:rsidRPr="00050AAD">
        <w:t xml:space="preserve">ненное Королевство); обязанности секретаря исполнял г-н </w:t>
      </w:r>
      <w:proofErr w:type="spellStart"/>
      <w:r w:rsidRPr="00050AAD">
        <w:t>Кес</w:t>
      </w:r>
      <w:proofErr w:type="spellEnd"/>
      <w:r w:rsidRPr="00050AAD">
        <w:t xml:space="preserve"> де </w:t>
      </w:r>
      <w:proofErr w:type="spellStart"/>
      <w:r w:rsidRPr="00050AAD">
        <w:t>Путтер</w:t>
      </w:r>
      <w:proofErr w:type="spellEnd"/>
      <w:r w:rsidRPr="00050AAD">
        <w:t xml:space="preserve"> (Н</w:t>
      </w:r>
      <w:r w:rsidRPr="00050AAD">
        <w:t>и</w:t>
      </w:r>
      <w:r w:rsidRPr="00050AAD">
        <w:t>дерланды). Соответствующие документы были представлены пленарной сессии и переданы для рассмотрения Рабочей группе.</w:t>
      </w:r>
    </w:p>
    <w:p w:rsidR="00050AAD" w:rsidRPr="00050AAD" w:rsidRDefault="00050AAD" w:rsidP="00050AAD">
      <w:pPr>
        <w:pStyle w:val="SingleTxt"/>
      </w:pPr>
      <w:r w:rsidRPr="00050AAD">
        <w:t>2.</w:t>
      </w:r>
      <w:r w:rsidRPr="00050AAD">
        <w:tab/>
        <w:t>Рабочая группа по цистернам, состоящая из 24 экспертов от 12 стран и 5</w:t>
      </w:r>
      <w:r>
        <w:rPr>
          <w:lang w:val="en-US"/>
        </w:rPr>
        <w:t> </w:t>
      </w:r>
      <w:r w:rsidRPr="00050AAD">
        <w:t>неправительственных организаций, рассмотрела следующие официальные и неофициальные документы:</w:t>
      </w:r>
    </w:p>
    <w:p w:rsidR="00050AAD" w:rsidRPr="009D3913" w:rsidRDefault="00050AAD" w:rsidP="009D3913">
      <w:pPr>
        <w:pStyle w:val="SingleTxt"/>
        <w:pageBreakBefore/>
        <w:spacing w:after="0"/>
        <w:ind w:left="4133" w:hanging="2866"/>
        <w:jc w:val="left"/>
      </w:pPr>
      <w:r w:rsidRPr="00050AAD">
        <w:rPr>
          <w:i/>
        </w:rPr>
        <w:lastRenderedPageBreak/>
        <w:t>Документы:</w:t>
      </w:r>
      <w:r w:rsidRPr="00050AAD">
        <w:tab/>
      </w:r>
      <w:r w:rsidRPr="00050AAD">
        <w:tab/>
      </w:r>
      <w:r w:rsidRPr="00050AAD">
        <w:tab/>
      </w:r>
      <w:r w:rsidRPr="00050AAD">
        <w:tab/>
        <w:t xml:space="preserve">ECE/TRANS/WP.15/AC.1/2015/15 </w:t>
      </w:r>
      <w:r w:rsidR="009D3913">
        <w:br/>
      </w:r>
      <w:r w:rsidRPr="00050AAD">
        <w:t>(Соединенное Королевство)</w:t>
      </w:r>
    </w:p>
    <w:p w:rsidR="00050AAD" w:rsidRPr="00050AAD" w:rsidRDefault="00050AAD" w:rsidP="00050AAD">
      <w:pPr>
        <w:pStyle w:val="SingleTxt"/>
        <w:spacing w:after="0"/>
        <w:ind w:left="4133" w:hanging="2866"/>
        <w:jc w:val="left"/>
        <w:rPr>
          <w:lang w:val="en-US"/>
        </w:rPr>
      </w:pPr>
      <w:r w:rsidRPr="009D3913">
        <w:tab/>
      </w:r>
      <w:r w:rsidRPr="009D3913">
        <w:tab/>
      </w:r>
      <w:r w:rsidRPr="009D3913">
        <w:tab/>
      </w:r>
      <w:r w:rsidRPr="009D3913">
        <w:tab/>
      </w:r>
      <w:r w:rsidRPr="009D3913">
        <w:tab/>
      </w:r>
      <w:r w:rsidRPr="009D3913">
        <w:tab/>
      </w:r>
      <w:r w:rsidRPr="00050AAD">
        <w:rPr>
          <w:lang w:val="en-US"/>
        </w:rPr>
        <w:t>ECE/TRANS/WP.15/AC.1/2015/23/Add</w:t>
      </w:r>
      <w:r w:rsidR="00112E05" w:rsidRPr="00112E05">
        <w:rPr>
          <w:lang w:val="en-US"/>
        </w:rPr>
        <w:t>.</w:t>
      </w:r>
      <w:r w:rsidRPr="00050AAD">
        <w:rPr>
          <w:lang w:val="en-US"/>
        </w:rPr>
        <w:t xml:space="preserve">1 </w:t>
      </w:r>
      <w:r w:rsidR="009D3913" w:rsidRPr="009D3913">
        <w:rPr>
          <w:lang w:val="en-US"/>
        </w:rPr>
        <w:br/>
      </w:r>
      <w:r w:rsidRPr="00050AAD">
        <w:rPr>
          <w:lang w:val="en-US"/>
        </w:rPr>
        <w:t>(</w:t>
      </w:r>
      <w:r w:rsidRPr="00050AAD">
        <w:t>Секретариат</w:t>
      </w:r>
      <w:r w:rsidRPr="00050AAD">
        <w:rPr>
          <w:lang w:val="en-US"/>
        </w:rPr>
        <w:t>)</w:t>
      </w:r>
    </w:p>
    <w:p w:rsidR="00050AAD" w:rsidRPr="00050AAD" w:rsidRDefault="00050AAD" w:rsidP="00050AAD">
      <w:pPr>
        <w:pStyle w:val="SingleTxt"/>
        <w:spacing w:after="0"/>
        <w:rPr>
          <w:lang w:val="en-GB"/>
        </w:rPr>
      </w:pPr>
      <w:r w:rsidRPr="00050AAD">
        <w:rPr>
          <w:lang w:val="en-US"/>
        </w:rPr>
        <w:tab/>
      </w:r>
      <w:r w:rsidRPr="00050AAD">
        <w:rPr>
          <w:lang w:val="en-US"/>
        </w:rPr>
        <w:tab/>
      </w:r>
      <w:r w:rsidRPr="00050AAD">
        <w:rPr>
          <w:lang w:val="en-US"/>
        </w:rPr>
        <w:tab/>
      </w:r>
      <w:r w:rsidRPr="00050AAD">
        <w:rPr>
          <w:lang w:val="en-US"/>
        </w:rPr>
        <w:tab/>
      </w:r>
      <w:r w:rsidRPr="00050AAD">
        <w:rPr>
          <w:lang w:val="en-US"/>
        </w:rPr>
        <w:tab/>
      </w:r>
      <w:r w:rsidRPr="00050AAD">
        <w:rPr>
          <w:lang w:val="en-US"/>
        </w:rPr>
        <w:tab/>
        <w:t>ECE/TRANS/WP.15/AC.1/2015/27 (</w:t>
      </w:r>
      <w:r w:rsidRPr="00050AAD">
        <w:t>МСЖД</w:t>
      </w:r>
      <w:r w:rsidRPr="00050AAD">
        <w:rPr>
          <w:lang w:val="en-US"/>
        </w:rPr>
        <w:t>)</w:t>
      </w:r>
    </w:p>
    <w:p w:rsidR="00050AAD" w:rsidRPr="00050AAD" w:rsidRDefault="00050AAD" w:rsidP="00050AAD">
      <w:pPr>
        <w:pStyle w:val="SingleTxt"/>
        <w:spacing w:after="0"/>
        <w:rPr>
          <w:lang w:val="en-GB"/>
        </w:rPr>
      </w:pPr>
      <w:r w:rsidRPr="00050AAD">
        <w:rPr>
          <w:lang w:val="en-US"/>
        </w:rPr>
        <w:tab/>
      </w:r>
      <w:r w:rsidRPr="00050AA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50AAD">
        <w:rPr>
          <w:lang w:val="en-US"/>
        </w:rPr>
        <w:t>ECE/TRANS/WP.15/AC.1/2015/30 (OT</w:t>
      </w:r>
      <w:r w:rsidRPr="00050AAD">
        <w:t>ИФ</w:t>
      </w:r>
      <w:r w:rsidRPr="00050AAD">
        <w:rPr>
          <w:lang w:val="en-US"/>
        </w:rPr>
        <w:t>)</w:t>
      </w:r>
    </w:p>
    <w:p w:rsidR="00050AAD" w:rsidRPr="00050AAD" w:rsidRDefault="00050AAD" w:rsidP="00050AAD">
      <w:pPr>
        <w:pStyle w:val="SingleTxt"/>
        <w:spacing w:after="0"/>
        <w:rPr>
          <w:lang w:val="en-GB"/>
        </w:rPr>
      </w:pPr>
      <w:r w:rsidRPr="00050AAD">
        <w:rPr>
          <w:lang w:val="en-US"/>
        </w:rPr>
        <w:tab/>
      </w:r>
      <w:r w:rsidRPr="00050AA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50AAD">
        <w:rPr>
          <w:lang w:val="en-US"/>
        </w:rPr>
        <w:t>ECE/TRANS/WP.15/AC.1/2015/31 (</w:t>
      </w:r>
      <w:r w:rsidRPr="00050AAD">
        <w:t>Латвия</w:t>
      </w:r>
      <w:r w:rsidRPr="00050AAD">
        <w:rPr>
          <w:lang w:val="en-US"/>
        </w:rPr>
        <w:t>)</w:t>
      </w:r>
    </w:p>
    <w:p w:rsidR="00050AAD" w:rsidRPr="00050AAD" w:rsidRDefault="00050AAD" w:rsidP="00050AAD">
      <w:pPr>
        <w:pStyle w:val="SingleTxt"/>
        <w:spacing w:after="0"/>
        <w:rPr>
          <w:lang w:val="en-GB"/>
        </w:rPr>
      </w:pPr>
      <w:r w:rsidRPr="00050AAD">
        <w:rPr>
          <w:lang w:val="en-US"/>
        </w:rPr>
        <w:tab/>
      </w:r>
      <w:r w:rsidRPr="00050AA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50AAD">
        <w:rPr>
          <w:lang w:val="en-US"/>
        </w:rPr>
        <w:t>ECE/TRANS/WP.15/AC.1/2015/39 (</w:t>
      </w:r>
      <w:r w:rsidRPr="00050AAD">
        <w:t>Норвегия</w:t>
      </w:r>
      <w:r w:rsidRPr="00050AAD">
        <w:rPr>
          <w:lang w:val="en-US"/>
        </w:rPr>
        <w:t>)</w:t>
      </w:r>
    </w:p>
    <w:p w:rsidR="00050AAD" w:rsidRPr="00050AAD" w:rsidRDefault="00050AAD" w:rsidP="00050AAD">
      <w:pPr>
        <w:pStyle w:val="SingleTxt"/>
        <w:spacing w:after="0"/>
        <w:rPr>
          <w:lang w:val="en-GB"/>
        </w:rPr>
      </w:pPr>
      <w:r w:rsidRPr="00050AAD">
        <w:rPr>
          <w:lang w:val="en-US"/>
        </w:rPr>
        <w:tab/>
      </w:r>
      <w:r w:rsidRPr="00050AA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50AAD">
        <w:rPr>
          <w:lang w:val="en-US"/>
        </w:rPr>
        <w:t>ECE/TRANS/WP.15/AC.1/2015/51 (</w:t>
      </w:r>
      <w:r w:rsidRPr="00050AAD">
        <w:t>Нидерланды</w:t>
      </w:r>
      <w:r w:rsidRPr="00050AAD">
        <w:rPr>
          <w:lang w:val="en-US"/>
        </w:rPr>
        <w:t>)</w:t>
      </w:r>
    </w:p>
    <w:p w:rsidR="00050AAD" w:rsidRPr="00050AAD" w:rsidRDefault="00050AAD" w:rsidP="00050AAD">
      <w:pPr>
        <w:pStyle w:val="SingleTxt"/>
        <w:rPr>
          <w:lang w:val="en-GB"/>
        </w:rPr>
      </w:pPr>
      <w:r w:rsidRPr="00050AAD">
        <w:rPr>
          <w:lang w:val="en-US"/>
        </w:rPr>
        <w:tab/>
      </w:r>
      <w:r w:rsidRPr="00050AA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50AAD">
        <w:rPr>
          <w:lang w:val="en-US"/>
        </w:rPr>
        <w:t>ECE/TRANS/WP.15/AC.1/2015/54 (</w:t>
      </w:r>
      <w:r w:rsidRPr="00050AAD">
        <w:t>Нидерланды</w:t>
      </w:r>
      <w:r w:rsidRPr="00050AAD">
        <w:rPr>
          <w:lang w:val="en-US"/>
        </w:rPr>
        <w:t>)</w:t>
      </w:r>
    </w:p>
    <w:p w:rsidR="00050AAD" w:rsidRPr="00050AAD" w:rsidRDefault="00050AAD" w:rsidP="00050AAD">
      <w:pPr>
        <w:pStyle w:val="SingleTxt"/>
        <w:spacing w:after="0"/>
      </w:pPr>
      <w:r w:rsidRPr="00050AAD">
        <w:rPr>
          <w:i/>
          <w:iCs/>
        </w:rPr>
        <w:t>Неофициальные документы</w:t>
      </w:r>
      <w:r w:rsidRPr="00050AAD">
        <w:rPr>
          <w:i/>
        </w:rPr>
        <w:t>:</w:t>
      </w:r>
      <w:r w:rsidRPr="00E5117D">
        <w:tab/>
      </w:r>
      <w:r w:rsidRPr="00050AAD">
        <w:t>INF.4 (ЕКС)</w:t>
      </w:r>
    </w:p>
    <w:p w:rsidR="00050AAD" w:rsidRPr="00050AAD" w:rsidRDefault="00050AAD" w:rsidP="00050AAD">
      <w:pPr>
        <w:pStyle w:val="SingleTxt"/>
        <w:spacing w:after="0"/>
      </w:pPr>
      <w:r w:rsidRPr="00050AAD">
        <w:tab/>
      </w:r>
      <w:r w:rsidRPr="00E5117D">
        <w:tab/>
      </w:r>
      <w:r w:rsidRPr="00E5117D">
        <w:tab/>
      </w:r>
      <w:r w:rsidRPr="00E5117D">
        <w:tab/>
      </w:r>
      <w:r w:rsidRPr="00E5117D">
        <w:tab/>
      </w:r>
      <w:r w:rsidRPr="00E5117D">
        <w:tab/>
      </w:r>
      <w:r>
        <w:t>INF.</w:t>
      </w:r>
      <w:r w:rsidRPr="00050AAD">
        <w:t>10 (Соединенное Королевство)</w:t>
      </w:r>
    </w:p>
    <w:p w:rsidR="00050AAD" w:rsidRPr="00050AAD" w:rsidRDefault="00050AAD" w:rsidP="00050AAD">
      <w:pPr>
        <w:pStyle w:val="SingleTxt"/>
        <w:spacing w:after="0"/>
      </w:pPr>
      <w:r w:rsidRPr="00E5117D">
        <w:tab/>
      </w:r>
      <w:r w:rsidRPr="00E5117D">
        <w:tab/>
      </w:r>
      <w:r w:rsidRPr="00E5117D">
        <w:tab/>
      </w:r>
      <w:r w:rsidRPr="00E5117D">
        <w:tab/>
      </w:r>
      <w:r w:rsidRPr="00E5117D">
        <w:tab/>
      </w:r>
      <w:r w:rsidRPr="00E5117D">
        <w:tab/>
      </w:r>
      <w:r w:rsidRPr="00050AAD">
        <w:t>INF.17 (Германия)</w:t>
      </w:r>
    </w:p>
    <w:p w:rsidR="00050AAD" w:rsidRPr="00050AAD" w:rsidRDefault="00050AAD" w:rsidP="00050AAD">
      <w:pPr>
        <w:pStyle w:val="SingleTxt"/>
        <w:spacing w:after="0"/>
      </w:pPr>
      <w:r w:rsidRPr="00E5117D">
        <w:tab/>
      </w:r>
      <w:r w:rsidRPr="00E5117D">
        <w:tab/>
      </w:r>
      <w:r w:rsidRPr="00E5117D">
        <w:tab/>
      </w:r>
      <w:r w:rsidRPr="00E5117D">
        <w:tab/>
      </w:r>
      <w:r w:rsidRPr="00E5117D">
        <w:tab/>
      </w:r>
      <w:r w:rsidRPr="00E5117D">
        <w:tab/>
      </w:r>
      <w:r w:rsidRPr="00050AAD">
        <w:t>I</w:t>
      </w:r>
      <w:r>
        <w:t>NF.</w:t>
      </w:r>
      <w:r w:rsidRPr="00050AAD">
        <w:t>22 (Швейцария)</w:t>
      </w:r>
    </w:p>
    <w:p w:rsidR="00050AAD" w:rsidRPr="00050AAD" w:rsidRDefault="00050AAD" w:rsidP="00050AAD">
      <w:pPr>
        <w:pStyle w:val="SingleTxt"/>
        <w:spacing w:after="0"/>
      </w:pPr>
      <w:r w:rsidRPr="00E5117D">
        <w:tab/>
      </w:r>
      <w:r w:rsidRPr="00E5117D">
        <w:tab/>
      </w:r>
      <w:r w:rsidRPr="00E5117D">
        <w:tab/>
      </w:r>
      <w:r w:rsidRPr="00E5117D">
        <w:tab/>
      </w:r>
      <w:r w:rsidRPr="00E5117D">
        <w:tab/>
      </w:r>
      <w:r w:rsidRPr="00E5117D">
        <w:tab/>
      </w:r>
      <w:r>
        <w:t>INF.</w:t>
      </w:r>
      <w:r w:rsidRPr="00050AAD">
        <w:t>23 (Франция)</w:t>
      </w:r>
    </w:p>
    <w:p w:rsidR="00050AAD" w:rsidRPr="00050AAD" w:rsidRDefault="00050AAD" w:rsidP="00050AAD">
      <w:pPr>
        <w:pStyle w:val="SingleTxt"/>
        <w:spacing w:after="0"/>
      </w:pPr>
      <w:r w:rsidRPr="00E5117D">
        <w:tab/>
      </w:r>
      <w:r w:rsidRPr="00E5117D">
        <w:tab/>
      </w:r>
      <w:r w:rsidRPr="00E5117D">
        <w:tab/>
      </w:r>
      <w:r w:rsidRPr="00E5117D">
        <w:tab/>
      </w:r>
      <w:r w:rsidRPr="00E5117D">
        <w:tab/>
      </w:r>
      <w:r w:rsidRPr="00E5117D">
        <w:tab/>
      </w:r>
      <w:r>
        <w:t>INF.</w:t>
      </w:r>
      <w:r w:rsidRPr="00050AAD">
        <w:t>24 (ЕКС)</w:t>
      </w:r>
    </w:p>
    <w:p w:rsidR="00050AAD" w:rsidRPr="00050AAD" w:rsidRDefault="00050AAD" w:rsidP="00050AAD">
      <w:pPr>
        <w:pStyle w:val="SingleTxt"/>
        <w:spacing w:after="0"/>
      </w:pPr>
      <w:r w:rsidRPr="00050AAD">
        <w:tab/>
      </w:r>
      <w:r w:rsidRPr="00E5117D">
        <w:tab/>
      </w:r>
      <w:r w:rsidRPr="00E5117D">
        <w:tab/>
      </w:r>
      <w:r w:rsidRPr="00E5117D">
        <w:tab/>
      </w:r>
      <w:r w:rsidRPr="00E5117D">
        <w:tab/>
      </w:r>
      <w:r w:rsidRPr="00E5117D">
        <w:tab/>
      </w:r>
      <w:r>
        <w:t>INF.</w:t>
      </w:r>
      <w:r w:rsidRPr="00050AAD">
        <w:t>28 (Бельгия)</w:t>
      </w:r>
    </w:p>
    <w:p w:rsidR="00050AAD" w:rsidRPr="00050AAD" w:rsidRDefault="00050AAD" w:rsidP="00050AAD">
      <w:pPr>
        <w:pStyle w:val="SingleTxt"/>
      </w:pPr>
      <w:r w:rsidRPr="00050AAD">
        <w:tab/>
      </w:r>
      <w:r w:rsidRPr="00050AAD">
        <w:tab/>
      </w:r>
      <w:r w:rsidRPr="00050AAD">
        <w:tab/>
      </w:r>
      <w:r w:rsidRPr="00050AAD">
        <w:tab/>
      </w:r>
      <w:r w:rsidRPr="00050AAD">
        <w:tab/>
      </w:r>
      <w:r>
        <w:tab/>
        <w:t>INF.</w:t>
      </w:r>
      <w:r w:rsidRPr="00050AAD">
        <w:t>29 (Соединенное Королевство)</w:t>
      </w:r>
    </w:p>
    <w:p w:rsidR="00050AAD" w:rsidRPr="00050AAD" w:rsidRDefault="00050AAD" w:rsidP="00050AAD">
      <w:pPr>
        <w:pStyle w:val="SingleTxt"/>
        <w:spacing w:after="0" w:line="120" w:lineRule="exact"/>
        <w:rPr>
          <w:b/>
          <w:bCs/>
          <w:sz w:val="10"/>
        </w:rPr>
      </w:pPr>
    </w:p>
    <w:p w:rsidR="00050AAD" w:rsidRPr="00050AAD" w:rsidRDefault="0041059F" w:rsidP="0041059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117D">
        <w:tab/>
      </w:r>
      <w:r w:rsidRPr="00E5117D">
        <w:tab/>
      </w:r>
      <w:r w:rsidR="00050AAD" w:rsidRPr="00050AAD">
        <w:t>Пункт 1</w:t>
      </w:r>
      <w:r w:rsidRPr="0041059F">
        <w:br/>
      </w:r>
      <w:r w:rsidR="00050AAD" w:rsidRPr="00050AAD">
        <w:t xml:space="preserve">ECE/TRANS/WP.15/AC.1/2015/15 (Соединенное Королевство) </w:t>
      </w:r>
      <w:r w:rsidRPr="0041059F">
        <w:t>–</w:t>
      </w:r>
      <w:r w:rsidR="00050AAD" w:rsidRPr="00050AAD">
        <w:t xml:space="preserve"> Ци</w:t>
      </w:r>
      <w:r>
        <w:t>стерны и</w:t>
      </w:r>
      <w:r>
        <w:rPr>
          <w:lang w:val="en-US"/>
        </w:rPr>
        <w:t> </w:t>
      </w:r>
      <w:r w:rsidR="00050AAD" w:rsidRPr="00050AAD">
        <w:t xml:space="preserve">стандарты </w:t>
      </w:r>
      <w:r w:rsidRPr="0041059F">
        <w:t>–</w:t>
      </w:r>
      <w:r w:rsidR="00050AAD" w:rsidRPr="00050AAD">
        <w:t xml:space="preserve"> EN 12972:2014 </w:t>
      </w:r>
      <w:r w:rsidRPr="0041059F">
        <w:t>–</w:t>
      </w:r>
      <w:r w:rsidR="00050AAD" w:rsidRPr="00050AAD">
        <w:t xml:space="preserve"> «Цистерны для перевозки опасных грузов – Испытания, проверка и маркировка металлических цистерн» + INF</w:t>
      </w:r>
      <w:r w:rsidR="00112E05">
        <w:t>.</w:t>
      </w:r>
      <w:r w:rsidR="00050AAD" w:rsidRPr="00050AAD">
        <w:t>36</w:t>
      </w:r>
      <w:r w:rsidR="00112E05">
        <w:t xml:space="preserve"> (мартовская сессия  2015 года)</w:t>
      </w:r>
    </w:p>
    <w:p w:rsidR="0041059F" w:rsidRPr="0041059F" w:rsidRDefault="0041059F" w:rsidP="0041059F">
      <w:pPr>
        <w:pStyle w:val="SingleTxt"/>
        <w:spacing w:after="0" w:line="120" w:lineRule="exact"/>
        <w:rPr>
          <w:sz w:val="10"/>
        </w:rPr>
      </w:pPr>
    </w:p>
    <w:p w:rsidR="00050AAD" w:rsidRPr="00050AAD" w:rsidRDefault="00050AAD" w:rsidP="00050AAD">
      <w:pPr>
        <w:pStyle w:val="SingleTxt"/>
      </w:pPr>
      <w:r w:rsidRPr="00050AAD">
        <w:t>3.</w:t>
      </w:r>
      <w:r w:rsidRPr="00050AAD">
        <w:tab/>
        <w:t>Было напомнено о том, что на следующей сессии Совместного совещания будет присутствовать консультант от ЕКС и что этот документ должен быть ра</w:t>
      </w:r>
      <w:r w:rsidRPr="00050AAD">
        <w:t>с</w:t>
      </w:r>
      <w:r w:rsidRPr="00050AAD">
        <w:t>смотрен Рабочей группой по стандартам в ходе сессии Совместного совещания весной 2016 года. Было отмечено, что примечания в этих документах находятся в стадии обсуждения соответствующей рабочей группой ЕКС.</w:t>
      </w:r>
    </w:p>
    <w:p w:rsidR="0041059F" w:rsidRPr="0041059F" w:rsidRDefault="0041059F" w:rsidP="0041059F">
      <w:pPr>
        <w:pStyle w:val="SingleTxt"/>
        <w:spacing w:after="0" w:line="120" w:lineRule="exact"/>
        <w:rPr>
          <w:b/>
          <w:bCs/>
          <w:sz w:val="10"/>
        </w:rPr>
      </w:pPr>
    </w:p>
    <w:p w:rsidR="00050AAD" w:rsidRPr="00050AAD" w:rsidRDefault="0041059F" w:rsidP="0041059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117D">
        <w:tab/>
      </w:r>
      <w:r w:rsidRPr="00E5117D">
        <w:tab/>
      </w:r>
      <w:r w:rsidR="00050AAD" w:rsidRPr="00050AAD">
        <w:t>Пункт</w:t>
      </w:r>
      <w:r w:rsidR="00050AAD" w:rsidRPr="00112E05">
        <w:t xml:space="preserve"> 2</w:t>
      </w:r>
      <w:r w:rsidRPr="00112E05">
        <w:br/>
      </w:r>
      <w:r w:rsidR="00050AAD" w:rsidRPr="00050AAD">
        <w:rPr>
          <w:lang w:val="en-US"/>
        </w:rPr>
        <w:t>ECE</w:t>
      </w:r>
      <w:r w:rsidR="00050AAD" w:rsidRPr="00112E05">
        <w:t>/</w:t>
      </w:r>
      <w:r w:rsidR="00050AAD" w:rsidRPr="00050AAD">
        <w:rPr>
          <w:lang w:val="en-US"/>
        </w:rPr>
        <w:t>TRANS</w:t>
      </w:r>
      <w:r w:rsidR="00050AAD" w:rsidRPr="00112E05">
        <w:t>/</w:t>
      </w:r>
      <w:r w:rsidR="00050AAD" w:rsidRPr="00050AAD">
        <w:rPr>
          <w:lang w:val="en-US"/>
        </w:rPr>
        <w:t>WP</w:t>
      </w:r>
      <w:r w:rsidR="00050AAD" w:rsidRPr="00112E05">
        <w:t>.15/</w:t>
      </w:r>
      <w:r w:rsidR="00050AAD" w:rsidRPr="00050AAD">
        <w:rPr>
          <w:lang w:val="en-US"/>
        </w:rPr>
        <w:t>AC</w:t>
      </w:r>
      <w:r w:rsidR="00050AAD" w:rsidRPr="00112E05">
        <w:t>.1/2015/23/</w:t>
      </w:r>
      <w:r w:rsidR="00050AAD" w:rsidRPr="00050AAD">
        <w:rPr>
          <w:lang w:val="en-US"/>
        </w:rPr>
        <w:t>Add</w:t>
      </w:r>
      <w:r w:rsidR="00112E05" w:rsidRPr="00112E05">
        <w:t>.</w:t>
      </w:r>
      <w:r w:rsidR="00050AAD" w:rsidRPr="00112E05">
        <w:t xml:space="preserve">1 </w:t>
      </w:r>
      <w:r w:rsidR="00050AAD" w:rsidRPr="00050AAD">
        <w:t>(</w:t>
      </w:r>
      <w:r w:rsidR="00112E05" w:rsidRPr="00050AAD">
        <w:t>Секретариат</w:t>
      </w:r>
      <w:r w:rsidR="00050AAD" w:rsidRPr="00050AAD">
        <w:t>) – Доклад Специальной рабочей группы по согласованию МПОГ/ДОПОГ/ВОПОГ с Рекомендациями Организации Объединенных Наций по перевозке опасных грузов</w:t>
      </w:r>
    </w:p>
    <w:p w:rsidR="0041059F" w:rsidRPr="0041059F" w:rsidRDefault="0041059F" w:rsidP="0041059F">
      <w:pPr>
        <w:pStyle w:val="SingleTxt"/>
        <w:spacing w:after="0" w:line="120" w:lineRule="exact"/>
        <w:rPr>
          <w:sz w:val="10"/>
        </w:rPr>
      </w:pPr>
    </w:p>
    <w:p w:rsidR="00050AAD" w:rsidRPr="00050AAD" w:rsidRDefault="00050AAD" w:rsidP="00050AAD">
      <w:pPr>
        <w:pStyle w:val="SingleTxt"/>
      </w:pPr>
      <w:r w:rsidRPr="00050AAD">
        <w:t>4.</w:t>
      </w:r>
      <w:r w:rsidRPr="00050AAD">
        <w:tab/>
        <w:t>Рабочей группе было поручено проверить коды цистерн и специальные п</w:t>
      </w:r>
      <w:r w:rsidRPr="00050AAD">
        <w:t>о</w:t>
      </w:r>
      <w:r w:rsidRPr="00050AAD">
        <w:t xml:space="preserve">ложения, предусмотренные для </w:t>
      </w:r>
      <w:r w:rsidR="00112E05">
        <w:t>четырех</w:t>
      </w:r>
      <w:r w:rsidRPr="00050AAD">
        <w:t xml:space="preserve"> новых позиций в таблице</w:t>
      </w:r>
      <w:proofErr w:type="gramStart"/>
      <w:r w:rsidRPr="00050AAD">
        <w:t xml:space="preserve"> А</w:t>
      </w:r>
      <w:proofErr w:type="gramEnd"/>
      <w:r w:rsidRPr="00050AAD">
        <w:t xml:space="preserve"> главы 3.2. Для новых позиций под № ООН 3531, 3532, 3533 и 353</w:t>
      </w:r>
      <w:r w:rsidR="00112E05">
        <w:t>4</w:t>
      </w:r>
      <w:r w:rsidRPr="00050AAD">
        <w:t xml:space="preserve"> была подтверждена пр</w:t>
      </w:r>
      <w:r w:rsidRPr="00050AAD">
        <w:t>а</w:t>
      </w:r>
      <w:r w:rsidRPr="00050AAD">
        <w:t>вильность кодов цист</w:t>
      </w:r>
      <w:r w:rsidR="00112E05">
        <w:t>ерн и специального положения TU</w:t>
      </w:r>
      <w:r w:rsidRPr="00050AAD">
        <w:t>30, касающегося степени наполнения. Вместе с тем было сочтено, что для этих позиций недостает спец</w:t>
      </w:r>
      <w:r w:rsidRPr="00050AAD">
        <w:t>и</w:t>
      </w:r>
      <w:r w:rsidRPr="00050AAD">
        <w:t>ального положения, аналоги</w:t>
      </w:r>
      <w:r w:rsidR="00112E05">
        <w:t>чного специальному положению TP</w:t>
      </w:r>
      <w:r w:rsidRPr="00050AAD">
        <w:t>6 для переносных цистерн. Было сочтено, что применимым является положение TE11, которое б</w:t>
      </w:r>
      <w:r w:rsidRPr="00050AAD">
        <w:t>ы</w:t>
      </w:r>
      <w:r w:rsidRPr="00050AAD">
        <w:t>ло помещено в квадратные скобки для проверки в ходе подготовки к следующей сессии.</w:t>
      </w:r>
    </w:p>
    <w:p w:rsidR="0041059F" w:rsidRPr="0041059F" w:rsidRDefault="0041059F" w:rsidP="0041059F">
      <w:pPr>
        <w:pStyle w:val="SingleTxt"/>
        <w:spacing w:after="0" w:line="120" w:lineRule="exact"/>
        <w:rPr>
          <w:b/>
          <w:sz w:val="10"/>
        </w:rPr>
      </w:pPr>
    </w:p>
    <w:p w:rsidR="0041059F" w:rsidRPr="0041059F" w:rsidRDefault="0041059F" w:rsidP="0041059F">
      <w:pPr>
        <w:pStyle w:val="SingleTxt"/>
        <w:spacing w:after="0" w:line="120" w:lineRule="exact"/>
        <w:rPr>
          <w:b/>
          <w:sz w:val="10"/>
        </w:rPr>
      </w:pPr>
    </w:p>
    <w:p w:rsidR="00050AAD" w:rsidRPr="00050AAD" w:rsidRDefault="00050AAD" w:rsidP="0041059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0AAD">
        <w:tab/>
      </w:r>
      <w:r w:rsidRPr="00050AAD">
        <w:tab/>
        <w:t>Предложение 1</w:t>
      </w:r>
    </w:p>
    <w:p w:rsidR="0041059F" w:rsidRPr="0041059F" w:rsidRDefault="0041059F" w:rsidP="0041059F">
      <w:pPr>
        <w:pStyle w:val="SingleTxt"/>
        <w:spacing w:after="0" w:line="120" w:lineRule="exact"/>
        <w:rPr>
          <w:sz w:val="10"/>
        </w:rPr>
      </w:pPr>
    </w:p>
    <w:p w:rsidR="0041059F" w:rsidRPr="0041059F" w:rsidRDefault="0041059F" w:rsidP="0041059F">
      <w:pPr>
        <w:pStyle w:val="SingleTxt"/>
        <w:spacing w:after="0" w:line="120" w:lineRule="exact"/>
        <w:rPr>
          <w:sz w:val="10"/>
        </w:rPr>
      </w:pPr>
    </w:p>
    <w:p w:rsidR="00050AAD" w:rsidRPr="00050AAD" w:rsidRDefault="0041059F" w:rsidP="00050AAD">
      <w:pPr>
        <w:pStyle w:val="SingleTxt"/>
      </w:pPr>
      <w:r w:rsidRPr="00E5117D">
        <w:tab/>
      </w:r>
      <w:r w:rsidR="00050AAD" w:rsidRPr="00050AAD">
        <w:t>Включить в колонку 13 таблицы</w:t>
      </w:r>
      <w:proofErr w:type="gramStart"/>
      <w:r w:rsidR="00050AAD" w:rsidRPr="00050AAD">
        <w:t> А</w:t>
      </w:r>
      <w:proofErr w:type="gramEnd"/>
      <w:r w:rsidR="00050AAD" w:rsidRPr="00050AAD">
        <w:t xml:space="preserve"> главы 3.2 специальное положение TE11 в квадратных скобках для № ООН 3531, 3532, 3533 и 3534.</w:t>
      </w:r>
    </w:p>
    <w:p w:rsidR="00050AAD" w:rsidRPr="00050AAD" w:rsidRDefault="00050AAD" w:rsidP="00050AAD">
      <w:pPr>
        <w:pStyle w:val="SingleTxt"/>
      </w:pPr>
      <w:r w:rsidRPr="00050AAD">
        <w:t>5.</w:t>
      </w:r>
      <w:r w:rsidRPr="00050AAD">
        <w:tab/>
        <w:t>В качестве дополнительной поправки следует включить новые позиции в пункт 4.3.4.1.3 b), поскольку после кода цистерны был поставлен знак</w:t>
      </w:r>
      <w:proofErr w:type="gramStart"/>
      <w:r w:rsidRPr="00050AAD">
        <w:t xml:space="preserve"> (+).</w:t>
      </w:r>
      <w:proofErr w:type="gramEnd"/>
    </w:p>
    <w:p w:rsidR="0041059F" w:rsidRPr="0041059F" w:rsidRDefault="0041059F" w:rsidP="0041059F">
      <w:pPr>
        <w:pStyle w:val="SingleTxt"/>
        <w:spacing w:after="0" w:line="120" w:lineRule="exact"/>
        <w:rPr>
          <w:b/>
          <w:sz w:val="10"/>
        </w:rPr>
      </w:pPr>
    </w:p>
    <w:p w:rsidR="0041059F" w:rsidRPr="0041059F" w:rsidRDefault="0041059F" w:rsidP="0041059F">
      <w:pPr>
        <w:pStyle w:val="SingleTxt"/>
        <w:spacing w:after="0" w:line="120" w:lineRule="exact"/>
        <w:rPr>
          <w:b/>
          <w:sz w:val="10"/>
        </w:rPr>
      </w:pPr>
    </w:p>
    <w:p w:rsidR="00050AAD" w:rsidRPr="00050AAD" w:rsidRDefault="00050AAD" w:rsidP="009D3913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0AAD">
        <w:lastRenderedPageBreak/>
        <w:tab/>
      </w:r>
      <w:r w:rsidRPr="00050AAD">
        <w:tab/>
        <w:t>Предложение 2</w:t>
      </w:r>
    </w:p>
    <w:p w:rsidR="0041059F" w:rsidRPr="0041059F" w:rsidRDefault="0041059F" w:rsidP="009D3913">
      <w:pPr>
        <w:pStyle w:val="SingleTxt"/>
        <w:keepNext/>
        <w:spacing w:after="0" w:line="120" w:lineRule="exact"/>
        <w:rPr>
          <w:sz w:val="10"/>
        </w:rPr>
      </w:pPr>
    </w:p>
    <w:p w:rsidR="0041059F" w:rsidRPr="0041059F" w:rsidRDefault="0041059F" w:rsidP="009D3913">
      <w:pPr>
        <w:pStyle w:val="SingleTxt"/>
        <w:keepNext/>
        <w:spacing w:after="0" w:line="120" w:lineRule="exact"/>
        <w:rPr>
          <w:sz w:val="10"/>
        </w:rPr>
      </w:pPr>
    </w:p>
    <w:p w:rsidR="00050AAD" w:rsidRPr="00050AAD" w:rsidRDefault="0041059F" w:rsidP="009D3913">
      <w:pPr>
        <w:pStyle w:val="SingleTxt"/>
        <w:keepNext/>
      </w:pPr>
      <w:r w:rsidRPr="00E5117D">
        <w:tab/>
      </w:r>
      <w:r w:rsidR="00050AAD" w:rsidRPr="00050AAD">
        <w:t>Изменить пункт 4.3.4.1.3 b) следующим образом (новая формулировка в</w:t>
      </w:r>
      <w:r w:rsidR="00050AAD" w:rsidRPr="00050AAD">
        <w:t>ы</w:t>
      </w:r>
      <w:r w:rsidR="00050AAD" w:rsidRPr="00050AAD">
        <w:t>делена жирным шрифтом):</w:t>
      </w:r>
    </w:p>
    <w:p w:rsidR="00050AAD" w:rsidRPr="00050AAD" w:rsidRDefault="0041059F" w:rsidP="00050AAD">
      <w:pPr>
        <w:pStyle w:val="SingleTxt"/>
        <w:rPr>
          <w:i/>
          <w:iCs/>
        </w:rPr>
      </w:pPr>
      <w:r w:rsidRPr="00E5117D">
        <w:rPr>
          <w:i/>
          <w:iCs/>
        </w:rPr>
        <w:tab/>
      </w:r>
      <w:r w:rsidR="00050AAD" w:rsidRPr="00050AAD">
        <w:rPr>
          <w:i/>
          <w:iCs/>
        </w:rPr>
        <w:t>b)</w:t>
      </w:r>
      <w:r w:rsidR="00050AAD" w:rsidRPr="00050AAD">
        <w:rPr>
          <w:i/>
          <w:iCs/>
        </w:rPr>
        <w:tab/>
        <w:t>класс 4.1:</w:t>
      </w:r>
    </w:p>
    <w:p w:rsidR="00050AAD" w:rsidRPr="00050AAD" w:rsidRDefault="00050AAD" w:rsidP="00050AAD">
      <w:pPr>
        <w:pStyle w:val="SingleTxt"/>
        <w:rPr>
          <w:i/>
          <w:iCs/>
        </w:rPr>
      </w:pPr>
      <w:r w:rsidRPr="00050AAD">
        <w:tab/>
      </w:r>
      <w:r w:rsidR="0041059F" w:rsidRPr="00E5117D">
        <w:tab/>
      </w:r>
      <w:r w:rsidRPr="00050AAD">
        <w:rPr>
          <w:i/>
          <w:iCs/>
        </w:rPr>
        <w:t>№ ООН 2448 сера расплавленная: код LGBV;</w:t>
      </w:r>
    </w:p>
    <w:p w:rsidR="00050AAD" w:rsidRPr="00050AAD" w:rsidRDefault="0041059F" w:rsidP="0041059F">
      <w:pPr>
        <w:pStyle w:val="SingleTxt"/>
        <w:ind w:left="2218" w:hanging="951"/>
        <w:rPr>
          <w:b/>
          <w:bCs/>
          <w:i/>
          <w:iCs/>
        </w:rPr>
      </w:pPr>
      <w:r w:rsidRPr="00E5117D">
        <w:rPr>
          <w:b/>
          <w:bCs/>
          <w:i/>
          <w:iCs/>
        </w:rPr>
        <w:tab/>
      </w:r>
      <w:r w:rsidRPr="00E5117D">
        <w:rPr>
          <w:b/>
          <w:bCs/>
          <w:i/>
          <w:iCs/>
        </w:rPr>
        <w:tab/>
      </w:r>
      <w:r w:rsidR="00050AAD" w:rsidRPr="00050AAD">
        <w:rPr>
          <w:b/>
          <w:bCs/>
          <w:i/>
          <w:iCs/>
        </w:rPr>
        <w:t xml:space="preserve">№ ООН 3531 </w:t>
      </w:r>
      <w:proofErr w:type="spellStart"/>
      <w:r w:rsidR="00050AAD" w:rsidRPr="00050AAD">
        <w:rPr>
          <w:b/>
          <w:bCs/>
          <w:i/>
          <w:iCs/>
        </w:rPr>
        <w:t>полимеризующееся</w:t>
      </w:r>
      <w:proofErr w:type="spellEnd"/>
      <w:r w:rsidR="00050AAD" w:rsidRPr="00050AAD">
        <w:rPr>
          <w:b/>
          <w:bCs/>
          <w:i/>
          <w:iCs/>
        </w:rPr>
        <w:t xml:space="preserve"> вещество твердое стабилизир</w:t>
      </w:r>
      <w:r w:rsidR="00050AAD" w:rsidRPr="00050AAD">
        <w:rPr>
          <w:b/>
          <w:bCs/>
          <w:i/>
          <w:iCs/>
        </w:rPr>
        <w:t>о</w:t>
      </w:r>
      <w:r w:rsidR="00050AAD" w:rsidRPr="00050AAD">
        <w:rPr>
          <w:b/>
          <w:bCs/>
          <w:i/>
          <w:iCs/>
        </w:rPr>
        <w:t xml:space="preserve">ванное, </w:t>
      </w:r>
      <w:proofErr w:type="spellStart"/>
      <w:r w:rsidR="00050AAD" w:rsidRPr="00050AAD">
        <w:rPr>
          <w:b/>
          <w:bCs/>
          <w:i/>
          <w:iCs/>
        </w:rPr>
        <w:t>н.у.к</w:t>
      </w:r>
      <w:proofErr w:type="spellEnd"/>
      <w:r w:rsidR="00050AAD" w:rsidRPr="00050AAD">
        <w:rPr>
          <w:b/>
          <w:bCs/>
          <w:i/>
          <w:iCs/>
        </w:rPr>
        <w:t xml:space="preserve">., № ООН 3533 </w:t>
      </w:r>
      <w:proofErr w:type="spellStart"/>
      <w:r w:rsidR="00050AAD" w:rsidRPr="00050AAD">
        <w:rPr>
          <w:b/>
          <w:bCs/>
          <w:i/>
          <w:iCs/>
        </w:rPr>
        <w:t>полимеризующееся</w:t>
      </w:r>
      <w:proofErr w:type="spellEnd"/>
      <w:r w:rsidR="00050AAD" w:rsidRPr="00050AAD">
        <w:rPr>
          <w:b/>
          <w:bCs/>
          <w:i/>
          <w:iCs/>
        </w:rPr>
        <w:t xml:space="preserve"> вещество твердое стабилизированное с регулируемой температурой, </w:t>
      </w:r>
      <w:proofErr w:type="spellStart"/>
      <w:r w:rsidR="00050AAD" w:rsidRPr="00050AAD">
        <w:rPr>
          <w:b/>
          <w:bCs/>
          <w:i/>
          <w:iCs/>
        </w:rPr>
        <w:t>н.у.к</w:t>
      </w:r>
      <w:proofErr w:type="spellEnd"/>
      <w:r w:rsidR="00050AAD" w:rsidRPr="00050AAD">
        <w:rPr>
          <w:b/>
          <w:bCs/>
          <w:i/>
          <w:iCs/>
        </w:rPr>
        <w:t>.: код SGAN;</w:t>
      </w:r>
    </w:p>
    <w:p w:rsidR="00050AAD" w:rsidRPr="00050AAD" w:rsidRDefault="0041059F" w:rsidP="0041059F">
      <w:pPr>
        <w:pStyle w:val="SingleTxt"/>
        <w:ind w:left="2218" w:hanging="951"/>
        <w:rPr>
          <w:b/>
          <w:bCs/>
          <w:i/>
          <w:iCs/>
        </w:rPr>
      </w:pPr>
      <w:r w:rsidRPr="00E5117D">
        <w:rPr>
          <w:b/>
          <w:bCs/>
          <w:i/>
          <w:iCs/>
        </w:rPr>
        <w:tab/>
      </w:r>
      <w:r w:rsidRPr="00E5117D">
        <w:rPr>
          <w:b/>
          <w:bCs/>
          <w:i/>
          <w:iCs/>
        </w:rPr>
        <w:tab/>
      </w:r>
      <w:r w:rsidR="00050AAD" w:rsidRPr="00050AAD">
        <w:rPr>
          <w:b/>
          <w:bCs/>
          <w:i/>
          <w:iCs/>
        </w:rPr>
        <w:t xml:space="preserve">№ ООН 3532 </w:t>
      </w:r>
      <w:proofErr w:type="spellStart"/>
      <w:r w:rsidR="00050AAD" w:rsidRPr="00050AAD">
        <w:rPr>
          <w:b/>
          <w:bCs/>
          <w:i/>
          <w:iCs/>
        </w:rPr>
        <w:t>полимеризующееся</w:t>
      </w:r>
      <w:proofErr w:type="spellEnd"/>
      <w:r w:rsidR="00050AAD" w:rsidRPr="00050AAD">
        <w:rPr>
          <w:b/>
          <w:bCs/>
          <w:i/>
          <w:iCs/>
        </w:rPr>
        <w:t xml:space="preserve"> вещество жидкое стабилизир</w:t>
      </w:r>
      <w:r w:rsidR="00050AAD" w:rsidRPr="00050AAD">
        <w:rPr>
          <w:b/>
          <w:bCs/>
          <w:i/>
          <w:iCs/>
        </w:rPr>
        <w:t>о</w:t>
      </w:r>
      <w:r w:rsidR="00050AAD" w:rsidRPr="00050AAD">
        <w:rPr>
          <w:b/>
          <w:bCs/>
          <w:i/>
          <w:iCs/>
        </w:rPr>
        <w:t xml:space="preserve">ванное, </w:t>
      </w:r>
      <w:proofErr w:type="spellStart"/>
      <w:r w:rsidR="00050AAD" w:rsidRPr="00050AAD">
        <w:rPr>
          <w:b/>
          <w:bCs/>
          <w:i/>
          <w:iCs/>
        </w:rPr>
        <w:t>н.у.к</w:t>
      </w:r>
      <w:proofErr w:type="spellEnd"/>
      <w:r w:rsidR="00050AAD" w:rsidRPr="00050AAD">
        <w:rPr>
          <w:b/>
          <w:bCs/>
          <w:i/>
          <w:iCs/>
        </w:rPr>
        <w:t xml:space="preserve">., № ООН 3534 </w:t>
      </w:r>
      <w:proofErr w:type="spellStart"/>
      <w:r w:rsidR="00050AAD" w:rsidRPr="00050AAD">
        <w:rPr>
          <w:b/>
          <w:bCs/>
          <w:i/>
          <w:iCs/>
        </w:rPr>
        <w:t>полимеризующееся</w:t>
      </w:r>
      <w:proofErr w:type="spellEnd"/>
      <w:r w:rsidR="00050AAD" w:rsidRPr="00050AAD">
        <w:rPr>
          <w:b/>
          <w:bCs/>
          <w:i/>
          <w:iCs/>
        </w:rPr>
        <w:t xml:space="preserve"> вещество жидкое стабилизированное с регулируемой температурой, </w:t>
      </w:r>
      <w:proofErr w:type="spellStart"/>
      <w:r w:rsidR="00050AAD" w:rsidRPr="00050AAD">
        <w:rPr>
          <w:b/>
          <w:bCs/>
          <w:i/>
          <w:iCs/>
        </w:rPr>
        <w:t>н.у.к</w:t>
      </w:r>
      <w:proofErr w:type="spellEnd"/>
      <w:r w:rsidR="00050AAD" w:rsidRPr="00050AAD">
        <w:rPr>
          <w:b/>
          <w:bCs/>
          <w:i/>
          <w:iCs/>
        </w:rPr>
        <w:t>.: код L4BN.</w:t>
      </w:r>
    </w:p>
    <w:p w:rsidR="0041059F" w:rsidRPr="0041059F" w:rsidRDefault="0041059F" w:rsidP="0041059F">
      <w:pPr>
        <w:pStyle w:val="SingleTxt"/>
        <w:spacing w:after="0" w:line="120" w:lineRule="exact"/>
        <w:rPr>
          <w:b/>
          <w:bCs/>
          <w:sz w:val="10"/>
        </w:rPr>
      </w:pPr>
    </w:p>
    <w:p w:rsidR="00050AAD" w:rsidRPr="00050AAD" w:rsidRDefault="0041059F" w:rsidP="0041059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117D">
        <w:tab/>
      </w:r>
      <w:r w:rsidRPr="00E5117D">
        <w:tab/>
      </w:r>
      <w:r w:rsidR="00050AAD" w:rsidRPr="00050AAD">
        <w:t>Пункт 3</w:t>
      </w:r>
      <w:r w:rsidRPr="0041059F">
        <w:br/>
      </w:r>
      <w:r w:rsidR="00050AAD" w:rsidRPr="00050AAD">
        <w:t>ECE/TRANS/WP.15/AC.1/2015/27 (МСЖД) – Перевозка цистерн, вагонов-батарей/транспортных средств-батарей и МЭГК после истечения срока действия периодической и промежуточной проверок</w:t>
      </w:r>
    </w:p>
    <w:p w:rsidR="0041059F" w:rsidRPr="0041059F" w:rsidRDefault="0041059F" w:rsidP="0041059F">
      <w:pPr>
        <w:pStyle w:val="SingleTxt"/>
        <w:spacing w:after="0" w:line="120" w:lineRule="exact"/>
        <w:rPr>
          <w:sz w:val="10"/>
        </w:rPr>
      </w:pPr>
    </w:p>
    <w:p w:rsidR="00050AAD" w:rsidRPr="00050AAD" w:rsidRDefault="00050AAD" w:rsidP="00050AAD">
      <w:pPr>
        <w:pStyle w:val="SingleTxt"/>
      </w:pPr>
      <w:r w:rsidRPr="00050AAD">
        <w:t>6.</w:t>
      </w:r>
      <w:r w:rsidRPr="00050AAD">
        <w:tab/>
        <w:t>Этот вопрос уже обсуждался на сессии Рабо</w:t>
      </w:r>
      <w:r w:rsidR="0041059F">
        <w:t>чей группы в марте 2015 года. В</w:t>
      </w:r>
      <w:r w:rsidR="0041059F">
        <w:rPr>
          <w:lang w:val="en-US"/>
        </w:rPr>
        <w:t> </w:t>
      </w:r>
      <w:r w:rsidRPr="00050AAD">
        <w:t>ходе этого рассмотрения было сочтено, что в случае переносных цистерн пер</w:t>
      </w:r>
      <w:r w:rsidRPr="00050AAD">
        <w:t>е</w:t>
      </w:r>
      <w:r w:rsidRPr="00050AAD">
        <w:t>возки в соответствии с МПОГ/ДОПОГ, как правило, короче, чем морские пер</w:t>
      </w:r>
      <w:r w:rsidRPr="00050AAD">
        <w:t>е</w:t>
      </w:r>
      <w:r w:rsidRPr="00050AAD">
        <w:t>возки, и продление срока действительности проверок лишь слегка отсрочит пр</w:t>
      </w:r>
      <w:r w:rsidRPr="00050AAD">
        <w:t>о</w:t>
      </w:r>
      <w:r w:rsidRPr="00050AAD">
        <w:t>блему. И хотя некоторые эксперты Группы высказались в поддержку этого пре</w:t>
      </w:r>
      <w:r w:rsidRPr="00050AAD">
        <w:t>д</w:t>
      </w:r>
      <w:r w:rsidRPr="00050AAD">
        <w:t>ложения, большинство экспертов не поддержали данное предложение в его н</w:t>
      </w:r>
      <w:r w:rsidRPr="00050AAD">
        <w:t>ы</w:t>
      </w:r>
      <w:r w:rsidRPr="00050AAD">
        <w:t>нешнем виде. МСЖД было предложено принять во внимание результаты этих обсуждений, изучить соответствующие процедуры, предусмотренные в других нормативных документах, и подготовить дополнительные аргументы в пользу этого предложения.</w:t>
      </w:r>
    </w:p>
    <w:p w:rsidR="00050AAD" w:rsidRPr="00050AAD" w:rsidRDefault="00050AAD" w:rsidP="00050AAD">
      <w:pPr>
        <w:pStyle w:val="SingleTxt"/>
      </w:pPr>
      <w:r w:rsidRPr="00050AAD">
        <w:t>7.</w:t>
      </w:r>
      <w:r w:rsidRPr="00050AAD">
        <w:tab/>
        <w:t>Рабочая группа обсудила новый документ, содержащий два основных пре</w:t>
      </w:r>
      <w:r w:rsidRPr="00050AAD">
        <w:t>д</w:t>
      </w:r>
      <w:r w:rsidRPr="00050AAD">
        <w:t>ложения. Одно из них касается возможности перевозки цистерны до ее места назначения в случае, если после ее заполнения истек срок действительности проверки. Второе предложение касается возможности возвращения цистерны с грузом после истечения срока действительности проверки для надлежащего уд</w:t>
      </w:r>
      <w:r w:rsidRPr="00050AAD">
        <w:t>а</w:t>
      </w:r>
      <w:r w:rsidRPr="00050AAD">
        <w:t>ления или переработки ее содержимого.</w:t>
      </w:r>
    </w:p>
    <w:p w:rsidR="00050AAD" w:rsidRPr="00050AAD" w:rsidRDefault="00050AAD" w:rsidP="00050AAD">
      <w:pPr>
        <w:pStyle w:val="SingleTxt"/>
      </w:pPr>
      <w:r w:rsidRPr="00050AAD">
        <w:t>8.</w:t>
      </w:r>
      <w:r w:rsidRPr="00050AAD">
        <w:tab/>
        <w:t xml:space="preserve">В отношении первого предложения было отмечено, что этот вопрос не </w:t>
      </w:r>
      <w:proofErr w:type="gramStart"/>
      <w:r w:rsidRPr="00050AAD">
        <w:t>явл</w:t>
      </w:r>
      <w:r w:rsidRPr="00050AAD">
        <w:t>я</w:t>
      </w:r>
      <w:r w:rsidRPr="00050AAD">
        <w:t>ется</w:t>
      </w:r>
      <w:proofErr w:type="gramEnd"/>
      <w:r w:rsidRPr="00050AAD">
        <w:t xml:space="preserve"> прежде всего техническим. Было указано, что в течение ограниченного п</w:t>
      </w:r>
      <w:r w:rsidRPr="00050AAD">
        <w:t>е</w:t>
      </w:r>
      <w:r w:rsidRPr="00050AAD">
        <w:t>риода после истечения срока действительности проверки отсутствует непосре</w:t>
      </w:r>
      <w:r w:rsidRPr="00050AAD">
        <w:t>д</w:t>
      </w:r>
      <w:r w:rsidRPr="00050AAD">
        <w:t>ственная угроза в плане безопасности цистерн. Кроме того, перевозка после и</w:t>
      </w:r>
      <w:r w:rsidRPr="00050AAD">
        <w:t>с</w:t>
      </w:r>
      <w:r w:rsidRPr="00050AAD">
        <w:t xml:space="preserve">течения срока действительности разрешена в главе 6.5 для КСГМГ, а в главе 6.7 </w:t>
      </w:r>
      <w:r w:rsidR="0041059F" w:rsidRPr="0041059F">
        <w:t>–</w:t>
      </w:r>
      <w:r w:rsidRPr="00050AAD">
        <w:t xml:space="preserve"> для переносных цистерн, и в главе 6.8 содержится положение о промежуточных проверках, которые должны проводиться в последующие </w:t>
      </w:r>
      <w:r w:rsidR="00112E05">
        <w:t>три</w:t>
      </w:r>
      <w:r w:rsidRPr="00050AAD">
        <w:t xml:space="preserve"> месяца.</w:t>
      </w:r>
    </w:p>
    <w:p w:rsidR="00050AAD" w:rsidRPr="00050AAD" w:rsidRDefault="00050AAD" w:rsidP="00050AAD">
      <w:pPr>
        <w:pStyle w:val="SingleTxt"/>
      </w:pPr>
      <w:r w:rsidRPr="00050AAD">
        <w:t>9.</w:t>
      </w:r>
      <w:r w:rsidRPr="00050AAD">
        <w:tab/>
        <w:t>В ходе обсуждения был</w:t>
      </w:r>
      <w:r w:rsidR="00112E05">
        <w:t xml:space="preserve"> высказан</w:t>
      </w:r>
      <w:r w:rsidRPr="00050AAD">
        <w:t xml:space="preserve"> ряд мнений. </w:t>
      </w:r>
      <w:proofErr w:type="gramStart"/>
      <w:r w:rsidRPr="00050AAD">
        <w:t>Некоторые эксперты заявили о том, что различия в процедурах, предусмотренных в главах 6.7 и 6.8, могут з</w:t>
      </w:r>
      <w:r w:rsidRPr="00050AAD">
        <w:t>а</w:t>
      </w:r>
      <w:r w:rsidRPr="00050AAD">
        <w:t>путать пользователей и контрольные органы, особенно в тех случаях, когда речь идет о контейнерах-цистернах/переносных цистернах с двойной маркировкой и более продолжительных перевозках с учетом задержек, которые могут возникать на линиях железнодорожного сообщения между Азией и Европой.</w:t>
      </w:r>
      <w:proofErr w:type="gramEnd"/>
      <w:r w:rsidRPr="00050AAD">
        <w:t xml:space="preserve"> Было также отмечено, что производитель может наполнять контейнеры-цистерны для целей промежуточного хранения груза, не обладая при этом информацией ни о коне</w:t>
      </w:r>
      <w:r w:rsidRPr="00050AAD">
        <w:t>ч</w:t>
      </w:r>
      <w:r w:rsidRPr="00050AAD">
        <w:t>ном пункте назначения, ни о точной дате отправки.</w:t>
      </w:r>
    </w:p>
    <w:p w:rsidR="00050AAD" w:rsidRPr="00050AAD" w:rsidRDefault="00050AAD" w:rsidP="00050AAD">
      <w:pPr>
        <w:pStyle w:val="SingleTxt"/>
      </w:pPr>
      <w:r w:rsidRPr="00050AAD">
        <w:lastRenderedPageBreak/>
        <w:t>10.</w:t>
      </w:r>
      <w:r w:rsidRPr="00050AAD">
        <w:tab/>
        <w:t>Было сочтено, что если и принимать какое-либо предложение, то оно дол</w:t>
      </w:r>
      <w:r w:rsidRPr="00050AAD">
        <w:t>ж</w:t>
      </w:r>
      <w:r w:rsidRPr="00050AAD">
        <w:t>но касаться конкретного вида транспорта; для железнодорожного транспорта о</w:t>
      </w:r>
      <w:r w:rsidRPr="00050AAD">
        <w:t>б</w:t>
      </w:r>
      <w:r w:rsidRPr="00050AAD">
        <w:t>суждался период в один месяц. Кроме того, было отмечено, что при обсуждении подобного предложения следует учитывать содержащуюся в пункте 6.8.2.4.3 формулировку, которая касается вариаций в периодичности проведения пром</w:t>
      </w:r>
      <w:r w:rsidRPr="00050AAD">
        <w:t>е</w:t>
      </w:r>
      <w:r w:rsidRPr="00050AAD">
        <w:t>жуточных проверок.</w:t>
      </w:r>
    </w:p>
    <w:p w:rsidR="00050AAD" w:rsidRPr="00050AAD" w:rsidRDefault="00050AAD" w:rsidP="00050AAD">
      <w:pPr>
        <w:pStyle w:val="SingleTxt"/>
      </w:pPr>
      <w:r w:rsidRPr="00050AAD">
        <w:t>11.</w:t>
      </w:r>
      <w:r w:rsidRPr="00050AAD">
        <w:tab/>
        <w:t xml:space="preserve">Хотя </w:t>
      </w:r>
      <w:r w:rsidR="0041059F">
        <w:t>«</w:t>
      </w:r>
      <w:r w:rsidRPr="00050AAD">
        <w:t>открытый</w:t>
      </w:r>
      <w:r w:rsidR="0041059F">
        <w:t>»</w:t>
      </w:r>
      <w:r w:rsidRPr="00050AAD">
        <w:t xml:space="preserve"> подход (основанный на отсутствии ограничений по ср</w:t>
      </w:r>
      <w:r w:rsidRPr="00050AAD">
        <w:t>о</w:t>
      </w:r>
      <w:r w:rsidRPr="00050AAD">
        <w:t>кам) не получил какой-либо существенной поддержки, по итогам круглого стола 15 экспертов проголосовали за принятие самого принципа при двух воздержа</w:t>
      </w:r>
      <w:r w:rsidRPr="00050AAD">
        <w:t>в</w:t>
      </w:r>
      <w:r w:rsidRPr="00050AAD">
        <w:t>ших</w:t>
      </w:r>
      <w:r w:rsidR="0041059F">
        <w:t>ся и двух голосах «</w:t>
      </w:r>
      <w:r w:rsidRPr="00050AAD">
        <w:t>против</w:t>
      </w:r>
      <w:r w:rsidR="0041059F">
        <w:t>»</w:t>
      </w:r>
      <w:r w:rsidRPr="00050AAD">
        <w:t>. В этой связи МСЖД было предложено предст</w:t>
      </w:r>
      <w:r w:rsidRPr="00050AAD">
        <w:t>а</w:t>
      </w:r>
      <w:r w:rsidRPr="00050AAD">
        <w:t>вить пересмотренное предложение.</w:t>
      </w:r>
    </w:p>
    <w:p w:rsidR="00050AAD" w:rsidRPr="00050AAD" w:rsidRDefault="00050AAD" w:rsidP="00050AAD">
      <w:pPr>
        <w:pStyle w:val="SingleTxt"/>
      </w:pPr>
      <w:r w:rsidRPr="00050AAD">
        <w:t>12.</w:t>
      </w:r>
      <w:r w:rsidRPr="00050AAD">
        <w:tab/>
        <w:t>В том, что касается второго аспекта, было признано, что возврат цистерны для надлежащего удаления или переработки ее содержимого после истечения срока действительности проверки представляет собой проблему. В то же время Рабочая группа сочла, что для дальнейшего рассмотрения этого вопроса МСЖД следует представить надлежащую аргументацию.</w:t>
      </w:r>
    </w:p>
    <w:p w:rsidR="00050AAD" w:rsidRPr="00050AAD" w:rsidRDefault="00050AAD" w:rsidP="00050AAD">
      <w:pPr>
        <w:pStyle w:val="SingleTxt"/>
      </w:pPr>
      <w:r w:rsidRPr="00050AAD">
        <w:t>13.</w:t>
      </w:r>
      <w:r w:rsidRPr="00050AAD">
        <w:tab/>
        <w:t xml:space="preserve">В том, что касается последнего вопроса, </w:t>
      </w:r>
      <w:r w:rsidR="0041059F">
        <w:t>связанного с изменением пун</w:t>
      </w:r>
      <w:r w:rsidR="0041059F">
        <w:t>к</w:t>
      </w:r>
      <w:r w:rsidR="0041059F">
        <w:t>тов </w:t>
      </w:r>
      <w:r w:rsidRPr="00050AAD">
        <w:t xml:space="preserve">6.7.2.19.6, 6.7.3.15.6 и 6.7.4.14.6 путем включения в них формулировки </w:t>
      </w:r>
      <w:r w:rsidR="0041059F" w:rsidRPr="0041059F">
        <w:rPr>
          <w:i/>
        </w:rPr>
        <w:t>«</w:t>
      </w:r>
      <w:r w:rsidRPr="00050AAD">
        <w:rPr>
          <w:i/>
          <w:iCs/>
        </w:rPr>
        <w:t>и предъявленные для перевозки и принятые к перевозке перевозчиком</w:t>
      </w:r>
      <w:r w:rsidR="0041059F">
        <w:rPr>
          <w:i/>
          <w:iCs/>
        </w:rPr>
        <w:t>»</w:t>
      </w:r>
      <w:r w:rsidRPr="00050AAD">
        <w:t>, никаких конкретных позиций выражено не было с учетом понимания, что этот вопрос о</w:t>
      </w:r>
      <w:r w:rsidRPr="00050AAD">
        <w:t>т</w:t>
      </w:r>
      <w:r w:rsidRPr="00050AAD">
        <w:t>носится к ведению ООН.</w:t>
      </w:r>
    </w:p>
    <w:p w:rsidR="00050AAD" w:rsidRPr="0041059F" w:rsidRDefault="00050AAD" w:rsidP="0041059F">
      <w:pPr>
        <w:pStyle w:val="SingleTxt"/>
        <w:spacing w:after="0" w:line="120" w:lineRule="exact"/>
        <w:rPr>
          <w:sz w:val="10"/>
        </w:rPr>
      </w:pPr>
    </w:p>
    <w:p w:rsidR="00050AAD" w:rsidRPr="00050AAD" w:rsidRDefault="0041059F" w:rsidP="0041059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50AAD" w:rsidRPr="00050AAD">
        <w:t>Пункт 4</w:t>
      </w:r>
      <w:r>
        <w:br/>
      </w:r>
      <w:r w:rsidR="00050AAD" w:rsidRPr="00050AAD">
        <w:t xml:space="preserve">ECE/TRANS/WP.15/AC.1/2015/30 (ОТИФ) </w:t>
      </w:r>
      <w:r>
        <w:t>–</w:t>
      </w:r>
      <w:r w:rsidR="00050AAD" w:rsidRPr="00050AAD">
        <w:t xml:space="preserve"> Переходные положения</w:t>
      </w:r>
    </w:p>
    <w:p w:rsidR="0041059F" w:rsidRPr="0041059F" w:rsidRDefault="0041059F" w:rsidP="0041059F">
      <w:pPr>
        <w:pStyle w:val="SingleTxt"/>
        <w:spacing w:after="0" w:line="120" w:lineRule="exact"/>
        <w:rPr>
          <w:sz w:val="10"/>
        </w:rPr>
      </w:pPr>
    </w:p>
    <w:p w:rsidR="00050AAD" w:rsidRPr="00050AAD" w:rsidRDefault="00050AAD" w:rsidP="00050AAD">
      <w:pPr>
        <w:pStyle w:val="SingleTxt"/>
      </w:pPr>
      <w:r w:rsidRPr="00050AAD">
        <w:t>14.</w:t>
      </w:r>
      <w:r w:rsidRPr="00050AAD">
        <w:tab/>
        <w:t>Рабочая группа одобрила переходные меры, касающиеся цистерн, которые были предложены секретариатом.</w:t>
      </w:r>
    </w:p>
    <w:p w:rsidR="0041059F" w:rsidRPr="0041059F" w:rsidRDefault="0041059F" w:rsidP="0041059F">
      <w:pPr>
        <w:pStyle w:val="SingleTxt"/>
        <w:spacing w:after="0" w:line="120" w:lineRule="exact"/>
        <w:rPr>
          <w:b/>
          <w:bCs/>
          <w:sz w:val="10"/>
        </w:rPr>
      </w:pPr>
    </w:p>
    <w:p w:rsidR="00050AAD" w:rsidRPr="00050AAD" w:rsidRDefault="0041059F" w:rsidP="0041059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50AAD" w:rsidRPr="00050AAD">
        <w:t>Пункт 5</w:t>
      </w:r>
      <w:r>
        <w:br/>
      </w:r>
      <w:r w:rsidR="00050AAD" w:rsidRPr="00050AAD">
        <w:t xml:space="preserve">ECE/TRANS/WP.15/AC.1/2015/31 (Латвия) </w:t>
      </w:r>
      <w:r>
        <w:t>–</w:t>
      </w:r>
      <w:r w:rsidR="00050AAD" w:rsidRPr="00050AAD">
        <w:t xml:space="preserve"> Предложение по изменению специального положения TU21 главы 4.3 МПОГ/ДОПОГ</w:t>
      </w:r>
    </w:p>
    <w:p w:rsidR="0041059F" w:rsidRPr="0041059F" w:rsidRDefault="0041059F" w:rsidP="0041059F">
      <w:pPr>
        <w:pStyle w:val="SingleTxt"/>
        <w:spacing w:after="0" w:line="120" w:lineRule="exact"/>
        <w:rPr>
          <w:sz w:val="10"/>
        </w:rPr>
      </w:pPr>
    </w:p>
    <w:p w:rsidR="00050AAD" w:rsidRPr="00050AAD" w:rsidRDefault="00050AAD" w:rsidP="00050AAD">
      <w:pPr>
        <w:pStyle w:val="SingleTxt"/>
      </w:pPr>
      <w:r w:rsidRPr="00050AAD">
        <w:t>15.</w:t>
      </w:r>
      <w:r w:rsidRPr="00050AAD">
        <w:tab/>
        <w:t>Рабочая группа приветствовала представление Латвией этого документа, содержащего предложение об уточнении и дальнейшей модификации положений TU21 на основе итогов обсуждения, состоявшегося на сессии в марте 2015 года. Был сделан выбор в пользу второго варианта предложения.</w:t>
      </w:r>
    </w:p>
    <w:p w:rsidR="00050AAD" w:rsidRPr="00050AAD" w:rsidRDefault="00050AAD" w:rsidP="00050AAD">
      <w:pPr>
        <w:pStyle w:val="SingleTxt"/>
      </w:pPr>
      <w:r w:rsidRPr="00050AAD">
        <w:t>16.</w:t>
      </w:r>
      <w:r w:rsidRPr="00050AAD">
        <w:tab/>
        <w:t>Были подняты и обсуждены несколько вопросов. В частности, один из в</w:t>
      </w:r>
      <w:r w:rsidRPr="00050AAD">
        <w:t>о</w:t>
      </w:r>
      <w:r w:rsidRPr="00050AAD">
        <w:t>просов был о том, учитывается ли при определении степени наполнения</w:t>
      </w:r>
      <w:r w:rsidR="0041059F">
        <w:t xml:space="preserve"> вода. В </w:t>
      </w:r>
      <w:r w:rsidRPr="00050AAD">
        <w:t>результате обращения к отраслевому эксперту, который выступил с презент</w:t>
      </w:r>
      <w:r w:rsidRPr="00050AAD">
        <w:t>а</w:t>
      </w:r>
      <w:r w:rsidRPr="00050AAD">
        <w:t>цией на предыдущем совещании, выяснилось, что при определении степени наполнения вода учитывается.</w:t>
      </w:r>
    </w:p>
    <w:p w:rsidR="00050AAD" w:rsidRPr="00050AAD" w:rsidRDefault="00050AAD" w:rsidP="00050AAD">
      <w:pPr>
        <w:pStyle w:val="SingleTxt"/>
      </w:pPr>
      <w:r w:rsidRPr="00050AAD">
        <w:t>17.</w:t>
      </w:r>
      <w:r w:rsidRPr="00050AAD">
        <w:tab/>
        <w:t>Предложение было доработано и упрощено. По итогам было решено внести также изменения в формулировку положения TU16, которое уже было принято в ходе мартовской сессии.</w:t>
      </w:r>
    </w:p>
    <w:p w:rsidR="0041059F" w:rsidRPr="0041059F" w:rsidRDefault="0041059F" w:rsidP="0041059F">
      <w:pPr>
        <w:pStyle w:val="SingleTxt"/>
        <w:spacing w:after="0" w:line="120" w:lineRule="exact"/>
        <w:rPr>
          <w:b/>
          <w:sz w:val="10"/>
        </w:rPr>
      </w:pPr>
    </w:p>
    <w:p w:rsidR="0041059F" w:rsidRPr="0041059F" w:rsidRDefault="0041059F" w:rsidP="0041059F">
      <w:pPr>
        <w:pStyle w:val="SingleTxt"/>
        <w:spacing w:after="0" w:line="120" w:lineRule="exact"/>
        <w:rPr>
          <w:b/>
          <w:sz w:val="10"/>
        </w:rPr>
      </w:pPr>
    </w:p>
    <w:p w:rsidR="00050AAD" w:rsidRPr="00050AAD" w:rsidRDefault="00050AAD" w:rsidP="009D3913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0AAD">
        <w:lastRenderedPageBreak/>
        <w:tab/>
      </w:r>
      <w:r w:rsidRPr="00050AAD">
        <w:tab/>
        <w:t>Предложение 3</w:t>
      </w:r>
    </w:p>
    <w:p w:rsidR="0041059F" w:rsidRPr="0041059F" w:rsidRDefault="0041059F" w:rsidP="009D3913">
      <w:pPr>
        <w:pStyle w:val="SingleTxt"/>
        <w:keepNext/>
        <w:spacing w:after="0" w:line="120" w:lineRule="exact"/>
        <w:rPr>
          <w:sz w:val="10"/>
        </w:rPr>
      </w:pPr>
    </w:p>
    <w:p w:rsidR="0041059F" w:rsidRPr="0041059F" w:rsidRDefault="0041059F" w:rsidP="009D3913">
      <w:pPr>
        <w:pStyle w:val="SingleTxt"/>
        <w:keepNext/>
        <w:spacing w:after="0" w:line="120" w:lineRule="exact"/>
        <w:rPr>
          <w:sz w:val="10"/>
        </w:rPr>
      </w:pPr>
    </w:p>
    <w:p w:rsidR="00050AAD" w:rsidRPr="00050AAD" w:rsidRDefault="0041059F" w:rsidP="009D3913">
      <w:pPr>
        <w:pStyle w:val="SingleTxt"/>
        <w:keepNext/>
      </w:pPr>
      <w:r>
        <w:tab/>
      </w:r>
      <w:r w:rsidR="00050AAD" w:rsidRPr="00050AAD">
        <w:t>Заменить текст действующего положения TU21 в разделе 4.3.5 следующим текстом:</w:t>
      </w:r>
    </w:p>
    <w:p w:rsidR="00050AAD" w:rsidRPr="00050AAD" w:rsidRDefault="00050AAD" w:rsidP="009D3913">
      <w:pPr>
        <w:pStyle w:val="SingleTxt"/>
        <w:keepNext/>
        <w:ind w:left="2218" w:hanging="951"/>
        <w:rPr>
          <w:i/>
          <w:iCs/>
        </w:rPr>
      </w:pPr>
      <w:r w:rsidRPr="00050AAD">
        <w:rPr>
          <w:b/>
          <w:bCs/>
          <w:i/>
          <w:iCs/>
        </w:rPr>
        <w:t>TU21</w:t>
      </w:r>
      <w:r w:rsidRPr="00050AAD">
        <w:tab/>
      </w:r>
      <w:r w:rsidRPr="00050AAD">
        <w:rPr>
          <w:i/>
          <w:iCs/>
        </w:rPr>
        <w:t>Вещество должно покрываться одним из следующих защитных аге</w:t>
      </w:r>
      <w:r w:rsidRPr="00050AAD">
        <w:rPr>
          <w:i/>
          <w:iCs/>
        </w:rPr>
        <w:t>н</w:t>
      </w:r>
      <w:r w:rsidRPr="00050AAD">
        <w:rPr>
          <w:i/>
          <w:iCs/>
        </w:rPr>
        <w:t>тов:</w:t>
      </w:r>
    </w:p>
    <w:p w:rsidR="00050AAD" w:rsidRPr="00050AAD" w:rsidRDefault="0041059F" w:rsidP="0041059F">
      <w:pPr>
        <w:pStyle w:val="SingleTxt"/>
        <w:ind w:left="2693" w:hanging="1426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050AAD" w:rsidRPr="00050AAD">
        <w:rPr>
          <w:i/>
          <w:iCs/>
        </w:rPr>
        <w:t>а)</w:t>
      </w:r>
      <w:r w:rsidR="00050AAD" w:rsidRPr="00050AAD">
        <w:rPr>
          <w:i/>
          <w:iCs/>
        </w:rPr>
        <w:tab/>
        <w:t>слоем воды толщиной не менее 12 см во время наполнения. Ст</w:t>
      </w:r>
      <w:r w:rsidR="00050AAD" w:rsidRPr="00050AAD">
        <w:rPr>
          <w:i/>
          <w:iCs/>
        </w:rPr>
        <w:t>е</w:t>
      </w:r>
      <w:r w:rsidR="00050AAD" w:rsidRPr="00050AAD">
        <w:rPr>
          <w:i/>
          <w:iCs/>
        </w:rPr>
        <w:t>пень наполнения веществом и водой при температуре 60</w:t>
      </w:r>
      <w:proofErr w:type="gramStart"/>
      <w:r w:rsidR="00050AAD" w:rsidRPr="00050AAD">
        <w:rPr>
          <w:i/>
          <w:iCs/>
        </w:rPr>
        <w:t xml:space="preserve"> °С</w:t>
      </w:r>
      <w:proofErr w:type="gramEnd"/>
      <w:r w:rsidR="00050AAD" w:rsidRPr="00050AAD">
        <w:rPr>
          <w:i/>
          <w:iCs/>
        </w:rPr>
        <w:t xml:space="preserve"> не должна превышать 98%; или</w:t>
      </w:r>
    </w:p>
    <w:p w:rsidR="00050AAD" w:rsidRPr="00050AAD" w:rsidRDefault="0041059F" w:rsidP="0041059F">
      <w:pPr>
        <w:pStyle w:val="SingleTxt"/>
        <w:ind w:left="2693" w:hanging="1426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050AAD" w:rsidRPr="00050AAD">
        <w:rPr>
          <w:i/>
          <w:iCs/>
        </w:rPr>
        <w:t>b)</w:t>
      </w:r>
      <w:r w:rsidR="00050AAD" w:rsidRPr="00050AAD">
        <w:rPr>
          <w:i/>
          <w:iCs/>
        </w:rPr>
        <w:tab/>
        <w:t>азотом, при этом степень наполнения при температуре 60</w:t>
      </w:r>
      <w:proofErr w:type="gramStart"/>
      <w:r w:rsidR="00050AAD" w:rsidRPr="00050AAD">
        <w:rPr>
          <w:i/>
          <w:iCs/>
        </w:rPr>
        <w:t xml:space="preserve"> °С</w:t>
      </w:r>
      <w:proofErr w:type="gramEnd"/>
      <w:r w:rsidR="00050AAD" w:rsidRPr="00050AAD">
        <w:rPr>
          <w:i/>
          <w:iCs/>
        </w:rPr>
        <w:t xml:space="preserve"> не должна превышать 96%; или </w:t>
      </w:r>
    </w:p>
    <w:p w:rsidR="00050AAD" w:rsidRPr="00050AAD" w:rsidRDefault="0041059F" w:rsidP="0041059F">
      <w:pPr>
        <w:pStyle w:val="SingleTxt"/>
        <w:ind w:left="2693" w:hanging="1426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050AAD" w:rsidRPr="00050AAD">
        <w:rPr>
          <w:i/>
          <w:iCs/>
        </w:rPr>
        <w:t>с)</w:t>
      </w:r>
      <w:r w:rsidR="00050AAD" w:rsidRPr="00050AAD">
        <w:rPr>
          <w:i/>
          <w:iCs/>
        </w:rPr>
        <w:tab/>
        <w:t>сочетанием воды и азота, при этом вещество должно покр</w:t>
      </w:r>
      <w:r w:rsidR="00050AAD" w:rsidRPr="00050AAD">
        <w:rPr>
          <w:i/>
          <w:iCs/>
        </w:rPr>
        <w:t>ы</w:t>
      </w:r>
      <w:r w:rsidR="00050AAD" w:rsidRPr="00050AAD">
        <w:rPr>
          <w:i/>
          <w:iCs/>
        </w:rPr>
        <w:t>ваться слоем воды, а остающееся пространство заполняться азотом. Степень наполнения веществом и водой при температ</w:t>
      </w:r>
      <w:r w:rsidR="00050AAD" w:rsidRPr="00050AAD">
        <w:rPr>
          <w:i/>
          <w:iCs/>
        </w:rPr>
        <w:t>у</w:t>
      </w:r>
      <w:r w:rsidR="00050AAD" w:rsidRPr="00050AAD">
        <w:rPr>
          <w:i/>
          <w:iCs/>
        </w:rPr>
        <w:t>ре 60</w:t>
      </w:r>
      <w:proofErr w:type="gramStart"/>
      <w:r w:rsidR="00050AAD" w:rsidRPr="00050AAD">
        <w:rPr>
          <w:i/>
          <w:iCs/>
        </w:rPr>
        <w:t xml:space="preserve"> °С</w:t>
      </w:r>
      <w:proofErr w:type="gramEnd"/>
      <w:r w:rsidR="00050AAD" w:rsidRPr="00050AAD">
        <w:rPr>
          <w:i/>
          <w:iCs/>
        </w:rPr>
        <w:t xml:space="preserve"> не должна превышать 98%. </w:t>
      </w:r>
    </w:p>
    <w:p w:rsidR="00050AAD" w:rsidRPr="00050AAD" w:rsidRDefault="0041059F" w:rsidP="0041059F">
      <w:pPr>
        <w:pStyle w:val="SingleTxt"/>
        <w:ind w:left="2218" w:hanging="951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050AAD" w:rsidRPr="00050AAD">
        <w:rPr>
          <w:i/>
          <w:iCs/>
        </w:rPr>
        <w:t>Когда в соответствии с пунктами a) или c) в качестве защитного агента используется вода и во время рейса следует ожидать низких температур окружающей среды, в воду должно добавляться дост</w:t>
      </w:r>
      <w:r w:rsidR="00050AAD" w:rsidRPr="00050AAD">
        <w:rPr>
          <w:i/>
          <w:iCs/>
        </w:rPr>
        <w:t>а</w:t>
      </w:r>
      <w:r w:rsidR="00050AAD" w:rsidRPr="00050AAD">
        <w:rPr>
          <w:i/>
          <w:iCs/>
        </w:rPr>
        <w:t>точное количество антифриза для предотвращения ее замерзания. Антифриз должен быть лишен коррозионной активности и способн</w:t>
      </w:r>
      <w:r w:rsidR="00050AAD" w:rsidRPr="00050AAD">
        <w:rPr>
          <w:i/>
          <w:iCs/>
        </w:rPr>
        <w:t>о</w:t>
      </w:r>
      <w:r w:rsidR="00050AAD" w:rsidRPr="00050AAD">
        <w:rPr>
          <w:i/>
          <w:iCs/>
        </w:rPr>
        <w:t>сти вступать в реакцию с веществом.</w:t>
      </w:r>
    </w:p>
    <w:p w:rsidR="00050AAD" w:rsidRPr="00050AAD" w:rsidRDefault="0041059F" w:rsidP="0041059F">
      <w:pPr>
        <w:pStyle w:val="SingleTxt"/>
        <w:ind w:left="2218" w:hanging="951"/>
        <w:rPr>
          <w:b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050AAD" w:rsidRPr="00050AAD">
        <w:rPr>
          <w:i/>
          <w:iCs/>
        </w:rPr>
        <w:t>Когда в соответствии с пунктами b) или c) в качестве защитного агента используется азот, остающееся пространство должно запо</w:t>
      </w:r>
      <w:r w:rsidR="00050AAD" w:rsidRPr="00050AAD">
        <w:rPr>
          <w:i/>
          <w:iCs/>
        </w:rPr>
        <w:t>л</w:t>
      </w:r>
      <w:r w:rsidR="00050AAD" w:rsidRPr="00050AAD">
        <w:rPr>
          <w:i/>
          <w:iCs/>
        </w:rPr>
        <w:t>няться азотом таким образом, чтобы давление никогда, даже после охлаждения, не опускалось ниже атмосферного. Цистерна должна герметически закрываться, чтобы не происходило утечки газа.</w:t>
      </w:r>
    </w:p>
    <w:p w:rsidR="0041059F" w:rsidRPr="0041059F" w:rsidRDefault="0041059F" w:rsidP="0041059F">
      <w:pPr>
        <w:pStyle w:val="SingleTxt"/>
        <w:spacing w:after="0" w:line="120" w:lineRule="exact"/>
        <w:rPr>
          <w:b/>
          <w:sz w:val="10"/>
        </w:rPr>
      </w:pPr>
    </w:p>
    <w:p w:rsidR="0041059F" w:rsidRPr="0041059F" w:rsidRDefault="0041059F" w:rsidP="0041059F">
      <w:pPr>
        <w:pStyle w:val="SingleTxt"/>
        <w:spacing w:after="0" w:line="120" w:lineRule="exact"/>
        <w:rPr>
          <w:b/>
          <w:sz w:val="10"/>
        </w:rPr>
      </w:pPr>
    </w:p>
    <w:p w:rsidR="00050AAD" w:rsidRPr="00050AAD" w:rsidRDefault="0041059F" w:rsidP="0041059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50AAD" w:rsidRPr="00050AAD">
        <w:t>Предложение 4</w:t>
      </w:r>
    </w:p>
    <w:p w:rsidR="0041059F" w:rsidRPr="0041059F" w:rsidRDefault="0041059F" w:rsidP="0041059F">
      <w:pPr>
        <w:pStyle w:val="SingleTxt"/>
        <w:spacing w:after="0" w:line="120" w:lineRule="exact"/>
        <w:rPr>
          <w:sz w:val="10"/>
        </w:rPr>
      </w:pPr>
    </w:p>
    <w:p w:rsidR="0041059F" w:rsidRPr="0041059F" w:rsidRDefault="0041059F" w:rsidP="0041059F">
      <w:pPr>
        <w:pStyle w:val="SingleTxt"/>
        <w:spacing w:after="0" w:line="120" w:lineRule="exact"/>
        <w:rPr>
          <w:sz w:val="10"/>
        </w:rPr>
      </w:pPr>
    </w:p>
    <w:p w:rsidR="00050AAD" w:rsidRPr="00050AAD" w:rsidRDefault="0041059F" w:rsidP="00050AAD">
      <w:pPr>
        <w:pStyle w:val="SingleTxt"/>
      </w:pPr>
      <w:r>
        <w:tab/>
      </w:r>
      <w:r w:rsidR="00112E05">
        <w:t>Изменить положение TU</w:t>
      </w:r>
      <w:r w:rsidR="00050AAD" w:rsidRPr="00050AAD">
        <w:t>16 следующим образом:</w:t>
      </w:r>
    </w:p>
    <w:p w:rsidR="00050AAD" w:rsidRPr="00050AAD" w:rsidRDefault="00050AAD" w:rsidP="0041059F">
      <w:pPr>
        <w:pStyle w:val="SingleTxt"/>
        <w:ind w:left="2218" w:hanging="951"/>
        <w:rPr>
          <w:i/>
          <w:iCs/>
        </w:rPr>
      </w:pPr>
      <w:r w:rsidRPr="00050AAD">
        <w:rPr>
          <w:b/>
          <w:bCs/>
          <w:i/>
          <w:iCs/>
        </w:rPr>
        <w:t>TU16</w:t>
      </w:r>
      <w:proofErr w:type="gramStart"/>
      <w:r w:rsidRPr="00050AAD">
        <w:tab/>
      </w:r>
      <w:r w:rsidRPr="00050AAD">
        <w:rPr>
          <w:i/>
          <w:iCs/>
        </w:rPr>
        <w:t>П</w:t>
      </w:r>
      <w:proofErr w:type="gramEnd"/>
      <w:r w:rsidRPr="00050AAD">
        <w:rPr>
          <w:i/>
          <w:iCs/>
        </w:rPr>
        <w:t>ри предъявлении к перевозке неочищенные порожние цистерны должны:</w:t>
      </w:r>
    </w:p>
    <w:p w:rsidR="00050AAD" w:rsidRPr="00050AAD" w:rsidRDefault="00050AAD" w:rsidP="00050AAD">
      <w:pPr>
        <w:pStyle w:val="SingleTxt"/>
        <w:rPr>
          <w:i/>
          <w:iCs/>
        </w:rPr>
      </w:pPr>
      <w:r w:rsidRPr="00050AAD">
        <w:rPr>
          <w:i/>
          <w:iCs/>
        </w:rPr>
        <w:tab/>
      </w:r>
      <w:r w:rsidRPr="00050AAD">
        <w:rPr>
          <w:i/>
          <w:iCs/>
        </w:rPr>
        <w:tab/>
        <w:t>–</w:t>
      </w:r>
      <w:r w:rsidR="0041059F">
        <w:rPr>
          <w:i/>
          <w:iCs/>
        </w:rPr>
        <w:tab/>
      </w:r>
      <w:r w:rsidRPr="00050AAD">
        <w:rPr>
          <w:i/>
          <w:iCs/>
        </w:rPr>
        <w:t xml:space="preserve">заполняться азотом (с водой или без воды); или </w:t>
      </w:r>
    </w:p>
    <w:p w:rsidR="00050AAD" w:rsidRPr="00050AAD" w:rsidRDefault="00050AAD" w:rsidP="0041059F">
      <w:pPr>
        <w:pStyle w:val="SingleTxt"/>
        <w:ind w:left="2693" w:hanging="1426"/>
        <w:rPr>
          <w:i/>
          <w:iCs/>
        </w:rPr>
      </w:pPr>
      <w:r w:rsidRPr="00050AAD">
        <w:tab/>
      </w:r>
      <w:r w:rsidRPr="00050AAD">
        <w:tab/>
      </w:r>
      <w:r w:rsidRPr="00050AAD">
        <w:rPr>
          <w:i/>
          <w:iCs/>
        </w:rPr>
        <w:t>–</w:t>
      </w:r>
      <w:r w:rsidR="0041059F">
        <w:rPr>
          <w:i/>
          <w:iCs/>
        </w:rPr>
        <w:tab/>
      </w:r>
      <w:r w:rsidRPr="00050AAD">
        <w:rPr>
          <w:i/>
          <w:iCs/>
        </w:rPr>
        <w:t>заполняться водой не менее чем на 96% и не более чем на 98% их вместимости; в период, когда во время рейса следует ожидать низких температур окружающей среды, в воду должно доба</w:t>
      </w:r>
      <w:r w:rsidRPr="00050AAD">
        <w:rPr>
          <w:i/>
          <w:iCs/>
        </w:rPr>
        <w:t>в</w:t>
      </w:r>
      <w:r w:rsidRPr="00050AAD">
        <w:rPr>
          <w:i/>
          <w:iCs/>
        </w:rPr>
        <w:t>ляться достаточное количество антифриза для предотвращения ее замерзания. Антифриз должен быть лишен коррозионной а</w:t>
      </w:r>
      <w:r w:rsidRPr="00050AAD">
        <w:rPr>
          <w:i/>
          <w:iCs/>
        </w:rPr>
        <w:t>к</w:t>
      </w:r>
      <w:r w:rsidRPr="00050AAD">
        <w:rPr>
          <w:i/>
          <w:iCs/>
        </w:rPr>
        <w:t xml:space="preserve">тивности и способности вступать в реакцию с веществом. </w:t>
      </w:r>
    </w:p>
    <w:p w:rsidR="0041059F" w:rsidRPr="0041059F" w:rsidRDefault="0041059F" w:rsidP="0041059F">
      <w:pPr>
        <w:pStyle w:val="SingleTxt"/>
        <w:spacing w:after="0" w:line="120" w:lineRule="exact"/>
        <w:rPr>
          <w:b/>
          <w:bCs/>
          <w:sz w:val="10"/>
        </w:rPr>
      </w:pPr>
    </w:p>
    <w:p w:rsidR="00050AAD" w:rsidRPr="00050AAD" w:rsidRDefault="0041059F" w:rsidP="0041059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50AAD" w:rsidRPr="00050AAD">
        <w:t>Пункт 6</w:t>
      </w:r>
      <w:r>
        <w:br/>
      </w:r>
      <w:r w:rsidR="00050AAD" w:rsidRPr="00050AAD">
        <w:t xml:space="preserve">ECE/TRANS/WP.15/AC.1/2015/39 (Норвегия) </w:t>
      </w:r>
      <w:r>
        <w:t>– Перевозка опасных грузов в </w:t>
      </w:r>
      <w:r w:rsidR="00050AAD" w:rsidRPr="00050AAD">
        <w:t>МЭГК, погруженных на транспортное средство, оснащенное крюковым захватом с гидравлическим приводом</w:t>
      </w:r>
    </w:p>
    <w:p w:rsidR="0041059F" w:rsidRPr="0041059F" w:rsidRDefault="0041059F" w:rsidP="0041059F">
      <w:pPr>
        <w:pStyle w:val="SingleTxt"/>
        <w:spacing w:after="0" w:line="120" w:lineRule="exact"/>
        <w:rPr>
          <w:sz w:val="10"/>
        </w:rPr>
      </w:pPr>
    </w:p>
    <w:p w:rsidR="00050AAD" w:rsidRPr="00050AAD" w:rsidRDefault="00050AAD" w:rsidP="00050AAD">
      <w:pPr>
        <w:pStyle w:val="SingleTxt"/>
      </w:pPr>
      <w:r w:rsidRPr="00050AAD">
        <w:t>18.</w:t>
      </w:r>
      <w:r w:rsidRPr="00050AAD">
        <w:tab/>
        <w:t>В примере Норвегии МЭГК погружались на транспортное средство с пом</w:t>
      </w:r>
      <w:r w:rsidRPr="00050AAD">
        <w:t>о</w:t>
      </w:r>
      <w:r w:rsidRPr="00050AAD">
        <w:t>щью крюкового подъемника стрелы, которой оборудовано это автотранспортное средство. В Норвегии произошло несколько аварий при использовании системы крюкового подъемника этого типа для погрузки неопасных грузов.</w:t>
      </w:r>
    </w:p>
    <w:p w:rsidR="00050AAD" w:rsidRPr="00050AAD" w:rsidRDefault="00050AAD" w:rsidP="00050AAD">
      <w:pPr>
        <w:pStyle w:val="SingleTxt"/>
      </w:pPr>
      <w:r w:rsidRPr="00050AAD">
        <w:lastRenderedPageBreak/>
        <w:t>19.</w:t>
      </w:r>
      <w:r w:rsidRPr="00050AAD">
        <w:tab/>
        <w:t>Норвегия в своем документе подняла два вопроса:</w:t>
      </w:r>
    </w:p>
    <w:p w:rsidR="00050AAD" w:rsidRPr="00050AAD" w:rsidRDefault="00050AAD" w:rsidP="00CA1AC7">
      <w:pPr>
        <w:pStyle w:val="Bullet1"/>
      </w:pPr>
      <w:r w:rsidRPr="00050AAD">
        <w:t>При погрузке МЭГК на транспортное средство, применяются ли только требования к закреплению грузов, предусмотренные в подразделе 7.5.7.1, или же применяются требования к креплениям, изложенные в разделе 9.7.3 ДОПОГ?</w:t>
      </w:r>
    </w:p>
    <w:p w:rsidR="00050AAD" w:rsidRPr="00050AAD" w:rsidRDefault="00050AAD" w:rsidP="0041059F">
      <w:pPr>
        <w:pStyle w:val="Bullet1"/>
      </w:pPr>
      <w:r w:rsidRPr="00050AAD">
        <w:t>Должен ли МЭГК (многоэлементный газовый контейнер) соответствовать определению контейнера?</w:t>
      </w:r>
    </w:p>
    <w:p w:rsidR="00050AAD" w:rsidRPr="00050AAD" w:rsidRDefault="00050AAD" w:rsidP="00050AAD">
      <w:pPr>
        <w:pStyle w:val="SingleTxt"/>
      </w:pPr>
      <w:r w:rsidRPr="00050AAD">
        <w:t>20.</w:t>
      </w:r>
      <w:r w:rsidRPr="00050AAD">
        <w:tab/>
        <w:t>Норвегия поставила вопрос о том, почему в главе 6.8 отсутствуют требов</w:t>
      </w:r>
      <w:r w:rsidRPr="00050AAD">
        <w:t>а</w:t>
      </w:r>
      <w:r w:rsidRPr="00050AAD">
        <w:t>ния к креплениям для МЭГК, тогда как в главе 6.7 предусмотрены требования к креплениям для МЭГК ООН, а в подразделе 6.8.2.1 предусмотрены требования к креплениям для контейнеров-цистерн.</w:t>
      </w:r>
    </w:p>
    <w:p w:rsidR="00050AAD" w:rsidRPr="00050AAD" w:rsidRDefault="00050AAD" w:rsidP="00050AAD">
      <w:pPr>
        <w:pStyle w:val="SingleTxt"/>
      </w:pPr>
      <w:r w:rsidRPr="00050AAD">
        <w:t>21.</w:t>
      </w:r>
      <w:r w:rsidRPr="00050AAD">
        <w:tab/>
        <w:t>Этот вопрос может быть разбит на следующие составляющие: требования к средствам крепления элементов МЭГК (6.8.3.1.5);</w:t>
      </w:r>
      <w:r w:rsidR="00112E05">
        <w:t xml:space="preserve"> </w:t>
      </w:r>
      <w:r w:rsidRPr="00050AAD">
        <w:t>требования к креплениям для МЭГК (6.8);</w:t>
      </w:r>
      <w:r w:rsidR="00112E05">
        <w:t xml:space="preserve"> </w:t>
      </w:r>
      <w:r w:rsidRPr="00050AAD">
        <w:t>требования к креплениям на транспортных средствах (9.7.3);</w:t>
      </w:r>
      <w:r w:rsidR="00CA1AC7">
        <w:t xml:space="preserve"> </w:t>
      </w:r>
      <w:r w:rsidRPr="00050AAD">
        <w:t>кре</w:t>
      </w:r>
      <w:r w:rsidRPr="00050AAD">
        <w:t>п</w:t>
      </w:r>
      <w:r w:rsidRPr="00050AAD">
        <w:t>ление МЭГК на транспортных средствах (7.5.7.4). Некоторые делегаты предл</w:t>
      </w:r>
      <w:r w:rsidRPr="00050AAD">
        <w:t>о</w:t>
      </w:r>
      <w:r w:rsidRPr="00050AAD">
        <w:t>жили изменить пункт 6.8.3.1.5 так, чтобы он распространялся также на МЭГК и их крепления. Другие предложили изменить пункт 6.8.2.1.2.</w:t>
      </w:r>
    </w:p>
    <w:p w:rsidR="00050AAD" w:rsidRPr="00050AAD" w:rsidRDefault="00050AAD" w:rsidP="00050AAD">
      <w:pPr>
        <w:pStyle w:val="SingleTxt"/>
      </w:pPr>
      <w:r w:rsidRPr="00050AAD">
        <w:t>22.</w:t>
      </w:r>
      <w:r w:rsidRPr="00050AAD">
        <w:tab/>
        <w:t>Делегаты по-разному толковали пункт 9.7.3. Некоторые сочли, что его пе</w:t>
      </w:r>
      <w:r w:rsidRPr="00050AAD">
        <w:t>р</w:t>
      </w:r>
      <w:r w:rsidRPr="00050AAD">
        <w:t xml:space="preserve">вая часть имеет отношение ко всем изделиям, о которых говорится в разделе 6.8, а оставшаяся часть </w:t>
      </w:r>
      <w:r w:rsidR="00CA1AC7">
        <w:t>–</w:t>
      </w:r>
      <w:r w:rsidRPr="00050AAD">
        <w:t xml:space="preserve"> к автоцистернам, тр</w:t>
      </w:r>
      <w:r w:rsidR="00CA1AC7">
        <w:t>анспортным средствам-батареям и </w:t>
      </w:r>
      <w:r w:rsidRPr="00050AAD">
        <w:t>транспортным средствам, перевозящим съемные цистерны. По мнению же др</w:t>
      </w:r>
      <w:r w:rsidRPr="00050AAD">
        <w:t>у</w:t>
      </w:r>
      <w:r w:rsidRPr="00050AAD">
        <w:t>гих делегатов, к автоцистернам, транспортным средствам-батареям и транспор</w:t>
      </w:r>
      <w:r w:rsidRPr="00050AAD">
        <w:t>т</w:t>
      </w:r>
      <w:r w:rsidRPr="00050AAD">
        <w:t>ным средствам, перевозящим съемные цистерн</w:t>
      </w:r>
      <w:r w:rsidR="00CA1AC7">
        <w:t>ы, имеет отношение только пункт </w:t>
      </w:r>
      <w:r w:rsidRPr="00050AAD">
        <w:t>6.8.2.1.16.</w:t>
      </w:r>
    </w:p>
    <w:p w:rsidR="00050AAD" w:rsidRPr="00050AAD" w:rsidRDefault="00050AAD" w:rsidP="00050AAD">
      <w:pPr>
        <w:pStyle w:val="SingleTxt"/>
      </w:pPr>
      <w:r w:rsidRPr="00050AAD">
        <w:t>23.</w:t>
      </w:r>
      <w:r w:rsidRPr="00050AAD">
        <w:tab/>
        <w:t>Соединенное Королевство обнаружило ошибку в тексте на английском яз</w:t>
      </w:r>
      <w:r w:rsidRPr="00050AAD">
        <w:t>ы</w:t>
      </w:r>
      <w:r w:rsidRPr="00050AAD">
        <w:t>ке, исправление которой позволило прояснить толкование. Кроме того, Норвегия займется изучением вопроса о дальнейшем улучшении этой формулировки.</w:t>
      </w:r>
    </w:p>
    <w:p w:rsidR="00050AAD" w:rsidRPr="00050AAD" w:rsidRDefault="00050AAD" w:rsidP="00050AAD">
      <w:pPr>
        <w:pStyle w:val="SingleTxt"/>
      </w:pPr>
      <w:r w:rsidRPr="00050AAD">
        <w:t>24.</w:t>
      </w:r>
      <w:r w:rsidRPr="00050AAD">
        <w:tab/>
        <w:t>Было отмечено, что в определении МЭГК, содержащемся в разделе 1</w:t>
      </w:r>
      <w:r w:rsidR="00CA1AC7">
        <w:t>.2.1, отсутствует формулировка «</w:t>
      </w:r>
      <w:r w:rsidRPr="00050AAD">
        <w:t>соответствующий определению термина "конте</w:t>
      </w:r>
      <w:r w:rsidRPr="00050AAD">
        <w:t>й</w:t>
      </w:r>
      <w:r w:rsidR="00CA1AC7">
        <w:t>нер"»</w:t>
      </w:r>
      <w:r w:rsidRPr="00050AAD">
        <w:t>.</w:t>
      </w:r>
    </w:p>
    <w:p w:rsidR="00050AAD" w:rsidRPr="00050AAD" w:rsidRDefault="00050AAD" w:rsidP="00050AAD">
      <w:pPr>
        <w:pStyle w:val="SingleTxt"/>
      </w:pPr>
      <w:r w:rsidRPr="00050AAD">
        <w:t>25.</w:t>
      </w:r>
      <w:r w:rsidRPr="00050AAD">
        <w:tab/>
        <w:t>Норвегия вызвалась подготовить, при содействии ЕАПГ, и представить предложение по устранению этого недочета.</w:t>
      </w:r>
    </w:p>
    <w:p w:rsidR="00CA1AC7" w:rsidRPr="00CA1AC7" w:rsidRDefault="00CA1AC7" w:rsidP="00CA1AC7">
      <w:pPr>
        <w:pStyle w:val="SingleTxt"/>
        <w:spacing w:after="0" w:line="120" w:lineRule="exact"/>
        <w:rPr>
          <w:b/>
          <w:sz w:val="10"/>
        </w:rPr>
      </w:pPr>
    </w:p>
    <w:p w:rsidR="00CA1AC7" w:rsidRPr="00CA1AC7" w:rsidRDefault="00CA1AC7" w:rsidP="00CA1AC7">
      <w:pPr>
        <w:pStyle w:val="SingleTxt"/>
        <w:spacing w:after="0" w:line="120" w:lineRule="exact"/>
        <w:rPr>
          <w:b/>
          <w:sz w:val="10"/>
        </w:rPr>
      </w:pPr>
    </w:p>
    <w:p w:rsidR="00050AAD" w:rsidRPr="00050AAD" w:rsidRDefault="00050AAD" w:rsidP="00CA1AC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0AAD">
        <w:tab/>
      </w:r>
      <w:r w:rsidRPr="00050AAD">
        <w:tab/>
        <w:t>Предложение 5</w:t>
      </w:r>
    </w:p>
    <w:p w:rsidR="00CA1AC7" w:rsidRPr="00CA1AC7" w:rsidRDefault="00CA1AC7" w:rsidP="00CA1AC7">
      <w:pPr>
        <w:pStyle w:val="SingleTxt"/>
        <w:spacing w:after="0" w:line="120" w:lineRule="exact"/>
        <w:rPr>
          <w:sz w:val="10"/>
        </w:rPr>
      </w:pPr>
    </w:p>
    <w:p w:rsidR="00CA1AC7" w:rsidRPr="00CA1AC7" w:rsidRDefault="00CA1AC7" w:rsidP="00CA1AC7">
      <w:pPr>
        <w:pStyle w:val="SingleTxt"/>
        <w:spacing w:after="0" w:line="120" w:lineRule="exact"/>
        <w:rPr>
          <w:sz w:val="10"/>
        </w:rPr>
      </w:pPr>
    </w:p>
    <w:p w:rsidR="00050AAD" w:rsidRPr="00050AAD" w:rsidRDefault="00050AAD" w:rsidP="00050AAD">
      <w:pPr>
        <w:pStyle w:val="SingleTxt"/>
      </w:pPr>
      <w:r w:rsidRPr="00050AAD">
        <w:tab/>
        <w:t>Внести исправления в нумерацию пунктов, указанных в разделе 9.7.3, сл</w:t>
      </w:r>
      <w:r w:rsidRPr="00050AAD">
        <w:t>е</w:t>
      </w:r>
      <w:r w:rsidR="00CA1AC7">
        <w:t xml:space="preserve">дующим образом (только </w:t>
      </w:r>
      <w:r w:rsidR="00CA1AC7">
        <w:tab/>
      </w:r>
      <w:r w:rsidRPr="00050AAD">
        <w:t>на английском языке):</w:t>
      </w:r>
    </w:p>
    <w:p w:rsidR="00050AAD" w:rsidRPr="00050AAD" w:rsidRDefault="00050AAD" w:rsidP="00CA1AC7">
      <w:pPr>
        <w:pStyle w:val="SingleTxt"/>
        <w:tabs>
          <w:tab w:val="clear" w:pos="1742"/>
          <w:tab w:val="left" w:pos="1980"/>
        </w:tabs>
        <w:rPr>
          <w:b/>
          <w:i/>
          <w:lang w:val="x-none"/>
        </w:rPr>
      </w:pPr>
      <w:r w:rsidRPr="00050AAD">
        <w:rPr>
          <w:b/>
          <w:bCs/>
          <w:i/>
          <w:iCs/>
        </w:rPr>
        <w:t>9.7.3</w:t>
      </w:r>
      <w:r w:rsidRPr="00050AAD">
        <w:tab/>
      </w:r>
      <w:r w:rsidRPr="00050AAD">
        <w:rPr>
          <w:b/>
          <w:bCs/>
          <w:i/>
          <w:iCs/>
        </w:rPr>
        <w:t>Крепления</w:t>
      </w:r>
    </w:p>
    <w:p w:rsidR="00050AAD" w:rsidRPr="00050AAD" w:rsidRDefault="00050AAD" w:rsidP="00050AAD">
      <w:pPr>
        <w:pStyle w:val="SingleTxt"/>
        <w:rPr>
          <w:i/>
        </w:rPr>
      </w:pPr>
      <w:r w:rsidRPr="00CA1AC7">
        <w:rPr>
          <w:i/>
        </w:rPr>
        <w:t>К</w:t>
      </w:r>
      <w:r w:rsidRPr="00050AAD">
        <w:rPr>
          <w:i/>
          <w:iCs/>
        </w:rPr>
        <w:t>репления должны быть рассчитаны таким образом, чтобы выдерживать статические и динамические нагрузки в нормальных условиях перевозки, а та</w:t>
      </w:r>
      <w:r w:rsidRPr="00050AAD">
        <w:rPr>
          <w:i/>
          <w:iCs/>
        </w:rPr>
        <w:t>к</w:t>
      </w:r>
      <w:r w:rsidRPr="00050AAD">
        <w:rPr>
          <w:i/>
          <w:iCs/>
        </w:rPr>
        <w:t>же минимальные нагрузки, определенные в пунктах 6.8.2.1.2, 6.8.2.1.11–</w:t>
      </w:r>
      <w:r w:rsidRPr="00CA1AC7">
        <w:rPr>
          <w:i/>
          <w:iCs/>
          <w:strike/>
        </w:rPr>
        <w:t>6.8.2.1.15</w:t>
      </w:r>
      <w:r w:rsidRPr="00050AAD">
        <w:rPr>
          <w:i/>
          <w:iCs/>
        </w:rPr>
        <w:t xml:space="preserve"> </w:t>
      </w:r>
      <w:r w:rsidRPr="00050AAD">
        <w:rPr>
          <w:b/>
          <w:bCs/>
          <w:i/>
          <w:iCs/>
        </w:rPr>
        <w:t xml:space="preserve">6.8.2.1.13, 6.8.2.1.15 </w:t>
      </w:r>
      <w:r w:rsidRPr="00050AAD">
        <w:rPr>
          <w:i/>
          <w:iCs/>
        </w:rPr>
        <w:t>и 6.8.2.1.16 в случае автоцистерн, транспортных средств-батарей и транспортных средств, перевозящих съемные цистерны.</w:t>
      </w:r>
    </w:p>
    <w:p w:rsidR="00CA1AC7" w:rsidRPr="00CA1AC7" w:rsidRDefault="00CA1AC7" w:rsidP="00CA1AC7">
      <w:pPr>
        <w:pStyle w:val="SingleTxt"/>
        <w:spacing w:after="0" w:line="120" w:lineRule="exact"/>
        <w:rPr>
          <w:b/>
          <w:bCs/>
          <w:sz w:val="10"/>
        </w:rPr>
      </w:pPr>
    </w:p>
    <w:p w:rsidR="00050AAD" w:rsidRPr="00050AAD" w:rsidRDefault="00CA1AC7" w:rsidP="009D39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</w:r>
      <w:r w:rsidR="00050AAD" w:rsidRPr="00050AAD">
        <w:t>Пункт 7</w:t>
      </w:r>
      <w:r>
        <w:br/>
      </w:r>
      <w:r w:rsidR="00050AAD" w:rsidRPr="00050AAD">
        <w:t>ECE/TRANS/WP.15/AC.1/2015/51 (Нидерланды)</w:t>
      </w:r>
      <w:r>
        <w:t xml:space="preserve"> –</w:t>
      </w:r>
      <w:r w:rsidR="00050AAD" w:rsidRPr="00050AAD">
        <w:t xml:space="preserve"> Корпуса цистерн с защитной облицовкой + INF.28 (Бельгия)</w:t>
      </w:r>
    </w:p>
    <w:p w:rsidR="00CA1AC7" w:rsidRPr="00CA1AC7" w:rsidRDefault="00CA1AC7" w:rsidP="009D3913">
      <w:pPr>
        <w:pStyle w:val="SingleTxt"/>
        <w:keepNext/>
        <w:spacing w:after="0" w:line="120" w:lineRule="exact"/>
        <w:rPr>
          <w:sz w:val="10"/>
        </w:rPr>
      </w:pPr>
    </w:p>
    <w:p w:rsidR="00050AAD" w:rsidRPr="00050AAD" w:rsidRDefault="00050AAD" w:rsidP="00050AAD">
      <w:pPr>
        <w:pStyle w:val="SingleTxt"/>
      </w:pPr>
      <w:r w:rsidRPr="00050AAD">
        <w:t>26.</w:t>
      </w:r>
      <w:r w:rsidRPr="00050AAD">
        <w:tab/>
        <w:t>Представитель Нидерландов высказал мнение о недопустимости аварий, подобных той, которая произошла летом 2013 года из-за того, что в облицовке цистерны, заполненной соляной кислотой, возник дефект, который привел к тому, что за считанные часы корпус цистерны, изготовленный из алюминиевого спл</w:t>
      </w:r>
      <w:r w:rsidRPr="00050AAD">
        <w:t>а</w:t>
      </w:r>
      <w:r w:rsidRPr="00050AAD">
        <w:t xml:space="preserve">ва, </w:t>
      </w:r>
      <w:proofErr w:type="gramStart"/>
      <w:r w:rsidRPr="00050AAD">
        <w:t>был растворен на значительных участках и произошла</w:t>
      </w:r>
      <w:proofErr w:type="gramEnd"/>
      <w:r w:rsidRPr="00050AAD">
        <w:t xml:space="preserve"> серьезная утечка. Да</w:t>
      </w:r>
      <w:r w:rsidRPr="00050AAD">
        <w:t>н</w:t>
      </w:r>
      <w:r w:rsidRPr="00050AAD">
        <w:t>ное предложение нацелено на согласовани</w:t>
      </w:r>
      <w:r w:rsidR="00CA1AC7">
        <w:t>е положений пунктов 4.3.2.1.5 и </w:t>
      </w:r>
      <w:r w:rsidRPr="00050AAD">
        <w:t>6.8.2.1.9; на основании пункта 4.3.2.1.5 соляная кислота в принципе не должна была перевозиться в цистерне, корпус которой изготовлен из алюминиевого сплава с облицовкой.</w:t>
      </w:r>
    </w:p>
    <w:p w:rsidR="00050AAD" w:rsidRPr="00050AAD" w:rsidRDefault="00050AAD" w:rsidP="00050AAD">
      <w:pPr>
        <w:pStyle w:val="SingleTxt"/>
      </w:pPr>
      <w:r w:rsidRPr="00050AAD">
        <w:t>27.</w:t>
      </w:r>
      <w:r w:rsidRPr="00050AAD">
        <w:tab/>
        <w:t>Бельгия, представив документ INF.28, отметила, что в обращении находится значительное количество цистерн с корпусом из алюминиевого сплава с обл</w:t>
      </w:r>
      <w:r w:rsidRPr="00050AAD">
        <w:t>и</w:t>
      </w:r>
      <w:r w:rsidRPr="00050AAD">
        <w:t>цовкой. Вопрос о дефекте облицовки, который с</w:t>
      </w:r>
      <w:r w:rsidR="00B92254">
        <w:t>тал основной причиной аварии, в </w:t>
      </w:r>
      <w:r w:rsidRPr="00050AAD">
        <w:t>документе Нидерландов не решен. Следует ус</w:t>
      </w:r>
      <w:r w:rsidR="00B92254">
        <w:t>овершенствовать положения гл</w:t>
      </w:r>
      <w:r w:rsidR="00B92254">
        <w:t>а</w:t>
      </w:r>
      <w:r w:rsidR="00B92254">
        <w:t>вы </w:t>
      </w:r>
      <w:r w:rsidRPr="00050AAD">
        <w:t>6.8, касающиеся использования облицовки и проведения ее проверок, в соо</w:t>
      </w:r>
      <w:r w:rsidRPr="00050AAD">
        <w:t>т</w:t>
      </w:r>
      <w:r w:rsidRPr="00050AAD">
        <w:t>ветствии с положениями главы 6.7.</w:t>
      </w:r>
    </w:p>
    <w:p w:rsidR="00050AAD" w:rsidRPr="00050AAD" w:rsidRDefault="00050AAD" w:rsidP="00050AAD">
      <w:pPr>
        <w:pStyle w:val="SingleTxt"/>
      </w:pPr>
      <w:r w:rsidRPr="00050AAD">
        <w:t>28.</w:t>
      </w:r>
      <w:r w:rsidRPr="00050AAD">
        <w:tab/>
        <w:t>Несколько экспертов сочли, что предло</w:t>
      </w:r>
      <w:r w:rsidR="00CA1AC7">
        <w:t>жение, содержащееся в докуме</w:t>
      </w:r>
      <w:r w:rsidR="00CA1AC7">
        <w:t>н</w:t>
      </w:r>
      <w:r w:rsidR="00CA1AC7">
        <w:t>те </w:t>
      </w:r>
      <w:r w:rsidRPr="00050AAD">
        <w:t>2015/51, ограничивает использование корпусов из стали с облицовкой и, как следствие, является неприемлемым. Подход Бельгии по</w:t>
      </w:r>
      <w:r w:rsidR="00112E05">
        <w:t>л</w:t>
      </w:r>
      <w:r w:rsidRPr="00050AAD">
        <w:t xml:space="preserve">учил поддержку, однако были высказаны оговорки в отношении проведения дополнительных проверок. Как было отмечено, каждая проверка повышает риск повреждения облицовки. Некоторые эксперты предложили просто ввести запрет </w:t>
      </w:r>
      <w:proofErr w:type="gramStart"/>
      <w:r w:rsidRPr="00050AAD">
        <w:t>на использование цистерн из алюминиевого сплава в сочетании с облицовкой в случае</w:t>
      </w:r>
      <w:proofErr w:type="gramEnd"/>
      <w:r w:rsidRPr="00050AAD">
        <w:t xml:space="preserve"> определенных кр</w:t>
      </w:r>
      <w:r w:rsidRPr="00050AAD">
        <w:t>и</w:t>
      </w:r>
      <w:r w:rsidRPr="00050AAD">
        <w:t>тически опасных изделий, как это уже предлагалось в одном из предыдущих д</w:t>
      </w:r>
      <w:r w:rsidRPr="00050AAD">
        <w:t>о</w:t>
      </w:r>
      <w:r w:rsidRPr="00050AAD">
        <w:t>кументов.</w:t>
      </w:r>
    </w:p>
    <w:p w:rsidR="00050AAD" w:rsidRPr="00050AAD" w:rsidRDefault="00050AAD" w:rsidP="00050AAD">
      <w:pPr>
        <w:pStyle w:val="SingleTxt"/>
      </w:pPr>
      <w:r w:rsidRPr="00050AAD">
        <w:t>29.</w:t>
      </w:r>
      <w:r w:rsidRPr="00050AAD">
        <w:tab/>
        <w:t>В заключение Рабочая группа согласилась с предложением Бельгии о пр</w:t>
      </w:r>
      <w:r w:rsidRPr="00050AAD">
        <w:t>о</w:t>
      </w:r>
      <w:r w:rsidRPr="00050AAD">
        <w:t>ведении совместной работы с Нидерландами и другими заинтересованными ст</w:t>
      </w:r>
      <w:r w:rsidRPr="00050AAD">
        <w:t>о</w:t>
      </w:r>
      <w:r w:rsidRPr="00050AAD">
        <w:t>ронами в целях поиска приемлемого решения этого вопроса, которое включало бы подробные требования в отношении использования, контроля и проверок о</w:t>
      </w:r>
      <w:r w:rsidRPr="00050AAD">
        <w:t>б</w:t>
      </w:r>
      <w:r w:rsidRPr="00050AAD">
        <w:t>лицовки.</w:t>
      </w:r>
    </w:p>
    <w:p w:rsidR="00CA1AC7" w:rsidRPr="00CA1AC7" w:rsidRDefault="00CA1AC7" w:rsidP="00CA1AC7">
      <w:pPr>
        <w:pStyle w:val="SingleTxt"/>
        <w:spacing w:after="0" w:line="120" w:lineRule="exact"/>
        <w:rPr>
          <w:b/>
          <w:bCs/>
          <w:sz w:val="10"/>
        </w:rPr>
      </w:pPr>
    </w:p>
    <w:p w:rsidR="00050AAD" w:rsidRPr="00050AAD" w:rsidRDefault="00CA1AC7" w:rsidP="00CA1AC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50AAD" w:rsidRPr="00050AAD">
        <w:t>Пункт 8</w:t>
      </w:r>
      <w:r>
        <w:br/>
      </w:r>
      <w:r w:rsidR="00050AAD" w:rsidRPr="00050AAD">
        <w:t xml:space="preserve">ECE/TRANS/WP.15/AC.1/2015/54 (Нидерланды) </w:t>
      </w:r>
      <w:r>
        <w:t>–</w:t>
      </w:r>
      <w:r w:rsidR="00050AAD" w:rsidRPr="00050AAD">
        <w:t xml:space="preserve"> Ограничения, налагаемые на утверждение цистерн с вакуумной изоляцией для перевозки СПГ стандартом, на который сделана опосредованная ссылка</w:t>
      </w:r>
    </w:p>
    <w:p w:rsidR="00CA1AC7" w:rsidRPr="00CA1AC7" w:rsidRDefault="00CA1AC7" w:rsidP="00CA1AC7">
      <w:pPr>
        <w:pStyle w:val="SingleTxt"/>
        <w:spacing w:after="0" w:line="120" w:lineRule="exact"/>
        <w:rPr>
          <w:sz w:val="10"/>
        </w:rPr>
      </w:pPr>
    </w:p>
    <w:p w:rsidR="00050AAD" w:rsidRPr="00050AAD" w:rsidRDefault="00050AAD" w:rsidP="00050AAD">
      <w:pPr>
        <w:pStyle w:val="SingleTxt"/>
      </w:pPr>
      <w:r w:rsidRPr="00050AAD">
        <w:t>30.</w:t>
      </w:r>
      <w:r w:rsidRPr="00050AAD">
        <w:tab/>
        <w:t>Для изготовления средств удержания с вакуумной изоляцией в МПОГ/</w:t>
      </w:r>
      <w:r w:rsidR="00CA1AC7">
        <w:br/>
      </w:r>
      <w:r w:rsidRPr="00050AAD">
        <w:t>ДОПОГ даются ссылки на стандарты EN 1251-2:2000 и EN 13530-2. В обоих упомянутых стандартах делается ссылка на стандарт EN 1252-1:1998, специал</w:t>
      </w:r>
      <w:r w:rsidRPr="00050AAD">
        <w:t>ь</w:t>
      </w:r>
      <w:r w:rsidRPr="00050AAD">
        <w:t xml:space="preserve">но предусмотренный для прочности материала корпуса при температурах ниже </w:t>
      </w:r>
      <w:r w:rsidR="00112E05">
        <w:br/>
      </w:r>
      <w:r w:rsidRPr="00050AAD">
        <w:t xml:space="preserve">–80 </w:t>
      </w:r>
      <w:r w:rsidR="00CA1AC7" w:rsidRPr="00CA1AC7">
        <w:t>°</w:t>
      </w:r>
      <w:r w:rsidRPr="00050AAD">
        <w:rPr>
          <w:lang w:val="en-GB"/>
        </w:rPr>
        <w:t>C</w:t>
      </w:r>
      <w:r w:rsidRPr="00050AAD">
        <w:t xml:space="preserve">. Однако в сферу применения этого стандарта на прочность материала не </w:t>
      </w:r>
      <w:proofErr w:type="gramStart"/>
      <w:r w:rsidRPr="00050AAD">
        <w:t>включен</w:t>
      </w:r>
      <w:proofErr w:type="gramEnd"/>
      <w:r w:rsidRPr="00050AAD">
        <w:t xml:space="preserve"> СПГ.</w:t>
      </w:r>
    </w:p>
    <w:p w:rsidR="00050AAD" w:rsidRPr="00050AAD" w:rsidRDefault="00050AAD" w:rsidP="00050AAD">
      <w:pPr>
        <w:pStyle w:val="SingleTxt"/>
      </w:pPr>
      <w:r w:rsidRPr="00050AAD">
        <w:t>31.</w:t>
      </w:r>
      <w:r w:rsidRPr="00050AAD">
        <w:tab/>
        <w:t>Было сочтено, что наиболее подходящим способом размещения этой и</w:t>
      </w:r>
      <w:r w:rsidRPr="00050AAD">
        <w:t>н</w:t>
      </w:r>
      <w:r w:rsidRPr="00050AAD">
        <w:t>формации будет включение примечания в таблицу, где приводится ссылка на стандарт на изготовление соответствующего изделия. Для включения в ссылку в разделе 6.2 предложенное примечание следует сделать более конкретным.</w:t>
      </w:r>
    </w:p>
    <w:p w:rsidR="00050AAD" w:rsidRPr="00050AAD" w:rsidRDefault="00050AAD" w:rsidP="00050AAD">
      <w:pPr>
        <w:pStyle w:val="SingleTxt"/>
      </w:pPr>
      <w:r w:rsidRPr="00050AAD">
        <w:t>32.</w:t>
      </w:r>
      <w:r w:rsidRPr="00050AAD">
        <w:tab/>
        <w:t xml:space="preserve">Было предложено </w:t>
      </w:r>
      <w:proofErr w:type="gramStart"/>
      <w:r w:rsidRPr="00050AAD">
        <w:t>поручить секретариату обратиться</w:t>
      </w:r>
      <w:proofErr w:type="gramEnd"/>
      <w:r w:rsidRPr="00050AAD">
        <w:t xml:space="preserve"> к ТК 268 ЕКС с прос</w:t>
      </w:r>
      <w:r w:rsidRPr="00050AAD">
        <w:t>ь</w:t>
      </w:r>
      <w:r w:rsidRPr="00050AAD">
        <w:t>бой пересмотреть этот стандарт.</w:t>
      </w:r>
    </w:p>
    <w:p w:rsidR="00CA1AC7" w:rsidRPr="00CA1AC7" w:rsidRDefault="00CA1AC7" w:rsidP="00CA1AC7">
      <w:pPr>
        <w:pStyle w:val="SingleTxt"/>
        <w:spacing w:after="0" w:line="120" w:lineRule="exact"/>
        <w:rPr>
          <w:b/>
          <w:sz w:val="10"/>
        </w:rPr>
      </w:pPr>
    </w:p>
    <w:p w:rsidR="00CA1AC7" w:rsidRPr="00CA1AC7" w:rsidRDefault="00CA1AC7" w:rsidP="00CA1AC7">
      <w:pPr>
        <w:pStyle w:val="SingleTxt"/>
        <w:spacing w:after="0" w:line="120" w:lineRule="exact"/>
        <w:rPr>
          <w:b/>
          <w:sz w:val="10"/>
        </w:rPr>
      </w:pPr>
    </w:p>
    <w:p w:rsidR="00050AAD" w:rsidRPr="00050AAD" w:rsidRDefault="00050AAD" w:rsidP="00CA1AC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0AAD">
        <w:lastRenderedPageBreak/>
        <w:tab/>
      </w:r>
      <w:r w:rsidRPr="00050AAD">
        <w:tab/>
        <w:t>Предложение 6</w:t>
      </w:r>
    </w:p>
    <w:p w:rsidR="00CA1AC7" w:rsidRPr="00CA1AC7" w:rsidRDefault="00CA1AC7" w:rsidP="00CA1AC7">
      <w:pPr>
        <w:pStyle w:val="SingleTxt"/>
        <w:spacing w:after="0" w:line="120" w:lineRule="exact"/>
        <w:rPr>
          <w:sz w:val="10"/>
        </w:rPr>
      </w:pPr>
    </w:p>
    <w:p w:rsidR="00CA1AC7" w:rsidRPr="00CA1AC7" w:rsidRDefault="00CA1AC7" w:rsidP="00CA1AC7">
      <w:pPr>
        <w:pStyle w:val="SingleTxt"/>
        <w:spacing w:after="0" w:line="120" w:lineRule="exact"/>
        <w:rPr>
          <w:sz w:val="10"/>
        </w:rPr>
      </w:pPr>
    </w:p>
    <w:p w:rsidR="00050AAD" w:rsidRDefault="00CA1AC7" w:rsidP="00050AAD">
      <w:pPr>
        <w:pStyle w:val="SingleTxt"/>
      </w:pPr>
      <w:r>
        <w:tab/>
      </w:r>
      <w:r w:rsidR="00050AAD" w:rsidRPr="00050AAD">
        <w:t>Добавить примечание в таблицу 6.2.4.1 для EN 1251-2:2000 (новая форм</w:t>
      </w:r>
      <w:r w:rsidR="00050AAD" w:rsidRPr="00050AAD">
        <w:t>у</w:t>
      </w:r>
      <w:r w:rsidR="00050AAD" w:rsidRPr="00050AAD">
        <w:t>лировка выделена жирным шрифтом и курсивом)</w:t>
      </w:r>
      <w:r w:rsidR="00112E05">
        <w:t>:</w:t>
      </w:r>
    </w:p>
    <w:p w:rsidR="00CA1AC7" w:rsidRPr="00CA1AC7" w:rsidRDefault="00CA1AC7" w:rsidP="00CA1AC7">
      <w:pPr>
        <w:pStyle w:val="SingleTxt"/>
        <w:spacing w:after="0" w:line="120" w:lineRule="exact"/>
        <w:rPr>
          <w:sz w:val="10"/>
        </w:rPr>
      </w:pPr>
    </w:p>
    <w:tbl>
      <w:tblPr>
        <w:tblW w:w="8766" w:type="dxa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3312"/>
        <w:gridCol w:w="1755"/>
        <w:gridCol w:w="1476"/>
        <w:gridCol w:w="693"/>
      </w:tblGrid>
      <w:tr w:rsidR="009D3913" w:rsidRPr="00050AAD" w:rsidTr="00DC68E4">
        <w:trPr>
          <w:cantSplit/>
        </w:trPr>
        <w:tc>
          <w:tcPr>
            <w:tcW w:w="1530" w:type="dxa"/>
          </w:tcPr>
          <w:p w:rsidR="00050AAD" w:rsidRPr="00B92254" w:rsidRDefault="00050AAD" w:rsidP="00CA1AC7">
            <w:pPr>
              <w:pStyle w:val="SingleTx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B92254">
              <w:rPr>
                <w:sz w:val="18"/>
                <w:szCs w:val="18"/>
              </w:rPr>
              <w:t>EN 1251-2:2000</w:t>
            </w:r>
          </w:p>
        </w:tc>
        <w:tc>
          <w:tcPr>
            <w:tcW w:w="3312" w:type="dxa"/>
          </w:tcPr>
          <w:p w:rsidR="00050AAD" w:rsidRPr="00B92254" w:rsidRDefault="00050AAD" w:rsidP="00CA1AC7">
            <w:pPr>
              <w:pStyle w:val="SingleTxt"/>
              <w:ind w:left="0" w:right="0"/>
              <w:jc w:val="left"/>
              <w:rPr>
                <w:sz w:val="18"/>
                <w:szCs w:val="18"/>
              </w:rPr>
            </w:pPr>
            <w:r w:rsidRPr="00B92254">
              <w:rPr>
                <w:sz w:val="18"/>
                <w:szCs w:val="18"/>
              </w:rPr>
              <w:t>Криогенные сосуды – Переносные с</w:t>
            </w:r>
            <w:r w:rsidRPr="00B92254">
              <w:rPr>
                <w:sz w:val="18"/>
                <w:szCs w:val="18"/>
              </w:rPr>
              <w:t>о</w:t>
            </w:r>
            <w:r w:rsidRPr="00B92254">
              <w:rPr>
                <w:sz w:val="18"/>
                <w:szCs w:val="18"/>
              </w:rPr>
              <w:t>суды с вакуумной изоляцией объемом не более 1</w:t>
            </w:r>
            <w:r w:rsidR="00B92254">
              <w:rPr>
                <w:sz w:val="18"/>
                <w:szCs w:val="18"/>
              </w:rPr>
              <w:t> </w:t>
            </w:r>
            <w:r w:rsidRPr="00B92254">
              <w:rPr>
                <w:sz w:val="18"/>
                <w:szCs w:val="18"/>
              </w:rPr>
              <w:t>000 литров – Часть</w:t>
            </w:r>
            <w:r w:rsidR="00CA1AC7" w:rsidRPr="00B92254">
              <w:rPr>
                <w:sz w:val="18"/>
                <w:szCs w:val="18"/>
              </w:rPr>
              <w:t> </w:t>
            </w:r>
            <w:r w:rsidRPr="00B92254">
              <w:rPr>
                <w:sz w:val="18"/>
                <w:szCs w:val="18"/>
              </w:rPr>
              <w:t>2: Ко</w:t>
            </w:r>
            <w:r w:rsidRPr="00B92254">
              <w:rPr>
                <w:sz w:val="18"/>
                <w:szCs w:val="18"/>
              </w:rPr>
              <w:t>н</w:t>
            </w:r>
            <w:r w:rsidRPr="00B92254">
              <w:rPr>
                <w:sz w:val="18"/>
                <w:szCs w:val="18"/>
              </w:rPr>
              <w:t>струкция, изготовление, проверка и испытания</w:t>
            </w:r>
          </w:p>
          <w:p w:rsidR="00050AAD" w:rsidRPr="00B92254" w:rsidRDefault="00050AAD" w:rsidP="00DC68E4">
            <w:pPr>
              <w:pStyle w:val="SingleTxt"/>
              <w:ind w:left="0" w:right="0"/>
              <w:jc w:val="left"/>
              <w:rPr>
                <w:sz w:val="18"/>
                <w:szCs w:val="18"/>
              </w:rPr>
            </w:pPr>
            <w:r w:rsidRPr="00B92254">
              <w:rPr>
                <w:b/>
                <w:bCs/>
                <w:i/>
                <w:iCs/>
                <w:sz w:val="18"/>
                <w:szCs w:val="18"/>
              </w:rPr>
              <w:t xml:space="preserve">Примечание: </w:t>
            </w:r>
            <w:r w:rsidR="00DC68E4" w:rsidRPr="00B92254">
              <w:rPr>
                <w:b/>
                <w:bCs/>
                <w:i/>
                <w:iCs/>
                <w:sz w:val="18"/>
                <w:szCs w:val="18"/>
              </w:rPr>
              <w:t xml:space="preserve">Стандарт </w:t>
            </w:r>
            <w:r w:rsidRPr="00B92254">
              <w:rPr>
                <w:b/>
                <w:bCs/>
                <w:i/>
                <w:iCs/>
                <w:sz w:val="18"/>
                <w:szCs w:val="18"/>
              </w:rPr>
              <w:t>EN 1252-1:1998, на который делается ссылка в данном стандарте, применяется также к закрытым криогенным с</w:t>
            </w:r>
            <w:r w:rsidRPr="00B92254">
              <w:rPr>
                <w:b/>
                <w:bCs/>
                <w:i/>
                <w:iCs/>
                <w:sz w:val="18"/>
                <w:szCs w:val="18"/>
              </w:rPr>
              <w:t>о</w:t>
            </w:r>
            <w:r w:rsidRPr="00B92254">
              <w:rPr>
                <w:b/>
                <w:bCs/>
                <w:i/>
                <w:iCs/>
                <w:sz w:val="18"/>
                <w:szCs w:val="18"/>
              </w:rPr>
              <w:t>судам для перевозки вещества под №</w:t>
            </w:r>
            <w:r w:rsidR="00DC68E4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B92254">
              <w:rPr>
                <w:b/>
                <w:bCs/>
                <w:i/>
                <w:iCs/>
                <w:sz w:val="18"/>
                <w:szCs w:val="18"/>
              </w:rPr>
              <w:t>ООН 1972 (СПГ).</w:t>
            </w:r>
          </w:p>
        </w:tc>
        <w:tc>
          <w:tcPr>
            <w:tcW w:w="1755" w:type="dxa"/>
            <w:vAlign w:val="center"/>
          </w:tcPr>
          <w:p w:rsidR="00050AAD" w:rsidRPr="00B92254" w:rsidRDefault="00050AAD" w:rsidP="003B5BFE">
            <w:pPr>
              <w:pStyle w:val="SingleTx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B92254">
              <w:rPr>
                <w:sz w:val="18"/>
                <w:szCs w:val="18"/>
              </w:rPr>
              <w:t>6.2.3.1 и 6.2.3.4</w:t>
            </w:r>
          </w:p>
        </w:tc>
        <w:tc>
          <w:tcPr>
            <w:tcW w:w="1476" w:type="dxa"/>
            <w:vAlign w:val="center"/>
          </w:tcPr>
          <w:p w:rsidR="00050AAD" w:rsidRPr="00B92254" w:rsidRDefault="00050AAD" w:rsidP="00CA1AC7">
            <w:pPr>
              <w:pStyle w:val="SingleTx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92254">
              <w:rPr>
                <w:sz w:val="18"/>
                <w:szCs w:val="18"/>
              </w:rPr>
              <w:t>До дальнейшего указания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50AAD" w:rsidRPr="00B92254" w:rsidRDefault="00050AAD" w:rsidP="00CA1AC7">
            <w:pPr>
              <w:pStyle w:val="SingleTxt"/>
              <w:ind w:left="0" w:right="0"/>
              <w:jc w:val="left"/>
              <w:rPr>
                <w:sz w:val="18"/>
                <w:szCs w:val="18"/>
                <w:lang w:val="en-GB"/>
              </w:rPr>
            </w:pPr>
          </w:p>
        </w:tc>
      </w:tr>
    </w:tbl>
    <w:p w:rsidR="00CA1AC7" w:rsidRPr="00CA1AC7" w:rsidRDefault="00CA1AC7" w:rsidP="00CA1AC7">
      <w:pPr>
        <w:pStyle w:val="SingleTxt"/>
        <w:spacing w:after="0" w:line="120" w:lineRule="exact"/>
        <w:rPr>
          <w:b/>
          <w:sz w:val="10"/>
        </w:rPr>
      </w:pPr>
    </w:p>
    <w:p w:rsidR="00CA1AC7" w:rsidRPr="00CA1AC7" w:rsidRDefault="00CA1AC7" w:rsidP="00CA1AC7">
      <w:pPr>
        <w:pStyle w:val="SingleTxt"/>
        <w:spacing w:after="0" w:line="120" w:lineRule="exact"/>
        <w:rPr>
          <w:b/>
          <w:sz w:val="10"/>
        </w:rPr>
      </w:pPr>
    </w:p>
    <w:p w:rsidR="00050AAD" w:rsidRPr="00050AAD" w:rsidRDefault="00CA1AC7" w:rsidP="00CA1AC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>
        <w:tab/>
      </w:r>
      <w:r>
        <w:tab/>
      </w:r>
      <w:r w:rsidR="00050AAD" w:rsidRPr="00050AAD">
        <w:t>Предложение 7</w:t>
      </w:r>
    </w:p>
    <w:p w:rsidR="00CA1AC7" w:rsidRPr="00CA1AC7" w:rsidRDefault="00CA1AC7" w:rsidP="00CA1AC7">
      <w:pPr>
        <w:pStyle w:val="SingleTxt"/>
        <w:spacing w:after="0" w:line="120" w:lineRule="exact"/>
        <w:rPr>
          <w:sz w:val="10"/>
        </w:rPr>
      </w:pPr>
    </w:p>
    <w:p w:rsidR="00CA1AC7" w:rsidRPr="00CA1AC7" w:rsidRDefault="00CA1AC7" w:rsidP="00CA1AC7">
      <w:pPr>
        <w:pStyle w:val="SingleTxt"/>
        <w:spacing w:after="0" w:line="120" w:lineRule="exact"/>
        <w:rPr>
          <w:sz w:val="10"/>
        </w:rPr>
      </w:pPr>
    </w:p>
    <w:p w:rsidR="00050AAD" w:rsidRDefault="00CA1AC7" w:rsidP="00050AAD">
      <w:pPr>
        <w:pStyle w:val="SingleTxt"/>
      </w:pPr>
      <w:r>
        <w:tab/>
      </w:r>
      <w:r w:rsidR="00050AAD" w:rsidRPr="00050AAD">
        <w:t>Добавить примечание в таблицу 6.8.2.6.1 для EN 13530-2:2002 +</w:t>
      </w:r>
      <w:r w:rsidR="00112E05">
        <w:t xml:space="preserve"> </w:t>
      </w:r>
      <w:r w:rsidR="00050AAD" w:rsidRPr="00050AAD">
        <w:t>A1:2004 (новая формулировка выделена жирным шрифтом и курсивом)</w:t>
      </w:r>
      <w:r w:rsidR="00112E05">
        <w:t>:</w:t>
      </w:r>
    </w:p>
    <w:p w:rsidR="00B92254" w:rsidRPr="00B92254" w:rsidRDefault="00B92254" w:rsidP="00B92254">
      <w:pPr>
        <w:pStyle w:val="SingleTxt"/>
        <w:spacing w:after="0" w:line="120" w:lineRule="exact"/>
        <w:rPr>
          <w:sz w:val="10"/>
        </w:rPr>
      </w:pPr>
    </w:p>
    <w:tbl>
      <w:tblPr>
        <w:tblW w:w="8766" w:type="dxa"/>
        <w:tblInd w:w="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3"/>
        <w:gridCol w:w="3308"/>
        <w:gridCol w:w="1757"/>
        <w:gridCol w:w="1467"/>
        <w:gridCol w:w="701"/>
      </w:tblGrid>
      <w:tr w:rsidR="00DC68E4" w:rsidRPr="00B92254" w:rsidTr="00DC68E4">
        <w:trPr>
          <w:cantSplit/>
          <w:trHeight w:val="788"/>
        </w:trPr>
        <w:tc>
          <w:tcPr>
            <w:tcW w:w="874" w:type="pct"/>
          </w:tcPr>
          <w:p w:rsidR="00050AAD" w:rsidRPr="00B92254" w:rsidRDefault="00050AAD" w:rsidP="00CA1AC7">
            <w:pPr>
              <w:pStyle w:val="SingleTx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B92254">
              <w:rPr>
                <w:sz w:val="18"/>
                <w:szCs w:val="18"/>
              </w:rPr>
              <w:t xml:space="preserve">EN 13530-2:2002 </w:t>
            </w:r>
          </w:p>
        </w:tc>
        <w:tc>
          <w:tcPr>
            <w:tcW w:w="1887" w:type="pct"/>
          </w:tcPr>
          <w:p w:rsidR="00050AAD" w:rsidRPr="00B92254" w:rsidRDefault="00050AAD" w:rsidP="00CA1AC7">
            <w:pPr>
              <w:pStyle w:val="SingleTxt"/>
              <w:ind w:left="0" w:right="0"/>
              <w:jc w:val="left"/>
              <w:rPr>
                <w:sz w:val="18"/>
                <w:szCs w:val="18"/>
              </w:rPr>
            </w:pPr>
            <w:r w:rsidRPr="00B92254">
              <w:rPr>
                <w:sz w:val="18"/>
                <w:szCs w:val="18"/>
              </w:rPr>
              <w:t>Криогенные сосуды – Крупные пер</w:t>
            </w:r>
            <w:r w:rsidRPr="00B92254">
              <w:rPr>
                <w:sz w:val="18"/>
                <w:szCs w:val="18"/>
              </w:rPr>
              <w:t>е</w:t>
            </w:r>
            <w:r w:rsidRPr="00B92254">
              <w:rPr>
                <w:sz w:val="18"/>
                <w:szCs w:val="18"/>
              </w:rPr>
              <w:t>носные сосуды с вакуумной изоляц</w:t>
            </w:r>
            <w:r w:rsidRPr="00B92254">
              <w:rPr>
                <w:sz w:val="18"/>
                <w:szCs w:val="18"/>
              </w:rPr>
              <w:t>и</w:t>
            </w:r>
            <w:r w:rsidRPr="00B92254">
              <w:rPr>
                <w:sz w:val="18"/>
                <w:szCs w:val="18"/>
              </w:rPr>
              <w:t>ей – Часть 2: Конструкция, изготовл</w:t>
            </w:r>
            <w:r w:rsidRPr="00B92254">
              <w:rPr>
                <w:sz w:val="18"/>
                <w:szCs w:val="18"/>
              </w:rPr>
              <w:t>е</w:t>
            </w:r>
            <w:r w:rsidRPr="00B92254">
              <w:rPr>
                <w:sz w:val="18"/>
                <w:szCs w:val="18"/>
              </w:rPr>
              <w:t>ние, проверка и испытания</w:t>
            </w:r>
          </w:p>
        </w:tc>
        <w:tc>
          <w:tcPr>
            <w:tcW w:w="1002" w:type="pct"/>
          </w:tcPr>
          <w:p w:rsidR="00050AAD" w:rsidRPr="00B92254" w:rsidRDefault="00050AAD" w:rsidP="00112E05">
            <w:pPr>
              <w:pStyle w:val="SingleTx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B92254">
              <w:rPr>
                <w:sz w:val="18"/>
                <w:szCs w:val="18"/>
              </w:rPr>
              <w:t xml:space="preserve">6.8.2.1 </w:t>
            </w:r>
            <w:r w:rsidR="00DC68E4">
              <w:rPr>
                <w:sz w:val="18"/>
                <w:szCs w:val="18"/>
              </w:rPr>
              <w:br/>
            </w:r>
            <w:r w:rsidRPr="00B92254">
              <w:rPr>
                <w:sz w:val="18"/>
                <w:szCs w:val="18"/>
              </w:rPr>
              <w:t>(за исключением пункта 6.8.2.1.17), 6.8.2.4, 6.8.3.1 и 6.8.3.4</w:t>
            </w:r>
          </w:p>
        </w:tc>
        <w:tc>
          <w:tcPr>
            <w:tcW w:w="837" w:type="pct"/>
            <w:vAlign w:val="center"/>
          </w:tcPr>
          <w:p w:rsidR="00050AAD" w:rsidRPr="00B92254" w:rsidRDefault="00050AAD" w:rsidP="009D3913">
            <w:pPr>
              <w:pStyle w:val="SingleTxt"/>
              <w:ind w:left="0" w:right="0"/>
              <w:jc w:val="center"/>
              <w:rPr>
                <w:sz w:val="18"/>
                <w:szCs w:val="18"/>
              </w:rPr>
            </w:pPr>
            <w:r w:rsidRPr="00B92254">
              <w:rPr>
                <w:sz w:val="18"/>
                <w:szCs w:val="18"/>
              </w:rPr>
              <w:t>С 1 января 2005</w:t>
            </w:r>
            <w:r w:rsidR="009D3913">
              <w:rPr>
                <w:sz w:val="18"/>
                <w:szCs w:val="18"/>
              </w:rPr>
              <w:t> </w:t>
            </w:r>
            <w:r w:rsidRPr="00B92254">
              <w:rPr>
                <w:sz w:val="18"/>
                <w:szCs w:val="18"/>
              </w:rPr>
              <w:t>года до</w:t>
            </w:r>
            <w:r w:rsidR="009D3913">
              <w:rPr>
                <w:sz w:val="18"/>
                <w:szCs w:val="18"/>
              </w:rPr>
              <w:t> </w:t>
            </w:r>
            <w:r w:rsidRPr="00B92254">
              <w:rPr>
                <w:sz w:val="18"/>
                <w:szCs w:val="18"/>
              </w:rPr>
              <w:t>30</w:t>
            </w:r>
            <w:r w:rsidR="009D3913">
              <w:rPr>
                <w:sz w:val="18"/>
                <w:szCs w:val="18"/>
              </w:rPr>
              <w:t> </w:t>
            </w:r>
            <w:r w:rsidRPr="00B92254">
              <w:rPr>
                <w:sz w:val="18"/>
                <w:szCs w:val="18"/>
              </w:rPr>
              <w:t>июня 2007</w:t>
            </w:r>
            <w:r w:rsidR="009D3913">
              <w:rPr>
                <w:sz w:val="18"/>
                <w:szCs w:val="18"/>
              </w:rPr>
              <w:t> </w:t>
            </w:r>
            <w:r w:rsidRPr="00B92254">
              <w:rPr>
                <w:sz w:val="18"/>
                <w:szCs w:val="18"/>
              </w:rPr>
              <w:t>года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50AAD" w:rsidRPr="00B92254" w:rsidRDefault="00050AAD" w:rsidP="00CA1AC7">
            <w:pPr>
              <w:pStyle w:val="SingleTxt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 w:rsidR="00DC68E4" w:rsidRPr="00B92254" w:rsidTr="00DC68E4">
        <w:trPr>
          <w:cantSplit/>
          <w:trHeight w:val="1414"/>
        </w:trPr>
        <w:tc>
          <w:tcPr>
            <w:tcW w:w="874" w:type="pct"/>
          </w:tcPr>
          <w:p w:rsidR="00050AAD" w:rsidRPr="00B92254" w:rsidRDefault="00050AAD" w:rsidP="00CA1AC7">
            <w:pPr>
              <w:pStyle w:val="SingleTx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B92254">
              <w:rPr>
                <w:sz w:val="18"/>
                <w:szCs w:val="18"/>
              </w:rPr>
              <w:t>EN 13530-2:2002 + A1:2004</w:t>
            </w:r>
          </w:p>
        </w:tc>
        <w:tc>
          <w:tcPr>
            <w:tcW w:w="1887" w:type="pct"/>
          </w:tcPr>
          <w:p w:rsidR="00050AAD" w:rsidRPr="00DC68E4" w:rsidRDefault="00050AAD" w:rsidP="00CA1AC7">
            <w:pPr>
              <w:pStyle w:val="SingleTxt"/>
              <w:ind w:left="0" w:right="0"/>
              <w:jc w:val="left"/>
              <w:rPr>
                <w:sz w:val="18"/>
                <w:szCs w:val="18"/>
              </w:rPr>
            </w:pPr>
            <w:r w:rsidRPr="00B92254">
              <w:rPr>
                <w:sz w:val="18"/>
                <w:szCs w:val="18"/>
              </w:rPr>
              <w:t>Криогенные сосуды – Крупные пер</w:t>
            </w:r>
            <w:r w:rsidRPr="00B92254">
              <w:rPr>
                <w:sz w:val="18"/>
                <w:szCs w:val="18"/>
              </w:rPr>
              <w:t>е</w:t>
            </w:r>
            <w:r w:rsidRPr="00B92254">
              <w:rPr>
                <w:sz w:val="18"/>
                <w:szCs w:val="18"/>
              </w:rPr>
              <w:t>носные сосуды с вакуумной изоляц</w:t>
            </w:r>
            <w:r w:rsidRPr="00B92254">
              <w:rPr>
                <w:sz w:val="18"/>
                <w:szCs w:val="18"/>
              </w:rPr>
              <w:t>и</w:t>
            </w:r>
            <w:r w:rsidRPr="00B92254">
              <w:rPr>
                <w:sz w:val="18"/>
                <w:szCs w:val="18"/>
              </w:rPr>
              <w:t>ей – Часть 2: Конструкция, изготовл</w:t>
            </w:r>
            <w:r w:rsidRPr="00B92254">
              <w:rPr>
                <w:sz w:val="18"/>
                <w:szCs w:val="18"/>
              </w:rPr>
              <w:t>е</w:t>
            </w:r>
            <w:r w:rsidRPr="00B92254">
              <w:rPr>
                <w:sz w:val="18"/>
                <w:szCs w:val="18"/>
              </w:rPr>
              <w:t>ние, проверка и испытания</w:t>
            </w:r>
          </w:p>
          <w:p w:rsidR="00050AAD" w:rsidRPr="00B92254" w:rsidRDefault="00050AAD" w:rsidP="00CA1AC7">
            <w:pPr>
              <w:pStyle w:val="SingleTxt"/>
              <w:ind w:left="0" w:right="0"/>
              <w:jc w:val="left"/>
              <w:rPr>
                <w:sz w:val="18"/>
                <w:szCs w:val="18"/>
              </w:rPr>
            </w:pPr>
            <w:r w:rsidRPr="00B92254">
              <w:rPr>
                <w:b/>
                <w:bCs/>
                <w:i/>
                <w:iCs/>
                <w:sz w:val="18"/>
                <w:szCs w:val="18"/>
              </w:rPr>
              <w:t xml:space="preserve">Примечание: </w:t>
            </w:r>
            <w:r w:rsidR="00DC68E4" w:rsidRPr="00B92254">
              <w:rPr>
                <w:b/>
                <w:bCs/>
                <w:i/>
                <w:iCs/>
                <w:sz w:val="18"/>
                <w:szCs w:val="18"/>
              </w:rPr>
              <w:t xml:space="preserve">Стандарт </w:t>
            </w:r>
            <w:r w:rsidRPr="00B92254">
              <w:rPr>
                <w:b/>
                <w:bCs/>
                <w:i/>
                <w:iCs/>
                <w:sz w:val="18"/>
                <w:szCs w:val="18"/>
              </w:rPr>
              <w:t>EN 1252-1:1998, на который делается ссылка в данном стандарте, применяется также к цистернам для перевозки вещества под № ООН 1972 (СПГ).</w:t>
            </w:r>
          </w:p>
        </w:tc>
        <w:tc>
          <w:tcPr>
            <w:tcW w:w="1002" w:type="pct"/>
          </w:tcPr>
          <w:p w:rsidR="00050AAD" w:rsidRPr="00B92254" w:rsidRDefault="00050AAD" w:rsidP="00112E05">
            <w:pPr>
              <w:pStyle w:val="SingleTx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B92254">
              <w:rPr>
                <w:sz w:val="18"/>
                <w:szCs w:val="18"/>
              </w:rPr>
              <w:t>6.8.2.1 (за</w:t>
            </w:r>
            <w:r w:rsidR="00DC68E4">
              <w:rPr>
                <w:sz w:val="18"/>
                <w:szCs w:val="18"/>
              </w:rPr>
              <w:t> </w:t>
            </w:r>
            <w:r w:rsidRPr="00B92254">
              <w:rPr>
                <w:sz w:val="18"/>
                <w:szCs w:val="18"/>
              </w:rPr>
              <w:t>исключением пункта 6.8.2.1.17), 6.8.2.4, 6.8.3.1 и 6.8.3.4</w:t>
            </w:r>
          </w:p>
        </w:tc>
        <w:tc>
          <w:tcPr>
            <w:tcW w:w="837" w:type="pct"/>
            <w:vAlign w:val="center"/>
          </w:tcPr>
          <w:p w:rsidR="00050AAD" w:rsidRPr="00B92254" w:rsidRDefault="00050AAD" w:rsidP="00CA1AC7">
            <w:pPr>
              <w:pStyle w:val="SingleTx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92254">
              <w:rPr>
                <w:sz w:val="18"/>
                <w:szCs w:val="18"/>
              </w:rPr>
              <w:t>До дальнейшего указания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50AAD" w:rsidRPr="00B92254" w:rsidRDefault="00050AAD" w:rsidP="00CA1AC7">
            <w:pPr>
              <w:pStyle w:val="SingleTxt"/>
              <w:ind w:left="0" w:right="0"/>
              <w:jc w:val="left"/>
              <w:rPr>
                <w:sz w:val="18"/>
                <w:szCs w:val="18"/>
                <w:lang w:val="en-GB"/>
              </w:rPr>
            </w:pPr>
          </w:p>
        </w:tc>
      </w:tr>
    </w:tbl>
    <w:p w:rsidR="00CA1AC7" w:rsidRPr="00CA1AC7" w:rsidRDefault="00CA1AC7" w:rsidP="00CA1AC7">
      <w:pPr>
        <w:pStyle w:val="SingleTxt"/>
        <w:spacing w:after="0" w:line="120" w:lineRule="exact"/>
        <w:rPr>
          <w:b/>
          <w:bCs/>
          <w:sz w:val="10"/>
        </w:rPr>
      </w:pPr>
    </w:p>
    <w:p w:rsidR="00CA1AC7" w:rsidRPr="00CA1AC7" w:rsidRDefault="00CA1AC7" w:rsidP="00CA1AC7">
      <w:pPr>
        <w:pStyle w:val="SingleTxt"/>
        <w:spacing w:after="0" w:line="120" w:lineRule="exact"/>
        <w:rPr>
          <w:b/>
          <w:bCs/>
          <w:sz w:val="10"/>
        </w:rPr>
      </w:pPr>
    </w:p>
    <w:p w:rsidR="00050AAD" w:rsidRPr="00050AAD" w:rsidRDefault="00CA1AC7" w:rsidP="00CA1AC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50AAD" w:rsidRPr="00050AAD">
        <w:t>Пункт 9</w:t>
      </w:r>
      <w:r>
        <w:br/>
      </w:r>
      <w:r w:rsidR="00112E05">
        <w:t>INF.</w:t>
      </w:r>
      <w:r w:rsidR="00050AAD" w:rsidRPr="00050AAD">
        <w:t xml:space="preserve">4 (ЕКС) </w:t>
      </w:r>
      <w:r>
        <w:t>–</w:t>
      </w:r>
      <w:r w:rsidR="00050AAD" w:rsidRPr="00050AAD">
        <w:t xml:space="preserve"> Запрос о предоставлении заключения Рабочей груп</w:t>
      </w:r>
      <w:r>
        <w:t>пой по </w:t>
      </w:r>
      <w:r w:rsidR="00050AAD" w:rsidRPr="00050AAD">
        <w:t>цистернам EN 16522:2014</w:t>
      </w:r>
    </w:p>
    <w:p w:rsidR="00CA1AC7" w:rsidRPr="00CA1AC7" w:rsidRDefault="00CA1AC7" w:rsidP="00CA1AC7">
      <w:pPr>
        <w:pStyle w:val="SingleTxt"/>
        <w:spacing w:after="0" w:line="120" w:lineRule="exact"/>
        <w:rPr>
          <w:sz w:val="10"/>
        </w:rPr>
      </w:pPr>
    </w:p>
    <w:p w:rsidR="00050AAD" w:rsidRPr="00050AAD" w:rsidRDefault="00050AAD" w:rsidP="00050AAD">
      <w:pPr>
        <w:pStyle w:val="SingleTxt"/>
      </w:pPr>
      <w:r w:rsidRPr="00050AAD">
        <w:t>33.</w:t>
      </w:r>
      <w:r w:rsidRPr="00050AAD">
        <w:tab/>
        <w:t>Ввиду того что эти стандарты еще не были получены членами Рабочей группы, обсуждение этого документа было отложено до следующей сессии.</w:t>
      </w:r>
    </w:p>
    <w:p w:rsidR="00CA1AC7" w:rsidRPr="00CA1AC7" w:rsidRDefault="00CA1AC7" w:rsidP="00CA1AC7">
      <w:pPr>
        <w:pStyle w:val="SingleTxt"/>
        <w:spacing w:after="0" w:line="120" w:lineRule="exact"/>
        <w:rPr>
          <w:b/>
          <w:bCs/>
          <w:sz w:val="10"/>
        </w:rPr>
      </w:pPr>
    </w:p>
    <w:p w:rsidR="00050AAD" w:rsidRPr="00050AAD" w:rsidRDefault="00CA1AC7" w:rsidP="00CA1AC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50AAD" w:rsidRPr="00050AAD">
        <w:t>Пункт 10</w:t>
      </w:r>
      <w:r>
        <w:br/>
      </w:r>
      <w:r w:rsidR="00050AAD" w:rsidRPr="00050AAD">
        <w:t>INF</w:t>
      </w:r>
      <w:r w:rsidR="00112E05">
        <w:t>.</w:t>
      </w:r>
      <w:r w:rsidR="00050AAD" w:rsidRPr="00050AAD">
        <w:t xml:space="preserve">10 (Соединенное Королевство) </w:t>
      </w:r>
      <w:r>
        <w:t>–</w:t>
      </w:r>
      <w:r w:rsidR="00050AAD" w:rsidRPr="00050AAD">
        <w:t xml:space="preserve"> Цистерны: неофициальная рабочая группа по проверке и утверждению цистерн</w:t>
      </w:r>
    </w:p>
    <w:p w:rsidR="00CA1AC7" w:rsidRPr="00CA1AC7" w:rsidRDefault="00CA1AC7" w:rsidP="00CA1AC7">
      <w:pPr>
        <w:pStyle w:val="SingleTxt"/>
        <w:spacing w:after="0" w:line="120" w:lineRule="exact"/>
        <w:rPr>
          <w:sz w:val="10"/>
        </w:rPr>
      </w:pPr>
    </w:p>
    <w:p w:rsidR="00050AAD" w:rsidRPr="00050AAD" w:rsidRDefault="00050AAD" w:rsidP="00050AAD">
      <w:pPr>
        <w:pStyle w:val="SingleTxt"/>
      </w:pPr>
      <w:r w:rsidRPr="00050AAD">
        <w:t>34.</w:t>
      </w:r>
      <w:r w:rsidRPr="00050AAD">
        <w:tab/>
        <w:t>Представитель Соединенного Королевства проинформировал Рабочую группу об итогах первой сессии, которая состоялась в Лондоне 15 и 16 июня 2015 года. Следующее совещание планируется п</w:t>
      </w:r>
      <w:r w:rsidR="00CA1AC7">
        <w:t>ровести с 12 по 14 октября 2015 </w:t>
      </w:r>
      <w:r w:rsidRPr="00050AAD">
        <w:t>года в Лондоне.</w:t>
      </w:r>
    </w:p>
    <w:p w:rsidR="00CA1AC7" w:rsidRPr="00CA1AC7" w:rsidRDefault="00CA1AC7" w:rsidP="00CA1AC7">
      <w:pPr>
        <w:pStyle w:val="SingleTxt"/>
        <w:spacing w:after="0" w:line="120" w:lineRule="exact"/>
        <w:rPr>
          <w:b/>
          <w:bCs/>
          <w:sz w:val="10"/>
        </w:rPr>
      </w:pPr>
    </w:p>
    <w:p w:rsidR="00050AAD" w:rsidRPr="00050AAD" w:rsidRDefault="00CA1AC7" w:rsidP="00CA1AC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</w:r>
      <w:proofErr w:type="gramStart"/>
      <w:r w:rsidR="00050AAD" w:rsidRPr="00050AAD">
        <w:t>Пункт 11</w:t>
      </w:r>
      <w:r>
        <w:br/>
      </w:r>
      <w:r w:rsidR="00112E05">
        <w:t>INF.</w:t>
      </w:r>
      <w:r w:rsidR="00050AAD" w:rsidRPr="00050AAD">
        <w:t xml:space="preserve">17 (Германия) </w:t>
      </w:r>
      <w:r>
        <w:t>–</w:t>
      </w:r>
      <w:r w:rsidR="00050AAD" w:rsidRPr="00050AAD">
        <w:t xml:space="preserve"> Требования, предъявляемые к МЭГК, имеющим в своем составе сосуды под давлением, кроме сосудов ООН</w:t>
      </w:r>
      <w:proofErr w:type="gramEnd"/>
    </w:p>
    <w:p w:rsidR="00CA1AC7" w:rsidRPr="00CA1AC7" w:rsidRDefault="00CA1AC7" w:rsidP="00CA1AC7">
      <w:pPr>
        <w:pStyle w:val="SingleTxt"/>
        <w:spacing w:after="0" w:line="120" w:lineRule="exact"/>
        <w:rPr>
          <w:sz w:val="10"/>
        </w:rPr>
      </w:pPr>
    </w:p>
    <w:p w:rsidR="00050AAD" w:rsidRPr="00050AAD" w:rsidRDefault="00050AAD" w:rsidP="00050AAD">
      <w:pPr>
        <w:pStyle w:val="SingleTxt"/>
      </w:pPr>
      <w:r w:rsidRPr="00050AAD">
        <w:t>35.</w:t>
      </w:r>
      <w:r w:rsidRPr="00050AAD">
        <w:tab/>
        <w:t>В главе 6.8 не предусмотрена ссылка на стандарты, касающиеся изготовл</w:t>
      </w:r>
      <w:r w:rsidRPr="00050AAD">
        <w:t>е</w:t>
      </w:r>
      <w:r w:rsidRPr="00050AAD">
        <w:t>ния МЭГК. Поскольку дополнительные коды отсутствуют, предложено для этой цели применять соответствующие части стандарта EN 13807. В настоящее время сфера охвата данного стандарта ограничена транспортными средствами-батареями.</w:t>
      </w:r>
    </w:p>
    <w:p w:rsidR="00050AAD" w:rsidRPr="00050AAD" w:rsidRDefault="00050AAD" w:rsidP="00050AAD">
      <w:pPr>
        <w:pStyle w:val="SingleTxt"/>
      </w:pPr>
      <w:r w:rsidRPr="00050AAD">
        <w:t>36.</w:t>
      </w:r>
      <w:r w:rsidRPr="00050AAD">
        <w:tab/>
        <w:t xml:space="preserve">По документу состоялось обсуждение, и </w:t>
      </w:r>
      <w:r w:rsidR="00112E05">
        <w:t>было подтверждено, что ста</w:t>
      </w:r>
      <w:r w:rsidR="00112E05">
        <w:t>н</w:t>
      </w:r>
      <w:r w:rsidR="00112E05">
        <w:t>дарт </w:t>
      </w:r>
      <w:r w:rsidRPr="00050AAD">
        <w:t>EN 13807 находится в стадии пересмотра и что в его сферу охвата будут включены МЭГК. Примечание было изменено таким образом, который позволяет использовать также сосуды ООН под давлением,</w:t>
      </w:r>
      <w:r w:rsidR="00CA1AC7">
        <w:t xml:space="preserve"> как это предусмотрено в пун</w:t>
      </w:r>
      <w:r w:rsidR="00CA1AC7">
        <w:t>к</w:t>
      </w:r>
      <w:r w:rsidR="00CA1AC7">
        <w:t>те </w:t>
      </w:r>
      <w:r w:rsidRPr="00050AAD">
        <w:t>6.8.3.1.4.</w:t>
      </w:r>
    </w:p>
    <w:p w:rsidR="00CA1AC7" w:rsidRPr="00CA1AC7" w:rsidRDefault="00CA1AC7" w:rsidP="00CA1AC7">
      <w:pPr>
        <w:pStyle w:val="SingleTxt"/>
        <w:spacing w:after="0" w:line="120" w:lineRule="exact"/>
        <w:rPr>
          <w:b/>
          <w:sz w:val="10"/>
        </w:rPr>
      </w:pPr>
    </w:p>
    <w:p w:rsidR="00CA1AC7" w:rsidRPr="00CA1AC7" w:rsidRDefault="00CA1AC7" w:rsidP="00CA1AC7">
      <w:pPr>
        <w:pStyle w:val="SingleTxt"/>
        <w:spacing w:after="0" w:line="120" w:lineRule="exact"/>
        <w:rPr>
          <w:b/>
          <w:sz w:val="10"/>
        </w:rPr>
      </w:pPr>
    </w:p>
    <w:p w:rsidR="00050AAD" w:rsidRPr="00050AAD" w:rsidRDefault="00CA1AC7" w:rsidP="00CA1AC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50AAD" w:rsidRPr="00050AAD">
        <w:t>Предложение 8</w:t>
      </w:r>
    </w:p>
    <w:p w:rsidR="00CA1AC7" w:rsidRPr="00CA1AC7" w:rsidRDefault="00CA1AC7" w:rsidP="00CA1AC7">
      <w:pPr>
        <w:pStyle w:val="SingleTxt"/>
        <w:spacing w:after="0" w:line="120" w:lineRule="exact"/>
        <w:rPr>
          <w:sz w:val="10"/>
        </w:rPr>
      </w:pPr>
    </w:p>
    <w:p w:rsidR="00CA1AC7" w:rsidRPr="00CA1AC7" w:rsidRDefault="00CA1AC7" w:rsidP="00CA1AC7">
      <w:pPr>
        <w:pStyle w:val="SingleTxt"/>
        <w:spacing w:after="0" w:line="120" w:lineRule="exact"/>
        <w:rPr>
          <w:sz w:val="10"/>
        </w:rPr>
      </w:pPr>
    </w:p>
    <w:p w:rsidR="00050AAD" w:rsidRPr="00050AAD" w:rsidRDefault="00CA1AC7" w:rsidP="00050AAD">
      <w:pPr>
        <w:pStyle w:val="SingleTxt"/>
      </w:pPr>
      <w:r>
        <w:tab/>
      </w:r>
      <w:r w:rsidR="00050AAD" w:rsidRPr="00050AAD">
        <w:t xml:space="preserve">Для МПОГ: заменить существующую формулировку в подразделе 6.8.3.6 МПОГ </w:t>
      </w:r>
      <w:r>
        <w:t>«(</w:t>
      </w:r>
      <w:proofErr w:type="gramStart"/>
      <w:r>
        <w:t>зарезервирован</w:t>
      </w:r>
      <w:proofErr w:type="gramEnd"/>
      <w:r>
        <w:t>)»</w:t>
      </w:r>
      <w:r w:rsidR="00050AAD" w:rsidRPr="00050AAD">
        <w:t xml:space="preserve"> следующим текстом:</w:t>
      </w:r>
    </w:p>
    <w:p w:rsidR="00050AAD" w:rsidRPr="00050AAD" w:rsidRDefault="00050AAD" w:rsidP="00050AAD">
      <w:pPr>
        <w:pStyle w:val="SingleTxt"/>
      </w:pPr>
      <w:r w:rsidRPr="00B92254">
        <w:rPr>
          <w:b/>
          <w:i/>
          <w:iCs/>
        </w:rPr>
        <w:t>ПРИМЕЧАНИЕ:</w:t>
      </w:r>
      <w:r w:rsidRPr="00050AAD">
        <w:rPr>
          <w:i/>
          <w:iCs/>
        </w:rPr>
        <w:t xml:space="preserve"> Лица или организации, несущие на основании стандартов о</w:t>
      </w:r>
      <w:r w:rsidRPr="00050AAD">
        <w:rPr>
          <w:i/>
          <w:iCs/>
        </w:rPr>
        <w:t>т</w:t>
      </w:r>
      <w:r w:rsidRPr="00050AAD">
        <w:rPr>
          <w:i/>
          <w:iCs/>
        </w:rPr>
        <w:t>ветственность в рамках МПОГ, должны отвечать требованиям МПОГ.</w:t>
      </w:r>
    </w:p>
    <w:p w:rsidR="00050AAD" w:rsidRPr="00050AAD" w:rsidRDefault="00B92254" w:rsidP="00050AAD">
      <w:pPr>
        <w:pStyle w:val="SingleTxt"/>
      </w:pPr>
      <w:r>
        <w:tab/>
      </w:r>
      <w:r w:rsidR="00050AAD" w:rsidRPr="00050AAD">
        <w:t>Свидетельства об официальном утверждении типа выдаются в соответствии с разделом 1.8.7. Стандарт, на который сделана ссылка в приведенной ниже та</w:t>
      </w:r>
      <w:r w:rsidR="00050AAD" w:rsidRPr="00050AAD">
        <w:t>б</w:t>
      </w:r>
      <w:r w:rsidR="00050AAD" w:rsidRPr="00050AAD">
        <w:t>лице, должен применяться для выдачи официальных утверждений типа в соо</w:t>
      </w:r>
      <w:r w:rsidR="00050AAD" w:rsidRPr="00050AAD">
        <w:t>т</w:t>
      </w:r>
      <w:r w:rsidR="00050AAD" w:rsidRPr="00050AAD">
        <w:t>ветствии с указаниями, содержащимися в колонке 4, для выполнения требований главы 6.8, указанных в колонке 3. Стандарты применяются в соответствии с ра</w:t>
      </w:r>
      <w:r w:rsidR="00050AAD" w:rsidRPr="00050AAD">
        <w:t>з</w:t>
      </w:r>
      <w:r w:rsidR="00050AAD" w:rsidRPr="00050AAD">
        <w:t>делом 1.1.5. В колонке 5 указана крайняя дата, до которой существующие офиц</w:t>
      </w:r>
      <w:r w:rsidR="00050AAD" w:rsidRPr="00050AAD">
        <w:t>и</w:t>
      </w:r>
      <w:r w:rsidR="00050AAD" w:rsidRPr="00050AAD">
        <w:t>альные утверждения типа должны быть от</w:t>
      </w:r>
      <w:r w:rsidR="00CA1AC7">
        <w:t>озваны в соответствии с пун</w:t>
      </w:r>
      <w:r w:rsidR="00CA1AC7">
        <w:t>к</w:t>
      </w:r>
      <w:r w:rsidR="00CA1AC7">
        <w:t>том </w:t>
      </w:r>
      <w:r w:rsidR="00050AAD" w:rsidRPr="00050AAD">
        <w:t>1.8.7.2.4; если никакой даты не указано, официальное утверждение типа остается действительным до истечения его срока действия.</w:t>
      </w:r>
    </w:p>
    <w:p w:rsidR="00050AAD" w:rsidRPr="00050AAD" w:rsidRDefault="00050AAD" w:rsidP="00050AAD">
      <w:pPr>
        <w:pStyle w:val="SingleTxt"/>
      </w:pPr>
      <w:r w:rsidRPr="00050AAD">
        <w:tab/>
        <w:t>С 1 января 2009 года использование стандартов, на которые сделаны ссы</w:t>
      </w:r>
      <w:r w:rsidRPr="00050AAD">
        <w:t>л</w:t>
      </w:r>
      <w:r w:rsidRPr="00050AAD">
        <w:t>ки, является обязательным. Исключения рассматриваются в подразделе 6.8.3.7.</w:t>
      </w:r>
    </w:p>
    <w:p w:rsidR="00050AAD" w:rsidRPr="00050AAD" w:rsidRDefault="00050AAD" w:rsidP="00050AAD">
      <w:pPr>
        <w:pStyle w:val="SingleTxt"/>
      </w:pPr>
      <w:r w:rsidRPr="00050AAD">
        <w:tab/>
        <w:t>Если ссылки сделаны на несколько стандартов для применения одних и тех же требований, должен применяться только один из этих стандартов, но в полном объеме, если в приведенной ниже таблице не указано иное.</w:t>
      </w:r>
    </w:p>
    <w:p w:rsidR="00050AAD" w:rsidRDefault="00050AAD" w:rsidP="00050AAD">
      <w:pPr>
        <w:pStyle w:val="SingleTxt"/>
      </w:pPr>
      <w:r w:rsidRPr="00050AAD">
        <w:tab/>
        <w:t>Сфера применения каждого стандарта определена в положении о сфере применения данного стандарта, если в приведенной ниже таблице не указано иное.</w:t>
      </w:r>
    </w:p>
    <w:p w:rsidR="00B92254" w:rsidRPr="00B92254" w:rsidRDefault="00B92254" w:rsidP="00B92254">
      <w:pPr>
        <w:pStyle w:val="SingleTxt"/>
        <w:spacing w:after="0" w:line="120" w:lineRule="exact"/>
        <w:rPr>
          <w:sz w:val="10"/>
        </w:rPr>
      </w:pPr>
    </w:p>
    <w:tbl>
      <w:tblPr>
        <w:tblW w:w="8775" w:type="dxa"/>
        <w:tblInd w:w="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9"/>
        <w:gridCol w:w="2438"/>
        <w:gridCol w:w="1953"/>
        <w:gridCol w:w="1513"/>
        <w:gridCol w:w="1492"/>
      </w:tblGrid>
      <w:tr w:rsidR="00DC68E4" w:rsidRPr="00DC68E4" w:rsidTr="0053019E">
        <w:trPr>
          <w:trHeight w:val="508"/>
        </w:trPr>
        <w:tc>
          <w:tcPr>
            <w:tcW w:w="786" w:type="pct"/>
            <w:vAlign w:val="center"/>
          </w:tcPr>
          <w:p w:rsidR="00050AAD" w:rsidRPr="00DC68E4" w:rsidRDefault="00050AAD" w:rsidP="00DC68E4">
            <w:pPr>
              <w:pStyle w:val="SingleTxt"/>
              <w:spacing w:after="80" w:line="220" w:lineRule="exact"/>
              <w:ind w:left="0" w:right="0"/>
              <w:jc w:val="center"/>
              <w:rPr>
                <w:bCs/>
                <w:sz w:val="16"/>
                <w:szCs w:val="16"/>
                <w:lang w:val="en-GB"/>
              </w:rPr>
            </w:pPr>
            <w:r w:rsidRPr="00DC68E4">
              <w:rPr>
                <w:sz w:val="16"/>
                <w:szCs w:val="16"/>
              </w:rPr>
              <w:t>Ссылка</w:t>
            </w:r>
          </w:p>
        </w:tc>
        <w:tc>
          <w:tcPr>
            <w:tcW w:w="1389" w:type="pct"/>
            <w:vAlign w:val="center"/>
          </w:tcPr>
          <w:p w:rsidR="00050AAD" w:rsidRPr="00DC68E4" w:rsidRDefault="00050AAD" w:rsidP="00DC68E4">
            <w:pPr>
              <w:pStyle w:val="SingleTxt"/>
              <w:spacing w:after="80" w:line="220" w:lineRule="exact"/>
              <w:ind w:left="0" w:right="0"/>
              <w:jc w:val="center"/>
              <w:rPr>
                <w:bCs/>
                <w:sz w:val="16"/>
                <w:szCs w:val="16"/>
                <w:lang w:val="en-GB"/>
              </w:rPr>
            </w:pPr>
            <w:r w:rsidRPr="00DC68E4">
              <w:rPr>
                <w:sz w:val="16"/>
                <w:szCs w:val="16"/>
              </w:rPr>
              <w:t>Название документа</w:t>
            </w:r>
          </w:p>
        </w:tc>
        <w:tc>
          <w:tcPr>
            <w:tcW w:w="1113" w:type="pct"/>
            <w:vAlign w:val="center"/>
          </w:tcPr>
          <w:p w:rsidR="00050AAD" w:rsidRPr="0053019E" w:rsidRDefault="00050AAD" w:rsidP="00DC68E4">
            <w:pPr>
              <w:pStyle w:val="SingleTxt"/>
              <w:spacing w:after="80" w:line="220" w:lineRule="exact"/>
              <w:ind w:left="0" w:right="0"/>
              <w:jc w:val="center"/>
              <w:rPr>
                <w:bCs/>
                <w:sz w:val="16"/>
                <w:szCs w:val="16"/>
              </w:rPr>
            </w:pPr>
            <w:r w:rsidRPr="00DC68E4">
              <w:rPr>
                <w:sz w:val="16"/>
                <w:szCs w:val="16"/>
              </w:rPr>
              <w:t xml:space="preserve">Применимые </w:t>
            </w:r>
            <w:r w:rsidR="0053019E">
              <w:rPr>
                <w:sz w:val="16"/>
                <w:szCs w:val="16"/>
              </w:rPr>
              <w:br/>
            </w:r>
            <w:r w:rsidRPr="00DC68E4">
              <w:rPr>
                <w:sz w:val="16"/>
                <w:szCs w:val="16"/>
              </w:rPr>
              <w:t>подразделы и пункты</w:t>
            </w:r>
          </w:p>
        </w:tc>
        <w:tc>
          <w:tcPr>
            <w:tcW w:w="862" w:type="pct"/>
            <w:vAlign w:val="center"/>
          </w:tcPr>
          <w:p w:rsidR="00050AAD" w:rsidRPr="00DC68E4" w:rsidRDefault="00050AAD" w:rsidP="00DC68E4">
            <w:pPr>
              <w:pStyle w:val="SingleTxt"/>
              <w:spacing w:after="80" w:line="220" w:lineRule="exact"/>
              <w:ind w:left="0" w:right="0"/>
              <w:jc w:val="center"/>
              <w:rPr>
                <w:sz w:val="16"/>
                <w:szCs w:val="16"/>
              </w:rPr>
            </w:pPr>
            <w:r w:rsidRPr="00DC68E4">
              <w:rPr>
                <w:sz w:val="16"/>
                <w:szCs w:val="16"/>
              </w:rPr>
              <w:t>Применяется в о</w:t>
            </w:r>
            <w:r w:rsidRPr="00DC68E4">
              <w:rPr>
                <w:sz w:val="16"/>
                <w:szCs w:val="16"/>
              </w:rPr>
              <w:t>т</w:t>
            </w:r>
            <w:r w:rsidRPr="00DC68E4">
              <w:rPr>
                <w:sz w:val="16"/>
                <w:szCs w:val="16"/>
              </w:rPr>
              <w:t>ношении новых официальных утверждений типа или продлений</w:t>
            </w:r>
          </w:p>
        </w:tc>
        <w:tc>
          <w:tcPr>
            <w:tcW w:w="850" w:type="pct"/>
            <w:vAlign w:val="center"/>
          </w:tcPr>
          <w:p w:rsidR="00050AAD" w:rsidRPr="00DC68E4" w:rsidRDefault="00050AAD" w:rsidP="00DC68E4">
            <w:pPr>
              <w:pStyle w:val="SingleTxt"/>
              <w:spacing w:after="80" w:line="220" w:lineRule="exact"/>
              <w:ind w:left="0" w:right="0"/>
              <w:jc w:val="center"/>
              <w:rPr>
                <w:sz w:val="16"/>
                <w:szCs w:val="16"/>
              </w:rPr>
            </w:pPr>
            <w:r w:rsidRPr="00DC68E4">
              <w:rPr>
                <w:sz w:val="16"/>
                <w:szCs w:val="16"/>
              </w:rPr>
              <w:t xml:space="preserve">Крайняя дата </w:t>
            </w:r>
            <w:r w:rsidR="0053019E">
              <w:rPr>
                <w:sz w:val="16"/>
                <w:szCs w:val="16"/>
              </w:rPr>
              <w:br/>
            </w:r>
            <w:r w:rsidRPr="00DC68E4">
              <w:rPr>
                <w:sz w:val="16"/>
                <w:szCs w:val="16"/>
              </w:rPr>
              <w:t>отзыва существ</w:t>
            </w:r>
            <w:r w:rsidRPr="00DC68E4">
              <w:rPr>
                <w:sz w:val="16"/>
                <w:szCs w:val="16"/>
              </w:rPr>
              <w:t>у</w:t>
            </w:r>
            <w:r w:rsidRPr="00DC68E4">
              <w:rPr>
                <w:sz w:val="16"/>
                <w:szCs w:val="16"/>
              </w:rPr>
              <w:t>ющих официал</w:t>
            </w:r>
            <w:r w:rsidRPr="00DC68E4">
              <w:rPr>
                <w:sz w:val="16"/>
                <w:szCs w:val="16"/>
              </w:rPr>
              <w:t>ь</w:t>
            </w:r>
            <w:r w:rsidRPr="00DC68E4">
              <w:rPr>
                <w:sz w:val="16"/>
                <w:szCs w:val="16"/>
              </w:rPr>
              <w:t>ных утверждений типа</w:t>
            </w:r>
          </w:p>
        </w:tc>
      </w:tr>
      <w:tr w:rsidR="00DC68E4" w:rsidRPr="00DC68E4" w:rsidTr="0053019E">
        <w:trPr>
          <w:trHeight w:val="137"/>
        </w:trPr>
        <w:tc>
          <w:tcPr>
            <w:tcW w:w="786" w:type="pct"/>
          </w:tcPr>
          <w:p w:rsidR="00050AAD" w:rsidRPr="00DC68E4" w:rsidRDefault="00050AAD" w:rsidP="00DC68E4">
            <w:pPr>
              <w:pStyle w:val="SingleTxt"/>
              <w:spacing w:after="80"/>
              <w:ind w:left="0" w:right="0"/>
              <w:jc w:val="center"/>
              <w:rPr>
                <w:bCs/>
                <w:sz w:val="16"/>
                <w:szCs w:val="16"/>
              </w:rPr>
            </w:pPr>
            <w:r w:rsidRPr="00DC68E4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1389" w:type="pct"/>
          </w:tcPr>
          <w:p w:rsidR="00050AAD" w:rsidRPr="00DC68E4" w:rsidRDefault="00050AAD" w:rsidP="00DC68E4">
            <w:pPr>
              <w:pStyle w:val="SingleTxt"/>
              <w:spacing w:after="80"/>
              <w:ind w:left="0" w:right="0"/>
              <w:jc w:val="center"/>
              <w:rPr>
                <w:bCs/>
                <w:sz w:val="16"/>
                <w:szCs w:val="16"/>
              </w:rPr>
            </w:pPr>
            <w:r w:rsidRPr="00DC68E4">
              <w:rPr>
                <w:sz w:val="16"/>
                <w:szCs w:val="16"/>
              </w:rPr>
              <w:t>(2)</w:t>
            </w:r>
          </w:p>
        </w:tc>
        <w:tc>
          <w:tcPr>
            <w:tcW w:w="1113" w:type="pct"/>
          </w:tcPr>
          <w:p w:rsidR="00050AAD" w:rsidRPr="00DC68E4" w:rsidRDefault="00050AAD" w:rsidP="00DC68E4">
            <w:pPr>
              <w:pStyle w:val="SingleTxt"/>
              <w:spacing w:after="80"/>
              <w:ind w:left="0" w:right="0"/>
              <w:jc w:val="center"/>
              <w:rPr>
                <w:bCs/>
                <w:sz w:val="16"/>
                <w:szCs w:val="16"/>
              </w:rPr>
            </w:pPr>
            <w:r w:rsidRPr="00DC68E4">
              <w:rPr>
                <w:sz w:val="16"/>
                <w:szCs w:val="16"/>
              </w:rPr>
              <w:t>(3)</w:t>
            </w:r>
          </w:p>
        </w:tc>
        <w:tc>
          <w:tcPr>
            <w:tcW w:w="862" w:type="pct"/>
          </w:tcPr>
          <w:p w:rsidR="00050AAD" w:rsidRPr="00DC68E4" w:rsidRDefault="00050AAD" w:rsidP="00DC68E4">
            <w:pPr>
              <w:pStyle w:val="SingleTxt"/>
              <w:spacing w:after="80"/>
              <w:ind w:left="0" w:right="0"/>
              <w:jc w:val="center"/>
              <w:rPr>
                <w:bCs/>
                <w:sz w:val="16"/>
                <w:szCs w:val="16"/>
              </w:rPr>
            </w:pPr>
            <w:r w:rsidRPr="00DC68E4">
              <w:rPr>
                <w:sz w:val="16"/>
                <w:szCs w:val="16"/>
              </w:rPr>
              <w:t>(4)</w:t>
            </w:r>
          </w:p>
        </w:tc>
        <w:tc>
          <w:tcPr>
            <w:tcW w:w="850" w:type="pct"/>
          </w:tcPr>
          <w:p w:rsidR="00050AAD" w:rsidRPr="00DC68E4" w:rsidRDefault="00050AAD" w:rsidP="00DC68E4">
            <w:pPr>
              <w:pStyle w:val="SingleTxt"/>
              <w:spacing w:after="80"/>
              <w:ind w:left="0" w:right="0"/>
              <w:jc w:val="center"/>
              <w:rPr>
                <w:bCs/>
                <w:sz w:val="16"/>
                <w:szCs w:val="16"/>
              </w:rPr>
            </w:pPr>
            <w:r w:rsidRPr="00DC68E4">
              <w:rPr>
                <w:sz w:val="16"/>
                <w:szCs w:val="16"/>
              </w:rPr>
              <w:t>(5)</w:t>
            </w:r>
          </w:p>
        </w:tc>
      </w:tr>
      <w:tr w:rsidR="0053019E" w:rsidRPr="00050AAD" w:rsidTr="0053019E">
        <w:trPr>
          <w:trHeight w:val="1088"/>
        </w:trPr>
        <w:tc>
          <w:tcPr>
            <w:tcW w:w="786" w:type="pct"/>
          </w:tcPr>
          <w:p w:rsidR="00050AAD" w:rsidRPr="00DC68E4" w:rsidRDefault="00050AAD" w:rsidP="00B92254">
            <w:pPr>
              <w:pStyle w:val="SingleTxt"/>
              <w:ind w:left="0" w:right="0"/>
              <w:jc w:val="left"/>
              <w:rPr>
                <w:sz w:val="18"/>
                <w:szCs w:val="18"/>
              </w:rPr>
            </w:pPr>
            <w:r w:rsidRPr="00B92254">
              <w:rPr>
                <w:sz w:val="18"/>
                <w:szCs w:val="18"/>
              </w:rPr>
              <w:t>EN 13807:2003</w:t>
            </w:r>
          </w:p>
        </w:tc>
        <w:tc>
          <w:tcPr>
            <w:tcW w:w="1389" w:type="pct"/>
          </w:tcPr>
          <w:p w:rsidR="00050AAD" w:rsidRPr="00B92254" w:rsidRDefault="00050AAD" w:rsidP="00B92254">
            <w:pPr>
              <w:pStyle w:val="SingleTxt"/>
              <w:ind w:left="0" w:right="0"/>
              <w:jc w:val="left"/>
              <w:rPr>
                <w:sz w:val="18"/>
                <w:szCs w:val="18"/>
              </w:rPr>
            </w:pPr>
            <w:r w:rsidRPr="00B92254">
              <w:rPr>
                <w:sz w:val="18"/>
                <w:szCs w:val="18"/>
              </w:rPr>
              <w:t>Переносные газовые ба</w:t>
            </w:r>
            <w:r w:rsidRPr="00B92254">
              <w:rPr>
                <w:sz w:val="18"/>
                <w:szCs w:val="18"/>
              </w:rPr>
              <w:t>л</w:t>
            </w:r>
            <w:r w:rsidRPr="00B92254">
              <w:rPr>
                <w:sz w:val="18"/>
                <w:szCs w:val="18"/>
              </w:rPr>
              <w:t>лоны – Транспортные сре</w:t>
            </w:r>
            <w:r w:rsidRPr="00B92254">
              <w:rPr>
                <w:sz w:val="18"/>
                <w:szCs w:val="18"/>
              </w:rPr>
              <w:t>д</w:t>
            </w:r>
            <w:r w:rsidRPr="00B92254">
              <w:rPr>
                <w:sz w:val="18"/>
                <w:szCs w:val="18"/>
              </w:rPr>
              <w:t>ства-батареи – Констру</w:t>
            </w:r>
            <w:r w:rsidRPr="00B92254">
              <w:rPr>
                <w:sz w:val="18"/>
                <w:szCs w:val="18"/>
              </w:rPr>
              <w:t>к</w:t>
            </w:r>
            <w:r w:rsidRPr="00B92254">
              <w:rPr>
                <w:sz w:val="18"/>
                <w:szCs w:val="18"/>
              </w:rPr>
              <w:t>ция, изготовление, идент</w:t>
            </w:r>
            <w:r w:rsidRPr="00B92254">
              <w:rPr>
                <w:sz w:val="18"/>
                <w:szCs w:val="18"/>
              </w:rPr>
              <w:t>и</w:t>
            </w:r>
            <w:r w:rsidRPr="00B92254">
              <w:rPr>
                <w:sz w:val="18"/>
                <w:szCs w:val="18"/>
              </w:rPr>
              <w:t>фикация и испытания</w:t>
            </w:r>
          </w:p>
          <w:p w:rsidR="00050AAD" w:rsidRPr="00B92254" w:rsidRDefault="00050AAD" w:rsidP="00B92254">
            <w:pPr>
              <w:pStyle w:val="SingleTxt"/>
              <w:ind w:left="0" w:right="0"/>
              <w:jc w:val="left"/>
              <w:rPr>
                <w:i/>
                <w:sz w:val="18"/>
                <w:szCs w:val="18"/>
              </w:rPr>
            </w:pPr>
            <w:r w:rsidRPr="00B92254">
              <w:rPr>
                <w:b/>
                <w:i/>
                <w:sz w:val="18"/>
                <w:szCs w:val="18"/>
              </w:rPr>
              <w:lastRenderedPageBreak/>
              <w:t>Примечание:</w:t>
            </w:r>
            <w:r w:rsidRPr="00B92254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DC68E4" w:rsidRPr="00B92254">
              <w:rPr>
                <w:i/>
                <w:sz w:val="18"/>
                <w:szCs w:val="18"/>
              </w:rPr>
              <w:t xml:space="preserve">Где </w:t>
            </w:r>
            <w:r w:rsidRPr="00B92254">
              <w:rPr>
                <w:i/>
                <w:sz w:val="18"/>
                <w:szCs w:val="18"/>
              </w:rPr>
              <w:t>это ц</w:t>
            </w:r>
            <w:r w:rsidRPr="00B92254">
              <w:rPr>
                <w:i/>
                <w:sz w:val="18"/>
                <w:szCs w:val="18"/>
              </w:rPr>
              <w:t>е</w:t>
            </w:r>
            <w:r w:rsidRPr="00B92254">
              <w:rPr>
                <w:i/>
                <w:sz w:val="18"/>
                <w:szCs w:val="18"/>
              </w:rPr>
              <w:t>лесообразно, данный ста</w:t>
            </w:r>
            <w:r w:rsidRPr="00B92254">
              <w:rPr>
                <w:i/>
                <w:sz w:val="18"/>
                <w:szCs w:val="18"/>
              </w:rPr>
              <w:t>н</w:t>
            </w:r>
            <w:r w:rsidRPr="00B92254">
              <w:rPr>
                <w:i/>
                <w:sz w:val="18"/>
                <w:szCs w:val="18"/>
              </w:rPr>
              <w:t>дарт может применяться к МЭГК, имеющим в своем составе сосуды под давл</w:t>
            </w:r>
            <w:r w:rsidRPr="00B92254">
              <w:rPr>
                <w:i/>
                <w:sz w:val="18"/>
                <w:szCs w:val="18"/>
              </w:rPr>
              <w:t>е</w:t>
            </w:r>
            <w:r w:rsidRPr="00B92254">
              <w:rPr>
                <w:i/>
                <w:sz w:val="18"/>
                <w:szCs w:val="18"/>
              </w:rPr>
              <w:t>нием.</w:t>
            </w:r>
            <w:proofErr w:type="gramEnd"/>
          </w:p>
        </w:tc>
        <w:tc>
          <w:tcPr>
            <w:tcW w:w="1113" w:type="pct"/>
          </w:tcPr>
          <w:p w:rsidR="00050AAD" w:rsidRPr="00B92254" w:rsidRDefault="00050AAD" w:rsidP="00B92254">
            <w:pPr>
              <w:pStyle w:val="SingleTx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B92254">
              <w:rPr>
                <w:sz w:val="18"/>
                <w:szCs w:val="18"/>
              </w:rPr>
              <w:lastRenderedPageBreak/>
              <w:t>6.8.3.1.4 и 6.8.3.1.5, 6.8.3.2.18–6.8.3.2.26, 6.8.3.4.10–6.8.3.4.12 и 6.8.3.5.10–6.8.3.5.13</w:t>
            </w:r>
          </w:p>
        </w:tc>
        <w:tc>
          <w:tcPr>
            <w:tcW w:w="862" w:type="pct"/>
            <w:vAlign w:val="center"/>
          </w:tcPr>
          <w:p w:rsidR="00050AAD" w:rsidRPr="00B92254" w:rsidRDefault="00050AAD" w:rsidP="00B92254">
            <w:pPr>
              <w:pStyle w:val="SingleTx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92254">
              <w:rPr>
                <w:sz w:val="18"/>
                <w:szCs w:val="18"/>
              </w:rPr>
              <w:t>До дальнейшего указания</w:t>
            </w:r>
          </w:p>
        </w:tc>
        <w:tc>
          <w:tcPr>
            <w:tcW w:w="850" w:type="pct"/>
            <w:vAlign w:val="center"/>
          </w:tcPr>
          <w:p w:rsidR="00050AAD" w:rsidRPr="00B92254" w:rsidRDefault="00050AAD" w:rsidP="00B92254">
            <w:pPr>
              <w:pStyle w:val="SingleTxt"/>
              <w:ind w:left="0" w:right="0"/>
              <w:jc w:val="left"/>
              <w:rPr>
                <w:sz w:val="18"/>
                <w:szCs w:val="18"/>
                <w:lang w:val="en-GB"/>
              </w:rPr>
            </w:pPr>
          </w:p>
        </w:tc>
      </w:tr>
    </w:tbl>
    <w:p w:rsidR="00B92254" w:rsidRPr="00B92254" w:rsidRDefault="00B92254" w:rsidP="00B92254">
      <w:pPr>
        <w:pStyle w:val="SingleTxt"/>
        <w:spacing w:after="0" w:line="120" w:lineRule="exact"/>
        <w:rPr>
          <w:b/>
          <w:sz w:val="10"/>
        </w:rPr>
      </w:pPr>
    </w:p>
    <w:p w:rsidR="00B92254" w:rsidRPr="00B92254" w:rsidRDefault="00B92254" w:rsidP="00B92254">
      <w:pPr>
        <w:pStyle w:val="SingleTxt"/>
        <w:spacing w:after="0" w:line="120" w:lineRule="exact"/>
        <w:rPr>
          <w:b/>
          <w:sz w:val="10"/>
        </w:rPr>
      </w:pPr>
    </w:p>
    <w:p w:rsidR="00050AAD" w:rsidRPr="00050AAD" w:rsidRDefault="00B92254" w:rsidP="00B9225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>
        <w:tab/>
      </w:r>
      <w:r>
        <w:tab/>
      </w:r>
      <w:r w:rsidR="00050AAD" w:rsidRPr="00050AAD">
        <w:t>Предложение 9</w:t>
      </w:r>
    </w:p>
    <w:p w:rsidR="00B92254" w:rsidRPr="00B92254" w:rsidRDefault="00B92254" w:rsidP="00B92254">
      <w:pPr>
        <w:pStyle w:val="SingleTxt"/>
        <w:spacing w:after="0" w:line="120" w:lineRule="exact"/>
        <w:rPr>
          <w:sz w:val="10"/>
        </w:rPr>
      </w:pPr>
    </w:p>
    <w:p w:rsidR="00B92254" w:rsidRPr="00B92254" w:rsidRDefault="00B92254" w:rsidP="00B92254">
      <w:pPr>
        <w:pStyle w:val="SingleTxt"/>
        <w:spacing w:after="0" w:line="120" w:lineRule="exact"/>
        <w:rPr>
          <w:sz w:val="10"/>
        </w:rPr>
      </w:pPr>
    </w:p>
    <w:p w:rsidR="00050AAD" w:rsidRDefault="00B92254" w:rsidP="00050AAD">
      <w:pPr>
        <w:pStyle w:val="SingleTxt"/>
      </w:pPr>
      <w:r>
        <w:tab/>
      </w:r>
      <w:r w:rsidR="00050AAD" w:rsidRPr="00050AAD">
        <w:t>В случае ДОПОГ включить в колонку 2 таблицы в подразделе 6.8.3.6 пр</w:t>
      </w:r>
      <w:r w:rsidR="00050AAD" w:rsidRPr="00050AAD">
        <w:t>и</w:t>
      </w:r>
      <w:r w:rsidR="00050AAD" w:rsidRPr="00050AAD">
        <w:t>мечание следующего содержания (новая формулировка выделена жирным шри</w:t>
      </w:r>
      <w:r w:rsidR="00050AAD" w:rsidRPr="00050AAD">
        <w:t>ф</w:t>
      </w:r>
      <w:r w:rsidR="00050AAD" w:rsidRPr="00050AAD">
        <w:t>том и курсивом):</w:t>
      </w:r>
    </w:p>
    <w:p w:rsidR="00B92254" w:rsidRPr="00B92254" w:rsidRDefault="00B92254" w:rsidP="00B92254">
      <w:pPr>
        <w:pStyle w:val="SingleTxt"/>
        <w:spacing w:after="0" w:line="120" w:lineRule="exact"/>
        <w:rPr>
          <w:sz w:val="10"/>
        </w:rPr>
      </w:pPr>
    </w:p>
    <w:tbl>
      <w:tblPr>
        <w:tblW w:w="8766" w:type="dxa"/>
        <w:tblInd w:w="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7"/>
        <w:gridCol w:w="2440"/>
        <w:gridCol w:w="1951"/>
        <w:gridCol w:w="1522"/>
        <w:gridCol w:w="1476"/>
      </w:tblGrid>
      <w:tr w:rsidR="0053019E" w:rsidRPr="0053019E" w:rsidTr="0053019E">
        <w:trPr>
          <w:trHeight w:val="613"/>
        </w:trPr>
        <w:tc>
          <w:tcPr>
            <w:tcW w:w="785" w:type="pct"/>
            <w:vAlign w:val="center"/>
          </w:tcPr>
          <w:p w:rsidR="00050AAD" w:rsidRPr="0053019E" w:rsidRDefault="00050AAD" w:rsidP="0053019E">
            <w:pPr>
              <w:pStyle w:val="SingleTxt"/>
              <w:spacing w:after="80" w:line="220" w:lineRule="exact"/>
              <w:ind w:left="0" w:right="0"/>
              <w:jc w:val="center"/>
              <w:rPr>
                <w:bCs/>
                <w:sz w:val="16"/>
                <w:szCs w:val="16"/>
                <w:lang w:val="en-GB"/>
              </w:rPr>
            </w:pPr>
            <w:r w:rsidRPr="0053019E">
              <w:rPr>
                <w:sz w:val="16"/>
                <w:szCs w:val="16"/>
              </w:rPr>
              <w:t>Ссылка</w:t>
            </w:r>
          </w:p>
        </w:tc>
        <w:tc>
          <w:tcPr>
            <w:tcW w:w="1392" w:type="pct"/>
            <w:vAlign w:val="center"/>
          </w:tcPr>
          <w:p w:rsidR="00050AAD" w:rsidRPr="0053019E" w:rsidRDefault="00050AAD" w:rsidP="0053019E">
            <w:pPr>
              <w:pStyle w:val="SingleTxt"/>
              <w:spacing w:after="80" w:line="220" w:lineRule="exact"/>
              <w:ind w:left="0" w:right="0"/>
              <w:jc w:val="center"/>
              <w:rPr>
                <w:bCs/>
                <w:sz w:val="16"/>
                <w:szCs w:val="16"/>
                <w:lang w:val="en-GB"/>
              </w:rPr>
            </w:pPr>
            <w:r w:rsidRPr="0053019E">
              <w:rPr>
                <w:sz w:val="16"/>
                <w:szCs w:val="16"/>
              </w:rPr>
              <w:t>Название документа</w:t>
            </w:r>
          </w:p>
        </w:tc>
        <w:tc>
          <w:tcPr>
            <w:tcW w:w="1113" w:type="pct"/>
            <w:vAlign w:val="center"/>
          </w:tcPr>
          <w:p w:rsidR="00050AAD" w:rsidRPr="0053019E" w:rsidRDefault="00050AAD" w:rsidP="0053019E">
            <w:pPr>
              <w:pStyle w:val="SingleTxt"/>
              <w:spacing w:after="80" w:line="220" w:lineRule="exact"/>
              <w:ind w:left="0" w:right="0"/>
              <w:jc w:val="center"/>
              <w:rPr>
                <w:bCs/>
                <w:sz w:val="16"/>
                <w:szCs w:val="16"/>
              </w:rPr>
            </w:pPr>
            <w:r w:rsidRPr="0053019E">
              <w:rPr>
                <w:sz w:val="16"/>
                <w:szCs w:val="16"/>
              </w:rPr>
              <w:t xml:space="preserve">Применимые </w:t>
            </w:r>
            <w:r w:rsidR="0053019E">
              <w:rPr>
                <w:sz w:val="16"/>
                <w:szCs w:val="16"/>
              </w:rPr>
              <w:br/>
            </w:r>
            <w:r w:rsidRPr="0053019E">
              <w:rPr>
                <w:sz w:val="16"/>
                <w:szCs w:val="16"/>
              </w:rPr>
              <w:t>подразделы и пункты</w:t>
            </w:r>
          </w:p>
        </w:tc>
        <w:tc>
          <w:tcPr>
            <w:tcW w:w="868" w:type="pct"/>
            <w:vAlign w:val="center"/>
          </w:tcPr>
          <w:p w:rsidR="00050AAD" w:rsidRPr="0053019E" w:rsidRDefault="00050AAD" w:rsidP="0053019E">
            <w:pPr>
              <w:pStyle w:val="SingleTxt"/>
              <w:spacing w:after="80" w:line="220" w:lineRule="exact"/>
              <w:ind w:left="0" w:right="0"/>
              <w:jc w:val="center"/>
              <w:rPr>
                <w:sz w:val="16"/>
                <w:szCs w:val="16"/>
              </w:rPr>
            </w:pPr>
            <w:r w:rsidRPr="0053019E">
              <w:rPr>
                <w:sz w:val="16"/>
                <w:szCs w:val="16"/>
              </w:rPr>
              <w:t>Применяется в о</w:t>
            </w:r>
            <w:r w:rsidRPr="0053019E">
              <w:rPr>
                <w:sz w:val="16"/>
                <w:szCs w:val="16"/>
              </w:rPr>
              <w:t>т</w:t>
            </w:r>
            <w:r w:rsidRPr="0053019E">
              <w:rPr>
                <w:sz w:val="16"/>
                <w:szCs w:val="16"/>
              </w:rPr>
              <w:t>ношении новых официальных утверждений типа или продлений</w:t>
            </w:r>
          </w:p>
        </w:tc>
        <w:tc>
          <w:tcPr>
            <w:tcW w:w="842" w:type="pct"/>
            <w:vAlign w:val="center"/>
          </w:tcPr>
          <w:p w:rsidR="00050AAD" w:rsidRPr="0053019E" w:rsidRDefault="00050AAD" w:rsidP="0053019E">
            <w:pPr>
              <w:pStyle w:val="SingleTxt"/>
              <w:spacing w:after="80" w:line="220" w:lineRule="exact"/>
              <w:ind w:left="0" w:right="0"/>
              <w:jc w:val="center"/>
              <w:rPr>
                <w:sz w:val="16"/>
                <w:szCs w:val="16"/>
              </w:rPr>
            </w:pPr>
            <w:r w:rsidRPr="0053019E">
              <w:rPr>
                <w:sz w:val="16"/>
                <w:szCs w:val="16"/>
              </w:rPr>
              <w:t>Крайняя дата о</w:t>
            </w:r>
            <w:r w:rsidRPr="0053019E">
              <w:rPr>
                <w:sz w:val="16"/>
                <w:szCs w:val="16"/>
              </w:rPr>
              <w:t>т</w:t>
            </w:r>
            <w:r w:rsidRPr="0053019E">
              <w:rPr>
                <w:sz w:val="16"/>
                <w:szCs w:val="16"/>
              </w:rPr>
              <w:t>зыва существу</w:t>
            </w:r>
            <w:r w:rsidRPr="0053019E">
              <w:rPr>
                <w:sz w:val="16"/>
                <w:szCs w:val="16"/>
              </w:rPr>
              <w:t>ю</w:t>
            </w:r>
            <w:r w:rsidRPr="0053019E">
              <w:rPr>
                <w:sz w:val="16"/>
                <w:szCs w:val="16"/>
              </w:rPr>
              <w:t>щих официал</w:t>
            </w:r>
            <w:r w:rsidRPr="0053019E">
              <w:rPr>
                <w:sz w:val="16"/>
                <w:szCs w:val="16"/>
              </w:rPr>
              <w:t>ь</w:t>
            </w:r>
            <w:r w:rsidRPr="0053019E">
              <w:rPr>
                <w:sz w:val="16"/>
                <w:szCs w:val="16"/>
              </w:rPr>
              <w:t>ных утверждений типа</w:t>
            </w:r>
          </w:p>
        </w:tc>
      </w:tr>
      <w:tr w:rsidR="0053019E" w:rsidRPr="0053019E" w:rsidTr="0053019E">
        <w:trPr>
          <w:trHeight w:val="246"/>
        </w:trPr>
        <w:tc>
          <w:tcPr>
            <w:tcW w:w="785" w:type="pct"/>
            <w:vAlign w:val="center"/>
          </w:tcPr>
          <w:p w:rsidR="00050AAD" w:rsidRPr="0053019E" w:rsidRDefault="00050AAD" w:rsidP="0053019E">
            <w:pPr>
              <w:pStyle w:val="SingleTxt"/>
              <w:spacing w:after="80" w:line="220" w:lineRule="exact"/>
              <w:ind w:left="0" w:right="0"/>
              <w:jc w:val="center"/>
              <w:rPr>
                <w:bCs/>
                <w:sz w:val="16"/>
                <w:szCs w:val="16"/>
                <w:lang w:val="en-GB"/>
              </w:rPr>
            </w:pPr>
            <w:r w:rsidRPr="0053019E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1392" w:type="pct"/>
            <w:vAlign w:val="center"/>
          </w:tcPr>
          <w:p w:rsidR="00050AAD" w:rsidRPr="0053019E" w:rsidRDefault="00050AAD" w:rsidP="0053019E">
            <w:pPr>
              <w:pStyle w:val="SingleTxt"/>
              <w:spacing w:after="80" w:line="220" w:lineRule="exact"/>
              <w:ind w:left="0" w:right="0"/>
              <w:jc w:val="center"/>
              <w:rPr>
                <w:bCs/>
                <w:sz w:val="16"/>
                <w:szCs w:val="16"/>
                <w:lang w:val="en-GB"/>
              </w:rPr>
            </w:pPr>
            <w:r w:rsidRPr="0053019E">
              <w:rPr>
                <w:sz w:val="16"/>
                <w:szCs w:val="16"/>
              </w:rPr>
              <w:t>(2)</w:t>
            </w:r>
          </w:p>
        </w:tc>
        <w:tc>
          <w:tcPr>
            <w:tcW w:w="1113" w:type="pct"/>
            <w:vAlign w:val="center"/>
          </w:tcPr>
          <w:p w:rsidR="00050AAD" w:rsidRPr="0053019E" w:rsidRDefault="00050AAD" w:rsidP="0053019E">
            <w:pPr>
              <w:pStyle w:val="SingleTxt"/>
              <w:spacing w:after="80" w:line="220" w:lineRule="exact"/>
              <w:ind w:left="0" w:right="0"/>
              <w:jc w:val="center"/>
              <w:rPr>
                <w:bCs/>
                <w:sz w:val="16"/>
                <w:szCs w:val="16"/>
                <w:lang w:val="en-GB"/>
              </w:rPr>
            </w:pPr>
            <w:r w:rsidRPr="0053019E">
              <w:rPr>
                <w:sz w:val="16"/>
                <w:szCs w:val="16"/>
              </w:rPr>
              <w:t>(3)</w:t>
            </w:r>
          </w:p>
        </w:tc>
        <w:tc>
          <w:tcPr>
            <w:tcW w:w="868" w:type="pct"/>
            <w:vAlign w:val="center"/>
          </w:tcPr>
          <w:p w:rsidR="00050AAD" w:rsidRPr="0053019E" w:rsidRDefault="00050AAD" w:rsidP="0053019E">
            <w:pPr>
              <w:pStyle w:val="SingleTxt"/>
              <w:spacing w:after="80" w:line="220" w:lineRule="exact"/>
              <w:ind w:left="0" w:right="0"/>
              <w:jc w:val="center"/>
              <w:rPr>
                <w:bCs/>
                <w:sz w:val="16"/>
                <w:szCs w:val="16"/>
                <w:lang w:val="en-GB"/>
              </w:rPr>
            </w:pPr>
            <w:r w:rsidRPr="0053019E">
              <w:rPr>
                <w:sz w:val="16"/>
                <w:szCs w:val="16"/>
              </w:rPr>
              <w:t>(4)</w:t>
            </w:r>
          </w:p>
        </w:tc>
        <w:tc>
          <w:tcPr>
            <w:tcW w:w="842" w:type="pct"/>
            <w:vAlign w:val="center"/>
          </w:tcPr>
          <w:p w:rsidR="00050AAD" w:rsidRPr="0053019E" w:rsidRDefault="00050AAD" w:rsidP="0053019E">
            <w:pPr>
              <w:pStyle w:val="SingleTxt"/>
              <w:spacing w:after="80" w:line="220" w:lineRule="exact"/>
              <w:ind w:left="0" w:right="0"/>
              <w:jc w:val="center"/>
              <w:rPr>
                <w:bCs/>
                <w:sz w:val="16"/>
                <w:szCs w:val="16"/>
                <w:lang w:val="en-GB"/>
              </w:rPr>
            </w:pPr>
            <w:r w:rsidRPr="0053019E">
              <w:rPr>
                <w:sz w:val="16"/>
                <w:szCs w:val="16"/>
              </w:rPr>
              <w:t>(5)</w:t>
            </w:r>
          </w:p>
        </w:tc>
      </w:tr>
      <w:tr w:rsidR="0053019E" w:rsidRPr="00B92254" w:rsidTr="0053019E">
        <w:trPr>
          <w:trHeight w:val="1312"/>
        </w:trPr>
        <w:tc>
          <w:tcPr>
            <w:tcW w:w="785" w:type="pct"/>
          </w:tcPr>
          <w:p w:rsidR="00050AAD" w:rsidRPr="00B92254" w:rsidRDefault="00050AAD" w:rsidP="009D3913">
            <w:pPr>
              <w:pStyle w:val="SingleTx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B92254">
              <w:rPr>
                <w:sz w:val="18"/>
                <w:szCs w:val="18"/>
              </w:rPr>
              <w:t>EN 13807:2003</w:t>
            </w:r>
          </w:p>
        </w:tc>
        <w:tc>
          <w:tcPr>
            <w:tcW w:w="1392" w:type="pct"/>
          </w:tcPr>
          <w:p w:rsidR="00050AAD" w:rsidRPr="00B92254" w:rsidRDefault="00050AAD" w:rsidP="009D3913">
            <w:pPr>
              <w:pStyle w:val="SingleTxt"/>
              <w:ind w:left="0" w:right="0"/>
              <w:jc w:val="left"/>
              <w:rPr>
                <w:sz w:val="18"/>
                <w:szCs w:val="18"/>
              </w:rPr>
            </w:pPr>
            <w:r w:rsidRPr="00B92254">
              <w:rPr>
                <w:sz w:val="18"/>
                <w:szCs w:val="18"/>
              </w:rPr>
              <w:t>Переносные газовые ба</w:t>
            </w:r>
            <w:r w:rsidRPr="00B92254">
              <w:rPr>
                <w:sz w:val="18"/>
                <w:szCs w:val="18"/>
              </w:rPr>
              <w:t>л</w:t>
            </w:r>
            <w:r w:rsidRPr="00B92254">
              <w:rPr>
                <w:sz w:val="18"/>
                <w:szCs w:val="18"/>
              </w:rPr>
              <w:t>лоны – Транспортные сре</w:t>
            </w:r>
            <w:r w:rsidRPr="00B92254">
              <w:rPr>
                <w:sz w:val="18"/>
                <w:szCs w:val="18"/>
              </w:rPr>
              <w:t>д</w:t>
            </w:r>
            <w:r w:rsidRPr="00B92254">
              <w:rPr>
                <w:sz w:val="18"/>
                <w:szCs w:val="18"/>
              </w:rPr>
              <w:t>ства-батареи – Констру</w:t>
            </w:r>
            <w:r w:rsidRPr="00B92254">
              <w:rPr>
                <w:sz w:val="18"/>
                <w:szCs w:val="18"/>
              </w:rPr>
              <w:t>к</w:t>
            </w:r>
            <w:r w:rsidRPr="00B92254">
              <w:rPr>
                <w:sz w:val="18"/>
                <w:szCs w:val="18"/>
              </w:rPr>
              <w:t>ция, изготовление, идент</w:t>
            </w:r>
            <w:r w:rsidRPr="00B92254">
              <w:rPr>
                <w:sz w:val="18"/>
                <w:szCs w:val="18"/>
              </w:rPr>
              <w:t>и</w:t>
            </w:r>
            <w:r w:rsidRPr="00B92254">
              <w:rPr>
                <w:sz w:val="18"/>
                <w:szCs w:val="18"/>
              </w:rPr>
              <w:t>фикация и испытания</w:t>
            </w:r>
          </w:p>
          <w:p w:rsidR="00050AAD" w:rsidRPr="009D3913" w:rsidRDefault="00050AAD" w:rsidP="009D3913">
            <w:pPr>
              <w:pStyle w:val="SingleTxt"/>
              <w:ind w:left="0" w:right="0"/>
              <w:jc w:val="left"/>
              <w:rPr>
                <w:b/>
                <w:i/>
                <w:sz w:val="18"/>
                <w:szCs w:val="18"/>
              </w:rPr>
            </w:pPr>
            <w:r w:rsidRPr="009D3913">
              <w:rPr>
                <w:b/>
                <w:i/>
                <w:iCs/>
                <w:sz w:val="18"/>
                <w:szCs w:val="18"/>
              </w:rPr>
              <w:t>Примечание:</w:t>
            </w:r>
            <w:r w:rsidRPr="00B92254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53019E" w:rsidRPr="00112E05">
              <w:rPr>
                <w:b/>
                <w:i/>
                <w:iCs/>
                <w:sz w:val="18"/>
                <w:szCs w:val="18"/>
              </w:rPr>
              <w:t xml:space="preserve">Где </w:t>
            </w:r>
            <w:r w:rsidRPr="00112E05">
              <w:rPr>
                <w:b/>
                <w:i/>
                <w:iCs/>
                <w:sz w:val="18"/>
                <w:szCs w:val="18"/>
              </w:rPr>
              <w:t>это ц</w:t>
            </w:r>
            <w:r w:rsidRPr="00112E05">
              <w:rPr>
                <w:b/>
                <w:i/>
                <w:iCs/>
                <w:sz w:val="18"/>
                <w:szCs w:val="18"/>
              </w:rPr>
              <w:t>е</w:t>
            </w:r>
            <w:r w:rsidRPr="00112E05">
              <w:rPr>
                <w:b/>
                <w:i/>
                <w:iCs/>
                <w:sz w:val="18"/>
                <w:szCs w:val="18"/>
              </w:rPr>
              <w:t>лесообразно, данный стандарт может также применяться к МЭГК, имеющим в своем составе сосуды под давлением.</w:t>
            </w:r>
            <w:proofErr w:type="gramEnd"/>
          </w:p>
        </w:tc>
        <w:tc>
          <w:tcPr>
            <w:tcW w:w="1113" w:type="pct"/>
          </w:tcPr>
          <w:p w:rsidR="00050AAD" w:rsidRPr="00B92254" w:rsidRDefault="00050AAD" w:rsidP="009D3913">
            <w:pPr>
              <w:pStyle w:val="SingleTx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B92254">
              <w:rPr>
                <w:sz w:val="18"/>
                <w:szCs w:val="18"/>
              </w:rPr>
              <w:t>6.8.3.1.4 и 6.8.3.1.5, 6.8.3.2.18–6.8.3.2.26, 6.8.3.4.10–6.8.3.4.12 и 6.8.3.5.10–6.8.3.5.13</w:t>
            </w:r>
          </w:p>
        </w:tc>
        <w:tc>
          <w:tcPr>
            <w:tcW w:w="868" w:type="pct"/>
            <w:vAlign w:val="center"/>
          </w:tcPr>
          <w:p w:rsidR="00050AAD" w:rsidRPr="00B92254" w:rsidRDefault="00050AAD" w:rsidP="009D3913">
            <w:pPr>
              <w:pStyle w:val="SingleTx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92254">
              <w:rPr>
                <w:sz w:val="18"/>
                <w:szCs w:val="18"/>
              </w:rPr>
              <w:t>До дальнейшего указания</w:t>
            </w:r>
          </w:p>
        </w:tc>
        <w:tc>
          <w:tcPr>
            <w:tcW w:w="842" w:type="pct"/>
            <w:vAlign w:val="center"/>
          </w:tcPr>
          <w:p w:rsidR="00050AAD" w:rsidRPr="00B92254" w:rsidRDefault="00050AAD" w:rsidP="009D3913">
            <w:pPr>
              <w:pStyle w:val="SingleTxt"/>
              <w:ind w:left="0" w:right="0"/>
              <w:jc w:val="left"/>
              <w:rPr>
                <w:sz w:val="18"/>
                <w:szCs w:val="18"/>
                <w:lang w:val="en-GB"/>
              </w:rPr>
            </w:pPr>
          </w:p>
        </w:tc>
      </w:tr>
    </w:tbl>
    <w:p w:rsidR="009D3913" w:rsidRPr="009D3913" w:rsidRDefault="009D3913" w:rsidP="009D3913">
      <w:pPr>
        <w:pStyle w:val="SingleTxt"/>
        <w:spacing w:after="0" w:line="120" w:lineRule="exact"/>
        <w:rPr>
          <w:b/>
          <w:bCs/>
          <w:sz w:val="10"/>
        </w:rPr>
      </w:pPr>
    </w:p>
    <w:p w:rsidR="009D3913" w:rsidRPr="009D3913" w:rsidRDefault="009D3913" w:rsidP="009D3913">
      <w:pPr>
        <w:pStyle w:val="SingleTxt"/>
        <w:spacing w:after="0" w:line="120" w:lineRule="exact"/>
        <w:rPr>
          <w:b/>
          <w:bCs/>
          <w:sz w:val="10"/>
        </w:rPr>
      </w:pPr>
    </w:p>
    <w:p w:rsidR="00050AAD" w:rsidRPr="00050AAD" w:rsidRDefault="009D3913" w:rsidP="009D39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50AAD" w:rsidRPr="00050AAD">
        <w:t>Пунк</w:t>
      </w:r>
      <w:r>
        <w:t>т 12</w:t>
      </w:r>
      <w:r>
        <w:br/>
      </w:r>
      <w:r w:rsidR="00112E05">
        <w:t>INF.</w:t>
      </w:r>
      <w:r w:rsidR="00050AAD" w:rsidRPr="00050AAD">
        <w:t xml:space="preserve">22 (Швейцария) </w:t>
      </w:r>
      <w:r>
        <w:t>–</w:t>
      </w:r>
      <w:r w:rsidR="00050AAD" w:rsidRPr="00050AAD">
        <w:t xml:space="preserve"> Пояснение определения «максимальное рабочее давление» цистерны</w:t>
      </w:r>
    </w:p>
    <w:p w:rsidR="009D3913" w:rsidRPr="009D3913" w:rsidRDefault="009D3913" w:rsidP="009D3913">
      <w:pPr>
        <w:pStyle w:val="SingleTxt"/>
        <w:spacing w:after="0" w:line="120" w:lineRule="exact"/>
        <w:rPr>
          <w:sz w:val="10"/>
        </w:rPr>
      </w:pPr>
    </w:p>
    <w:p w:rsidR="00050AAD" w:rsidRPr="00050AAD" w:rsidRDefault="00050AAD" w:rsidP="00050AAD">
      <w:pPr>
        <w:pStyle w:val="SingleTxt"/>
      </w:pPr>
      <w:r w:rsidRPr="00050AAD">
        <w:t>37.</w:t>
      </w:r>
      <w:r w:rsidRPr="00050AAD">
        <w:tab/>
        <w:t>Цель этого документа состоит в том, чтобы повысить уровень осведомле</w:t>
      </w:r>
      <w:r w:rsidRPr="00050AAD">
        <w:t>н</w:t>
      </w:r>
      <w:r w:rsidRPr="00050AAD">
        <w:t>ности о том, что определение максимального рабочего давления в разделе 1.2.1 может толковаться по-разному. Это, в частности, затрудняет разработку станда</w:t>
      </w:r>
      <w:r w:rsidRPr="00050AAD">
        <w:t>р</w:t>
      </w:r>
      <w:r w:rsidRPr="00050AAD">
        <w:t xml:space="preserve">тов в </w:t>
      </w:r>
      <w:proofErr w:type="gramStart"/>
      <w:r w:rsidRPr="00050AAD">
        <w:t>T</w:t>
      </w:r>
      <w:proofErr w:type="gramEnd"/>
      <w:r w:rsidRPr="00050AAD">
        <w:t>К 296 ЕКС.</w:t>
      </w:r>
    </w:p>
    <w:p w:rsidR="00050AAD" w:rsidRPr="00050AAD" w:rsidRDefault="00050AAD" w:rsidP="00050AAD">
      <w:pPr>
        <w:pStyle w:val="SingleTxt"/>
      </w:pPr>
      <w:r w:rsidRPr="00050AAD">
        <w:t>38.</w:t>
      </w:r>
      <w:r w:rsidRPr="00050AAD">
        <w:tab/>
        <w:t xml:space="preserve">Вопрос заключается в том, в каком месте цистерны необходимо измерять максимальное рабочее давление. </w:t>
      </w:r>
      <w:proofErr w:type="gramStart"/>
      <w:r w:rsidRPr="00050AAD">
        <w:t>В частности, особую важность этот момент приобретает в случае цистерн, о которых идет речь в пункте 6.8.2.1.14 a) и кот</w:t>
      </w:r>
      <w:r w:rsidRPr="00050AAD">
        <w:t>о</w:t>
      </w:r>
      <w:r w:rsidRPr="00050AAD">
        <w:t>рые рассчитаны на давление, равное удвоенному статическому давлению подл</w:t>
      </w:r>
      <w:r w:rsidRPr="00050AAD">
        <w:t>е</w:t>
      </w:r>
      <w:r w:rsidRPr="00050AAD">
        <w:t>жащего перевозке вещества, но не менее удвоенного статического давления в</w:t>
      </w:r>
      <w:r w:rsidRPr="00050AAD">
        <w:t>о</w:t>
      </w:r>
      <w:r w:rsidRPr="00050AAD">
        <w:t>ды, поскольку давление в самой низшей точке цистерны ввиду наличия перев</w:t>
      </w:r>
      <w:r w:rsidRPr="00050AAD">
        <w:t>о</w:t>
      </w:r>
      <w:r w:rsidRPr="00050AAD">
        <w:t>зимого вещества является значительным по сравнению с давлением срабатыв</w:t>
      </w:r>
      <w:r w:rsidRPr="00050AAD">
        <w:t>а</w:t>
      </w:r>
      <w:r w:rsidRPr="00050AAD">
        <w:t>ния дыхательного устройства.</w:t>
      </w:r>
      <w:proofErr w:type="gramEnd"/>
    </w:p>
    <w:p w:rsidR="00050AAD" w:rsidRPr="00050AAD" w:rsidRDefault="00050AAD" w:rsidP="00050AAD">
      <w:pPr>
        <w:pStyle w:val="SingleTxt"/>
      </w:pPr>
      <w:r w:rsidRPr="00050AAD">
        <w:t>39.</w:t>
      </w:r>
      <w:r w:rsidRPr="00050AAD">
        <w:tab/>
        <w:t>Несколько экспертов приветствовали предложение Швейцарии измерять р</w:t>
      </w:r>
      <w:r w:rsidRPr="00050AAD">
        <w:t>а</w:t>
      </w:r>
      <w:r w:rsidRPr="00050AAD">
        <w:t>бочее давление в верхней части цистерны, в пространстве над уровнем вещества, но при этом сочли, что при изменении формулировки определения следует пр</w:t>
      </w:r>
      <w:r w:rsidRPr="00050AAD">
        <w:t>о</w:t>
      </w:r>
      <w:r w:rsidRPr="00050AAD">
        <w:t>являть чрезвычайную осторожность ввиду возможных непредвиденных после</w:t>
      </w:r>
      <w:r w:rsidRPr="00050AAD">
        <w:t>д</w:t>
      </w:r>
      <w:r w:rsidRPr="00050AAD">
        <w:t>ствий.</w:t>
      </w:r>
    </w:p>
    <w:p w:rsidR="00050AAD" w:rsidRPr="00050AAD" w:rsidRDefault="00050AAD" w:rsidP="00050AAD">
      <w:pPr>
        <w:pStyle w:val="SingleTxt"/>
        <w:rPr>
          <w:b/>
        </w:rPr>
      </w:pPr>
      <w:r w:rsidRPr="00050AAD">
        <w:lastRenderedPageBreak/>
        <w:t>40.</w:t>
      </w:r>
      <w:r w:rsidRPr="00050AAD">
        <w:tab/>
        <w:t>В ходе этой сессии не удалось прийти к какому-либо заключению на основе данного неофициального документа. Швейцарии предложено разработать соо</w:t>
      </w:r>
      <w:r w:rsidRPr="00050AAD">
        <w:t>т</w:t>
      </w:r>
      <w:r w:rsidRPr="00050AAD">
        <w:t>ветствующее предложение, принимая во внимание результаты обсуждений, при этом Германия и Соединенное Королевство согласились представить за время до следующего совещания письменные соображения по этому вопросу.</w:t>
      </w:r>
    </w:p>
    <w:p w:rsidR="009D3913" w:rsidRPr="009D3913" w:rsidRDefault="009D3913" w:rsidP="009D3913">
      <w:pPr>
        <w:pStyle w:val="SingleTxt"/>
        <w:spacing w:after="0" w:line="120" w:lineRule="exact"/>
        <w:rPr>
          <w:b/>
          <w:bCs/>
          <w:sz w:val="10"/>
        </w:rPr>
      </w:pPr>
    </w:p>
    <w:p w:rsidR="00050AAD" w:rsidRPr="00050AAD" w:rsidRDefault="009D3913" w:rsidP="009D39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50AAD" w:rsidRPr="00050AAD">
        <w:t>Пункт 13</w:t>
      </w:r>
      <w:r>
        <w:br/>
      </w:r>
      <w:r w:rsidR="00050AAD" w:rsidRPr="00050AAD">
        <w:t>INF</w:t>
      </w:r>
      <w:r w:rsidR="00112E05">
        <w:t>.</w:t>
      </w:r>
      <w:r w:rsidR="00050AAD" w:rsidRPr="00050AAD">
        <w:t xml:space="preserve">23 (Франция) </w:t>
      </w:r>
      <w:r>
        <w:t>–</w:t>
      </w:r>
      <w:r w:rsidR="00050AAD" w:rsidRPr="00050AAD">
        <w:t xml:space="preserve"> Применение пункта 6.8.3.2.17: смотровые от</w:t>
      </w:r>
      <w:r>
        <w:t>верстия для </w:t>
      </w:r>
      <w:r w:rsidR="00050AAD" w:rsidRPr="00050AAD">
        <w:t>проверки корпусов, предназначенных для перевозки охлажденных сжиженных газов</w:t>
      </w:r>
    </w:p>
    <w:p w:rsidR="009D3913" w:rsidRPr="009D3913" w:rsidRDefault="009D3913" w:rsidP="009D3913">
      <w:pPr>
        <w:pStyle w:val="SingleTxt"/>
        <w:spacing w:after="0" w:line="120" w:lineRule="exact"/>
        <w:rPr>
          <w:sz w:val="10"/>
        </w:rPr>
      </w:pPr>
    </w:p>
    <w:p w:rsidR="00050AAD" w:rsidRPr="00050AAD" w:rsidRDefault="00050AAD" w:rsidP="00050AAD">
      <w:pPr>
        <w:pStyle w:val="SingleTxt"/>
      </w:pPr>
      <w:r w:rsidRPr="00050AAD">
        <w:t>41.</w:t>
      </w:r>
      <w:r w:rsidRPr="00050AAD">
        <w:tab/>
        <w:t>Франция обратилась к другим странам с вопросом о том, как они толкуют пункт 6.8.3.2.17 применительно к цистернам для перевозки охлажденного пр</w:t>
      </w:r>
      <w:r w:rsidRPr="00050AAD">
        <w:t>и</w:t>
      </w:r>
      <w:r w:rsidRPr="00050AAD">
        <w:t>родного газа, изолированным без использования вакуума.</w:t>
      </w:r>
    </w:p>
    <w:p w:rsidR="00050AAD" w:rsidRPr="00050AAD" w:rsidRDefault="00050AAD" w:rsidP="00050AAD">
      <w:pPr>
        <w:pStyle w:val="SingleTxt"/>
      </w:pPr>
      <w:r w:rsidRPr="00050AAD">
        <w:t>42.</w:t>
      </w:r>
      <w:r w:rsidRPr="00050AAD">
        <w:tab/>
        <w:t>Несколько экспертов подтвердили, что пункт 6.8.3.2.17 следует рассматр</w:t>
      </w:r>
      <w:r w:rsidRPr="00050AAD">
        <w:t>и</w:t>
      </w:r>
      <w:r w:rsidRPr="00050AAD">
        <w:t>вать в совокупности с пунктами 6.8.3.4.7 и 6.8.3.4.8. Пункт 6.8.3.2.17 предусма</w:t>
      </w:r>
      <w:r w:rsidRPr="00050AAD">
        <w:t>т</w:t>
      </w:r>
      <w:r w:rsidRPr="00050AAD">
        <w:t>ривает, что наличие смотрового отверстия не требуется в случае предназначе</w:t>
      </w:r>
      <w:r w:rsidRPr="00050AAD">
        <w:t>н</w:t>
      </w:r>
      <w:r w:rsidRPr="00050AAD">
        <w:t>ных для охлажденных газов цистерн, независимо от того, имеют ли они вакуу</w:t>
      </w:r>
      <w:r w:rsidRPr="00050AAD">
        <w:t>м</w:t>
      </w:r>
      <w:r w:rsidRPr="00050AAD">
        <w:t>ную изоляцию или нет. В этой связи пункт 6.8.3.4.8 содержит требования в о</w:t>
      </w:r>
      <w:r w:rsidRPr="00050AAD">
        <w:t>т</w:t>
      </w:r>
      <w:r w:rsidRPr="00050AAD">
        <w:t>ношении закрытия цистерны после того, как было вырезано отверстие для пр</w:t>
      </w:r>
      <w:r w:rsidRPr="00050AAD">
        <w:t>о</w:t>
      </w:r>
      <w:r w:rsidRPr="00050AAD">
        <w:t>верки внутреннего состояния. Пункт 6.8.3.4.7 предусматривает возможность з</w:t>
      </w:r>
      <w:r w:rsidRPr="00050AAD">
        <w:t>а</w:t>
      </w:r>
      <w:r w:rsidRPr="00050AAD">
        <w:t>мены проверки внутреннего состояния другими видами испытаний, которые не требуют вырезать отверстия в корпусе цистерн с вакуумной изоляцией.</w:t>
      </w:r>
    </w:p>
    <w:p w:rsidR="00050AAD" w:rsidRPr="00050AAD" w:rsidRDefault="00050AAD" w:rsidP="00050AAD">
      <w:pPr>
        <w:pStyle w:val="SingleTxt"/>
      </w:pPr>
      <w:r w:rsidRPr="00050AAD">
        <w:t>43.</w:t>
      </w:r>
      <w:r w:rsidRPr="00050AAD">
        <w:tab/>
        <w:t>Участники обсуждения пришли к заключению, что к конструкции цистерн без вакуумной изоляции не предъявляется требования о наличии смотрового о</w:t>
      </w:r>
      <w:r w:rsidRPr="00050AAD">
        <w:t>т</w:t>
      </w:r>
      <w:r w:rsidRPr="00050AAD">
        <w:t>верстия, однако такое отверстие вырезается в случае наступления срока провед</w:t>
      </w:r>
      <w:r w:rsidRPr="00050AAD">
        <w:t>е</w:t>
      </w:r>
      <w:r w:rsidRPr="00050AAD">
        <w:t xml:space="preserve">ния проверки. Это отверстие должно быть снова закрыто, например путем </w:t>
      </w:r>
      <w:proofErr w:type="spellStart"/>
      <w:r w:rsidRPr="00050AAD">
        <w:t>ввар</w:t>
      </w:r>
      <w:r w:rsidRPr="00050AAD">
        <w:t>и</w:t>
      </w:r>
      <w:r w:rsidRPr="00050AAD">
        <w:t>вания</w:t>
      </w:r>
      <w:proofErr w:type="spellEnd"/>
      <w:r w:rsidRPr="00050AAD">
        <w:t xml:space="preserve"> пластины.</w:t>
      </w:r>
    </w:p>
    <w:p w:rsidR="00050AAD" w:rsidRPr="00050AAD" w:rsidRDefault="00050AAD" w:rsidP="00050AAD">
      <w:pPr>
        <w:pStyle w:val="SingleTxt"/>
      </w:pPr>
      <w:r w:rsidRPr="00050AAD">
        <w:t>44.</w:t>
      </w:r>
      <w:r w:rsidRPr="00050AAD">
        <w:tab/>
        <w:t>Вместе с тем в настоящее время на практике цистерны без вакуумной из</w:t>
      </w:r>
      <w:r w:rsidRPr="00050AAD">
        <w:t>о</w:t>
      </w:r>
      <w:r w:rsidRPr="00050AAD">
        <w:t>ляции, которые в основном являются цистернами для перевозки диоксида угл</w:t>
      </w:r>
      <w:r w:rsidRPr="00050AAD">
        <w:t>е</w:t>
      </w:r>
      <w:r w:rsidRPr="00050AAD">
        <w:t>рода, имеют смотровое отверстие, сделанное для того, чтобы избежать дорогих и сложных процедур.</w:t>
      </w:r>
    </w:p>
    <w:p w:rsidR="00050AAD" w:rsidRPr="00050AAD" w:rsidRDefault="00050AAD" w:rsidP="00050AAD">
      <w:pPr>
        <w:pStyle w:val="SingleTxt"/>
      </w:pPr>
      <w:r w:rsidRPr="00050AAD">
        <w:t>45.</w:t>
      </w:r>
      <w:r w:rsidRPr="00050AAD">
        <w:tab/>
        <w:t>Было сочтено, что здесь не требуется вносить никаких изменений, поскол</w:t>
      </w:r>
      <w:r w:rsidRPr="00050AAD">
        <w:t>ь</w:t>
      </w:r>
      <w:r w:rsidRPr="00050AAD">
        <w:t>ку вопрос о том, следует ли предусматривать конструктивное смотровое отве</w:t>
      </w:r>
      <w:r w:rsidRPr="00050AAD">
        <w:t>р</w:t>
      </w:r>
      <w:r w:rsidRPr="00050AAD">
        <w:t>стие в цистерне для охлажденных газов или нет, решается по усмотрению пол</w:t>
      </w:r>
      <w:r w:rsidRPr="00050AAD">
        <w:t>ь</w:t>
      </w:r>
      <w:r w:rsidRPr="00050AAD">
        <w:t xml:space="preserve">зователя или изготовителя с учетом того, что в случае </w:t>
      </w:r>
      <w:proofErr w:type="gramStart"/>
      <w:r w:rsidRPr="00050AAD">
        <w:t>необходимости проведения проверки внутреннего состояния цистерны</w:t>
      </w:r>
      <w:proofErr w:type="gramEnd"/>
      <w:r w:rsidRPr="00050AAD">
        <w:t xml:space="preserve"> такое отверстие будет сделано.</w:t>
      </w:r>
    </w:p>
    <w:p w:rsidR="00050AAD" w:rsidRPr="00050AAD" w:rsidRDefault="00050AAD" w:rsidP="00050AAD">
      <w:pPr>
        <w:pStyle w:val="SingleTxt"/>
      </w:pPr>
      <w:r w:rsidRPr="00050AAD">
        <w:t>46.</w:t>
      </w:r>
      <w:r w:rsidRPr="00050AAD">
        <w:tab/>
        <w:t>В результате обсуждений было сочтено, что было бы целесообразным пер</w:t>
      </w:r>
      <w:r w:rsidRPr="00050AAD">
        <w:t>е</w:t>
      </w:r>
      <w:r w:rsidRPr="00050AAD">
        <w:t>смотреть формулировки положений пунктов 6.8.3.2.17, 6.8.3.4.7 и 6.8.3.4.8.</w:t>
      </w:r>
    </w:p>
    <w:p w:rsidR="009D3913" w:rsidRPr="009D3913" w:rsidRDefault="009D3913" w:rsidP="009D3913">
      <w:pPr>
        <w:pStyle w:val="SingleTxt"/>
        <w:spacing w:after="0" w:line="120" w:lineRule="exact"/>
        <w:rPr>
          <w:b/>
          <w:bCs/>
          <w:sz w:val="10"/>
        </w:rPr>
      </w:pPr>
    </w:p>
    <w:p w:rsidR="00050AAD" w:rsidRPr="00050AAD" w:rsidRDefault="009D3913" w:rsidP="009D39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50AAD" w:rsidRPr="00050AAD">
        <w:t>Пункт 14</w:t>
      </w:r>
      <w:r>
        <w:br/>
      </w:r>
      <w:r w:rsidR="00112E05">
        <w:t>INF.</w:t>
      </w:r>
      <w:r w:rsidR="00050AAD" w:rsidRPr="00050AAD">
        <w:t xml:space="preserve">24 (ЕКС) </w:t>
      </w:r>
      <w:r>
        <w:t>–</w:t>
      </w:r>
      <w:r w:rsidR="00050AAD" w:rsidRPr="00050AAD">
        <w:t xml:space="preserve"> Информация по пересмотру стандарта EN 14025, касающегося конструкции и изготовления металлических цистерн под давлением</w:t>
      </w:r>
    </w:p>
    <w:p w:rsidR="009D3913" w:rsidRPr="009D3913" w:rsidRDefault="009D3913" w:rsidP="009D3913">
      <w:pPr>
        <w:pStyle w:val="SingleTxt"/>
        <w:spacing w:after="0" w:line="120" w:lineRule="exact"/>
        <w:rPr>
          <w:sz w:val="10"/>
        </w:rPr>
      </w:pPr>
    </w:p>
    <w:p w:rsidR="00050AAD" w:rsidRPr="00050AAD" w:rsidRDefault="00050AAD" w:rsidP="00050AAD">
      <w:pPr>
        <w:pStyle w:val="SingleTxt"/>
      </w:pPr>
      <w:r w:rsidRPr="00050AAD">
        <w:t>47.</w:t>
      </w:r>
      <w:r w:rsidRPr="00050AAD">
        <w:tab/>
        <w:t>Согласно информации, поступившей от ЕКС, стандарт EN 14025 в насто</w:t>
      </w:r>
      <w:r w:rsidRPr="00050AAD">
        <w:t>я</w:t>
      </w:r>
      <w:r w:rsidRPr="00050AAD">
        <w:t xml:space="preserve">щее время находится на этапе пересмотра в целях включения в него требований в отношении конструкции цистерн, </w:t>
      </w:r>
      <w:r w:rsidR="009D3913">
        <w:t>«</w:t>
      </w:r>
      <w:r w:rsidRPr="00050AAD">
        <w:t>устойч</w:t>
      </w:r>
      <w:r w:rsidR="009D3913">
        <w:t>ивой к ударному давлению взрыва»</w:t>
      </w:r>
      <w:r w:rsidRPr="00050AAD">
        <w:t>. Проект пересмотренного стандарта будет вскоре распространен и вынесен на официальное голосование.</w:t>
      </w:r>
    </w:p>
    <w:p w:rsidR="00050AAD" w:rsidRPr="00050AAD" w:rsidRDefault="00050AAD" w:rsidP="0053019E">
      <w:pPr>
        <w:pStyle w:val="SingleTxt"/>
        <w:pageBreakBefore/>
      </w:pPr>
      <w:r w:rsidRPr="00050AAD">
        <w:lastRenderedPageBreak/>
        <w:t>48.</w:t>
      </w:r>
      <w:r w:rsidRPr="00050AAD">
        <w:tab/>
        <w:t>МСАГВ выразил обеспокоенность в связи с расчетом, сделанным в B3, к</w:t>
      </w:r>
      <w:r w:rsidRPr="00050AAD">
        <w:t>о</w:t>
      </w:r>
      <w:r w:rsidRPr="00050AAD">
        <w:t>торый отличается от данных, содержащихся в докладе о расследовании, пре</w:t>
      </w:r>
      <w:r w:rsidRPr="00050AAD">
        <w:t>д</w:t>
      </w:r>
      <w:r w:rsidRPr="00050AAD">
        <w:t>ставленном TRT6 и BAM, что должно быть доведено до сведения соответству</w:t>
      </w:r>
      <w:r w:rsidRPr="00050AAD">
        <w:t>ю</w:t>
      </w:r>
      <w:r w:rsidRPr="00050AAD">
        <w:t>щей рабочей группы ЕКС, а также Рабочей группы по стандартам.</w:t>
      </w:r>
    </w:p>
    <w:p w:rsidR="009D3913" w:rsidRPr="009D3913" w:rsidRDefault="009D3913" w:rsidP="009D3913">
      <w:pPr>
        <w:pStyle w:val="SingleTxt"/>
        <w:spacing w:after="0" w:line="120" w:lineRule="exact"/>
        <w:rPr>
          <w:b/>
          <w:bCs/>
          <w:sz w:val="10"/>
        </w:rPr>
      </w:pPr>
    </w:p>
    <w:p w:rsidR="00050AAD" w:rsidRPr="00050AAD" w:rsidRDefault="009D3913" w:rsidP="009D39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50AAD" w:rsidRPr="00050AAD">
        <w:t>Пункт 15</w:t>
      </w:r>
      <w:r>
        <w:br/>
      </w:r>
      <w:r w:rsidR="00112E05">
        <w:t>INF.</w:t>
      </w:r>
      <w:r w:rsidR="00050AAD" w:rsidRPr="00050AAD">
        <w:t xml:space="preserve">29 (Соединенное Королевство) </w:t>
      </w:r>
      <w:r>
        <w:t>–</w:t>
      </w:r>
      <w:r w:rsidR="00050AAD" w:rsidRPr="00050AAD">
        <w:t xml:space="preserve"> Цист</w:t>
      </w:r>
      <w:r>
        <w:t>ерны: испытание под давлением с </w:t>
      </w:r>
      <w:r w:rsidR="00050AAD" w:rsidRPr="00050AAD">
        <w:t>использованием газа</w:t>
      </w:r>
    </w:p>
    <w:p w:rsidR="009D3913" w:rsidRPr="009D3913" w:rsidRDefault="009D3913" w:rsidP="009D3913">
      <w:pPr>
        <w:pStyle w:val="SingleTxt"/>
        <w:spacing w:after="0" w:line="120" w:lineRule="exact"/>
        <w:rPr>
          <w:sz w:val="10"/>
        </w:rPr>
      </w:pPr>
    </w:p>
    <w:p w:rsidR="00050AAD" w:rsidRPr="00050AAD" w:rsidRDefault="00050AAD" w:rsidP="00050AAD">
      <w:pPr>
        <w:pStyle w:val="SingleTxt"/>
      </w:pPr>
      <w:r w:rsidRPr="00050AAD">
        <w:t>49.</w:t>
      </w:r>
      <w:r w:rsidRPr="00050AAD">
        <w:tab/>
        <w:t>В данном неофициальном документе Соединенное Королевство заявило о своей готовности представить к мартовской сессии 2016 года официальное пре</w:t>
      </w:r>
      <w:r w:rsidRPr="00050AAD">
        <w:t>д</w:t>
      </w:r>
      <w:r w:rsidRPr="00050AAD">
        <w:t>ложение, касающееся испытания цистерн под давлением с использованием газа.</w:t>
      </w:r>
      <w:r w:rsidR="0053019E">
        <w:t xml:space="preserve"> </w:t>
      </w:r>
      <w:r w:rsidRPr="00050AAD">
        <w:t xml:space="preserve">Оно является итогом обсуждений, имевших место в ходе совещания Рабочей группы 5 </w:t>
      </w:r>
      <w:proofErr w:type="gramStart"/>
      <w:r w:rsidRPr="00050AAD">
        <w:t>T</w:t>
      </w:r>
      <w:proofErr w:type="gramEnd"/>
      <w:r w:rsidRPr="00050AAD">
        <w:t>К 296 ЕКС, которое состоялось в июне 2015 года в Берлине.</w:t>
      </w:r>
    </w:p>
    <w:p w:rsidR="00050AAD" w:rsidRPr="00050AAD" w:rsidRDefault="00050AAD" w:rsidP="00050AAD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050AAD" w:rsidRPr="00050AAD" w:rsidSect="0000183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2-16T09:34:00Z" w:initials="Start">
    <w:p w:rsidR="0041059F" w:rsidRPr="00FE64CC" w:rsidRDefault="0041059F">
      <w:pPr>
        <w:pStyle w:val="CommentText"/>
        <w:rPr>
          <w:lang w:val="en-US"/>
        </w:rPr>
      </w:pPr>
      <w:r>
        <w:fldChar w:fldCharType="begin"/>
      </w:r>
      <w:r w:rsidRPr="00FE64CC">
        <w:rPr>
          <w:rStyle w:val="CommentReference"/>
          <w:lang w:val="en-US"/>
        </w:rPr>
        <w:instrText xml:space="preserve"> </w:instrText>
      </w:r>
      <w:r w:rsidRPr="00FE64CC">
        <w:rPr>
          <w:lang w:val="en-US"/>
        </w:rPr>
        <w:instrText>PAGE \# "'Page: '#'</w:instrText>
      </w:r>
      <w:r w:rsidRPr="00FE64CC">
        <w:rPr>
          <w:lang w:val="en-US"/>
        </w:rPr>
        <w:br/>
        <w:instrText>'"</w:instrText>
      </w:r>
      <w:r w:rsidRPr="00FE64CC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E64CC">
        <w:rPr>
          <w:lang w:val="en-US"/>
        </w:rPr>
        <w:t>&lt;&lt;ODS JOB NO&gt;&gt;N1525018R&lt;&lt;ODS JOB NO&gt;&gt;</w:t>
      </w:r>
    </w:p>
    <w:p w:rsidR="0041059F" w:rsidRDefault="0041059F">
      <w:pPr>
        <w:pStyle w:val="CommentText"/>
      </w:pPr>
      <w:r>
        <w:t>&lt;&lt;ODS DOC SYMBOL1&gt;&gt;ECE/TRANS/WP.15/AC.1/140/Add.2&lt;&lt;ODS DOC SYMBOL1&gt;&gt;</w:t>
      </w:r>
    </w:p>
    <w:p w:rsidR="0041059F" w:rsidRDefault="0041059F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9F" w:rsidRDefault="0041059F" w:rsidP="008A1A7A">
      <w:pPr>
        <w:spacing w:line="240" w:lineRule="auto"/>
      </w:pPr>
      <w:r>
        <w:separator/>
      </w:r>
    </w:p>
  </w:endnote>
  <w:endnote w:type="continuationSeparator" w:id="0">
    <w:p w:rsidR="0041059F" w:rsidRDefault="0041059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1059F" w:rsidTr="0000183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1059F" w:rsidRPr="0000183F" w:rsidRDefault="0041059F" w:rsidP="0000183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5461B">
            <w:rPr>
              <w:noProof/>
            </w:rPr>
            <w:t>12</w:t>
          </w:r>
          <w:r>
            <w:fldChar w:fldCharType="end"/>
          </w:r>
          <w:r>
            <w:t>/</w:t>
          </w:r>
          <w:r w:rsidR="00A5461B">
            <w:fldChar w:fldCharType="begin"/>
          </w:r>
          <w:r w:rsidR="00A5461B">
            <w:instrText xml:space="preserve"> NUMPAGES  \* Arabic  \* MERGEFORMAT </w:instrText>
          </w:r>
          <w:r w:rsidR="00A5461B">
            <w:fldChar w:fldCharType="separate"/>
          </w:r>
          <w:r w:rsidR="00A5461B">
            <w:rPr>
              <w:noProof/>
            </w:rPr>
            <w:t>12</w:t>
          </w:r>
          <w:r w:rsidR="00A5461B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1059F" w:rsidRPr="0000183F" w:rsidRDefault="0041059F" w:rsidP="0000183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5461B">
            <w:rPr>
              <w:b w:val="0"/>
              <w:color w:val="000000"/>
              <w:sz w:val="14"/>
            </w:rPr>
            <w:t>GE.15-19030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1059F" w:rsidRPr="0000183F" w:rsidRDefault="0041059F" w:rsidP="000018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1059F" w:rsidTr="0000183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1059F" w:rsidRPr="0000183F" w:rsidRDefault="0041059F" w:rsidP="0000183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5461B">
            <w:rPr>
              <w:b w:val="0"/>
              <w:color w:val="000000"/>
              <w:sz w:val="14"/>
            </w:rPr>
            <w:t>GE.15-19030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1059F" w:rsidRPr="0000183F" w:rsidRDefault="0041059F" w:rsidP="0000183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5461B">
            <w:rPr>
              <w:noProof/>
            </w:rPr>
            <w:t>11</w:t>
          </w:r>
          <w:r>
            <w:fldChar w:fldCharType="end"/>
          </w:r>
          <w:r>
            <w:t>/</w:t>
          </w:r>
          <w:r w:rsidR="00A5461B">
            <w:fldChar w:fldCharType="begin"/>
          </w:r>
          <w:r w:rsidR="00A5461B">
            <w:instrText xml:space="preserve"> NUMPAGES  \* Arabic  \* MERGEFORMAT </w:instrText>
          </w:r>
          <w:r w:rsidR="00A5461B">
            <w:fldChar w:fldCharType="separate"/>
          </w:r>
          <w:r w:rsidR="00A5461B">
            <w:rPr>
              <w:noProof/>
            </w:rPr>
            <w:t>12</w:t>
          </w:r>
          <w:r w:rsidR="00A5461B">
            <w:rPr>
              <w:noProof/>
            </w:rPr>
            <w:fldChar w:fldCharType="end"/>
          </w:r>
        </w:p>
      </w:tc>
    </w:tr>
  </w:tbl>
  <w:p w:rsidR="0041059F" w:rsidRPr="0000183F" w:rsidRDefault="0041059F" w:rsidP="000018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1059F" w:rsidTr="0000183F">
      <w:tc>
        <w:tcPr>
          <w:tcW w:w="3873" w:type="dxa"/>
        </w:tcPr>
        <w:p w:rsidR="0041059F" w:rsidRDefault="0041059F" w:rsidP="0000183F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2DB4544" wp14:editId="60FD4460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140/Add.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140/Add.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GE.15-19030 (R)</w:t>
          </w:r>
          <w:r>
            <w:rPr>
              <w:color w:val="010000"/>
            </w:rPr>
            <w:t xml:space="preserve">    1</w:t>
          </w:r>
          <w:r w:rsidR="0053019E">
            <w:rPr>
              <w:color w:val="010000"/>
            </w:rPr>
            <w:t>4</w:t>
          </w:r>
          <w:r>
            <w:rPr>
              <w:color w:val="010000"/>
            </w:rPr>
            <w:t>1215    161215</w:t>
          </w:r>
        </w:p>
        <w:p w:rsidR="0041059F" w:rsidRPr="0000183F" w:rsidRDefault="0041059F" w:rsidP="0000183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*1519030*</w:t>
          </w:r>
        </w:p>
      </w:tc>
      <w:tc>
        <w:tcPr>
          <w:tcW w:w="5127" w:type="dxa"/>
        </w:tcPr>
        <w:p w:rsidR="0041059F" w:rsidRDefault="0041059F" w:rsidP="0000183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F350EAF" wp14:editId="61813A6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1059F" w:rsidRPr="0000183F" w:rsidRDefault="0041059F" w:rsidP="0000183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9F" w:rsidRPr="00050AAD" w:rsidRDefault="0041059F" w:rsidP="00050AAD">
      <w:pPr>
        <w:pStyle w:val="Footer"/>
        <w:spacing w:after="80"/>
        <w:ind w:left="792"/>
        <w:rPr>
          <w:sz w:val="16"/>
        </w:rPr>
      </w:pPr>
      <w:r w:rsidRPr="00050AAD">
        <w:rPr>
          <w:sz w:val="16"/>
        </w:rPr>
        <w:t>__________________</w:t>
      </w:r>
    </w:p>
  </w:footnote>
  <w:footnote w:type="continuationSeparator" w:id="0">
    <w:p w:rsidR="0041059F" w:rsidRPr="00050AAD" w:rsidRDefault="0041059F" w:rsidP="00050AAD">
      <w:pPr>
        <w:pStyle w:val="Footer"/>
        <w:spacing w:after="80"/>
        <w:ind w:left="792"/>
        <w:rPr>
          <w:sz w:val="16"/>
        </w:rPr>
      </w:pPr>
      <w:r w:rsidRPr="00050AAD">
        <w:rPr>
          <w:sz w:val="16"/>
        </w:rPr>
        <w:t>__________________</w:t>
      </w:r>
    </w:p>
  </w:footnote>
  <w:footnote w:id="1">
    <w:p w:rsidR="0041059F" w:rsidRPr="00BF32BE" w:rsidRDefault="0041059F" w:rsidP="00050AA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>
        <w:tab/>
        <w:t>Распространено Межправительственной организацией по международным железнодорожным перевозкам (ОТИФ) в качестве документа OTIF/RID/RC/2015-B. Если не указано иное, другие документы, упоминаемые в настоящем докладе и имеющие условное обозначение ECE/TRANS/WP.15/AC.1/, после которого указаны год и порядковый номер, были распространены ОТИФ под условным обозначением OTIF/RID/RC/, после которого указаны год и тот же порядковый номер.</w:t>
      </w:r>
    </w:p>
  </w:footnote>
  <w:footnote w:id="2">
    <w:p w:rsidR="0041059F" w:rsidRPr="00326D59" w:rsidRDefault="0041059F" w:rsidP="00050AA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5117D">
        <w:tab/>
      </w:r>
      <w:r>
        <w:rPr>
          <w:rStyle w:val="FootnoteReference"/>
        </w:rPr>
        <w:footnoteRef/>
      </w:r>
      <w:r>
        <w:tab/>
      </w:r>
      <w:proofErr w:type="gramStart"/>
      <w:r>
        <w:t>Распространен</w:t>
      </w:r>
      <w:proofErr w:type="gramEnd"/>
      <w:r>
        <w:t xml:space="preserve"> Межправительственной организацией по международным железнодорожным перевозкам (ОТИФ) в качестве документа OTIF/RID/RC/2015-B/Add.2.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1059F" w:rsidRPr="00A437A9" w:rsidTr="0000183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1059F" w:rsidRPr="00FE64CC" w:rsidRDefault="0041059F" w:rsidP="0000183F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FE64CC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5461B">
            <w:rPr>
              <w:b/>
              <w:lang w:val="en-US"/>
            </w:rPr>
            <w:t>ECE/TRANS/WP.15/AC.1/140/Add.2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1059F" w:rsidRPr="00FE64CC" w:rsidRDefault="0041059F" w:rsidP="0000183F">
          <w:pPr>
            <w:pStyle w:val="Header"/>
            <w:rPr>
              <w:lang w:val="en-US"/>
            </w:rPr>
          </w:pPr>
        </w:p>
      </w:tc>
    </w:tr>
  </w:tbl>
  <w:p w:rsidR="0041059F" w:rsidRPr="00FE64CC" w:rsidRDefault="0041059F" w:rsidP="0000183F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1059F" w:rsidRPr="00A437A9" w:rsidTr="0000183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1059F" w:rsidRDefault="0041059F" w:rsidP="0000183F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1059F" w:rsidRPr="00FE64CC" w:rsidRDefault="0041059F" w:rsidP="0000183F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FE64CC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5461B">
            <w:rPr>
              <w:b/>
              <w:lang w:val="en-US"/>
            </w:rPr>
            <w:t>ECE/TRANS/WP.15/AC.1/140/Add.2</w:t>
          </w:r>
          <w:r>
            <w:rPr>
              <w:b/>
            </w:rPr>
            <w:fldChar w:fldCharType="end"/>
          </w:r>
        </w:p>
      </w:tc>
    </w:tr>
  </w:tbl>
  <w:p w:rsidR="0041059F" w:rsidRPr="00FE64CC" w:rsidRDefault="0041059F" w:rsidP="0000183F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1059F" w:rsidRPr="00A437A9" w:rsidTr="0000183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1059F" w:rsidRPr="0000183F" w:rsidRDefault="0041059F" w:rsidP="0000183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1059F" w:rsidRDefault="0041059F" w:rsidP="0000183F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1059F" w:rsidRPr="00FE64CC" w:rsidRDefault="0041059F" w:rsidP="0000183F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FE64CC">
            <w:rPr>
              <w:sz w:val="40"/>
              <w:lang w:val="en-US"/>
            </w:rPr>
            <w:t>ECE</w:t>
          </w:r>
          <w:r w:rsidRPr="00FE64CC">
            <w:rPr>
              <w:sz w:val="20"/>
              <w:lang w:val="en-US"/>
            </w:rPr>
            <w:t>/TRANS/WP.15/AC.1/140/Add.2</w:t>
          </w:r>
        </w:p>
      </w:tc>
    </w:tr>
    <w:tr w:rsidR="0041059F" w:rsidRPr="00A437A9" w:rsidTr="0000183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059F" w:rsidRPr="0000183F" w:rsidRDefault="0041059F" w:rsidP="0000183F">
          <w:pPr>
            <w:pStyle w:val="Header"/>
            <w:spacing w:before="120"/>
            <w:jc w:val="center"/>
          </w:pPr>
          <w:r w:rsidRPr="00FE64CC">
            <w:rPr>
              <w:lang w:val="en-US"/>
            </w:rP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D5E35A2" wp14:editId="523C6AD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059F" w:rsidRPr="0000183F" w:rsidRDefault="0041059F" w:rsidP="0000183F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059F" w:rsidRPr="0000183F" w:rsidRDefault="0041059F" w:rsidP="0000183F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059F" w:rsidRPr="00FE64CC" w:rsidRDefault="0041059F" w:rsidP="0000183F">
          <w:pPr>
            <w:pStyle w:val="Distribution"/>
            <w:rPr>
              <w:color w:val="000000"/>
              <w:lang w:val="en-US"/>
            </w:rPr>
          </w:pPr>
          <w:r w:rsidRPr="00FE64CC">
            <w:rPr>
              <w:color w:val="000000"/>
              <w:lang w:val="en-US"/>
            </w:rPr>
            <w:t>Distr.: General</w:t>
          </w:r>
        </w:p>
        <w:p w:rsidR="0041059F" w:rsidRPr="00FE64CC" w:rsidRDefault="0041059F" w:rsidP="00050AAD">
          <w:pPr>
            <w:pStyle w:val="Publication"/>
            <w:rPr>
              <w:color w:val="000000"/>
              <w:lang w:val="en-US"/>
            </w:rPr>
          </w:pPr>
          <w:r w:rsidRPr="00FE64CC">
            <w:rPr>
              <w:color w:val="000000"/>
              <w:lang w:val="en-US"/>
            </w:rPr>
            <w:t>4 November 2015</w:t>
          </w:r>
        </w:p>
        <w:p w:rsidR="0041059F" w:rsidRPr="00FE64CC" w:rsidRDefault="0041059F" w:rsidP="0000183F">
          <w:pPr>
            <w:rPr>
              <w:color w:val="000000"/>
              <w:lang w:val="en-US"/>
            </w:rPr>
          </w:pPr>
          <w:r w:rsidRPr="00FE64CC">
            <w:rPr>
              <w:color w:val="000000"/>
              <w:lang w:val="en-US"/>
            </w:rPr>
            <w:t>Russian</w:t>
          </w:r>
        </w:p>
        <w:p w:rsidR="0041059F" w:rsidRPr="00FE64CC" w:rsidRDefault="0041059F" w:rsidP="0000183F">
          <w:pPr>
            <w:pStyle w:val="Original"/>
            <w:rPr>
              <w:color w:val="000000"/>
              <w:lang w:val="en-US"/>
            </w:rPr>
          </w:pPr>
          <w:r w:rsidRPr="00FE64CC">
            <w:rPr>
              <w:color w:val="000000"/>
              <w:lang w:val="en-US"/>
            </w:rPr>
            <w:t>Original: English</w:t>
          </w:r>
        </w:p>
        <w:p w:rsidR="0041059F" w:rsidRPr="00FE64CC" w:rsidRDefault="0041059F" w:rsidP="0000183F">
          <w:pPr>
            <w:rPr>
              <w:lang w:val="en-US"/>
            </w:rPr>
          </w:pPr>
        </w:p>
      </w:tc>
    </w:tr>
  </w:tbl>
  <w:p w:rsidR="0041059F" w:rsidRPr="00FE64CC" w:rsidRDefault="0041059F" w:rsidP="0000183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9030*"/>
    <w:docVar w:name="CreationDt" w:val="12/16/2015 9:33: AM"/>
    <w:docVar w:name="DocCategory" w:val="Doc"/>
    <w:docVar w:name="DocType" w:val="Final"/>
    <w:docVar w:name="DutyStation" w:val="Geneva"/>
    <w:docVar w:name="FooterJN" w:val="GE.15-19030"/>
    <w:docVar w:name="jobn" w:val="GE.15-19030 (R)"/>
    <w:docVar w:name="jobnDT" w:val="GE.15-19030 (R)   161215"/>
    <w:docVar w:name="jobnDTDT" w:val="GE.15-19030 (R)   161215   161215"/>
    <w:docVar w:name="JobNo" w:val="GE.1519030R"/>
    <w:docVar w:name="JobNo2" w:val="1525018R"/>
    <w:docVar w:name="LocalDrive" w:val="0"/>
    <w:docVar w:name="OandT" w:val="AP"/>
    <w:docVar w:name="PaperSize" w:val="A4"/>
    <w:docVar w:name="sss1" w:val="ECE/TRANS/WP.15/AC.1/140/Add.2"/>
    <w:docVar w:name="sss2" w:val="-"/>
    <w:docVar w:name="Symbol1" w:val="ECE/TRANS/WP.15/AC.1/140/Add.2"/>
    <w:docVar w:name="Symbol2" w:val="-"/>
  </w:docVars>
  <w:rsids>
    <w:rsidRoot w:val="007374F4"/>
    <w:rsid w:val="0000183F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0AAD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2E05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1096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55DA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5BFE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59F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019E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374F4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3913"/>
    <w:rsid w:val="009D6E3D"/>
    <w:rsid w:val="009E5845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37A9"/>
    <w:rsid w:val="00A452CF"/>
    <w:rsid w:val="00A46574"/>
    <w:rsid w:val="00A471A3"/>
    <w:rsid w:val="00A47B1B"/>
    <w:rsid w:val="00A5253A"/>
    <w:rsid w:val="00A5461B"/>
    <w:rsid w:val="00A63339"/>
    <w:rsid w:val="00A64EE1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2225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92254"/>
    <w:rsid w:val="00BA3BC1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11BF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1AC7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68E4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17D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E64CC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01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8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83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83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01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8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83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83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20CB-D05D-49FE-ADD3-888F5253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4009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barrio-champeau</cp:lastModifiedBy>
  <cp:revision>3</cp:revision>
  <cp:lastPrinted>2015-12-16T13:23:00Z</cp:lastPrinted>
  <dcterms:created xsi:type="dcterms:W3CDTF">2015-12-16T13:22:00Z</dcterms:created>
  <dcterms:modified xsi:type="dcterms:W3CDTF">2015-12-16T13:23:00Z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1519030R</vt:lpwstr>
  </property>
  <property fmtid="{D5CDD505-2E9C-101B-9397-08002B2CF9AE}" pid="3" name="ODSRefJobNo">
    <vt:lpwstr>1525018R</vt:lpwstr>
  </property>
  <property fmtid="{D5CDD505-2E9C-101B-9397-08002B2CF9AE}" pid="4" name="Symbol1">
    <vt:lpwstr>ECE/TRANS/WP.15/AC.1/140/Add.2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14 November 2015</vt:lpwstr>
  </property>
  <property fmtid="{D5CDD505-2E9C-101B-9397-08002B2CF9AE}" pid="12" name="Original">
    <vt:lpwstr>English</vt:lpwstr>
  </property>
  <property fmtid="{D5CDD505-2E9C-101B-9397-08002B2CF9AE}" pid="13" name="Release Date">
    <vt:lpwstr>161215</vt:lpwstr>
  </property>
</Properties>
</file>