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46811" w:rsidRPr="009D2BBD" w:rsidTr="001A4B26">
        <w:trPr>
          <w:trHeight w:hRule="exact" w:val="851"/>
        </w:trPr>
        <w:tc>
          <w:tcPr>
            <w:tcW w:w="1276" w:type="dxa"/>
            <w:tcBorders>
              <w:bottom w:val="single" w:sz="4" w:space="0" w:color="auto"/>
            </w:tcBorders>
          </w:tcPr>
          <w:p w:rsidR="00946811" w:rsidRPr="002401C8" w:rsidRDefault="00946811" w:rsidP="00946811">
            <w:bookmarkStart w:id="0" w:name="_GoBack"/>
            <w:bookmarkEnd w:id="0"/>
          </w:p>
        </w:tc>
        <w:tc>
          <w:tcPr>
            <w:tcW w:w="2268" w:type="dxa"/>
            <w:tcBorders>
              <w:bottom w:val="single" w:sz="4" w:space="0" w:color="auto"/>
            </w:tcBorders>
            <w:vAlign w:val="bottom"/>
          </w:tcPr>
          <w:p w:rsidR="00946811" w:rsidRPr="0044299A" w:rsidRDefault="00946811" w:rsidP="00946811">
            <w:pPr>
              <w:spacing w:after="80" w:line="300" w:lineRule="exact"/>
              <w:rPr>
                <w:sz w:val="28"/>
                <w:lang w:val="fr-CH"/>
              </w:rPr>
            </w:pPr>
            <w:r w:rsidRPr="0044299A">
              <w:rPr>
                <w:sz w:val="28"/>
                <w:lang w:val="fr-CH"/>
              </w:rPr>
              <w:t>Nations Unies</w:t>
            </w:r>
          </w:p>
        </w:tc>
        <w:tc>
          <w:tcPr>
            <w:tcW w:w="6095" w:type="dxa"/>
            <w:gridSpan w:val="2"/>
            <w:tcBorders>
              <w:bottom w:val="single" w:sz="4" w:space="0" w:color="auto"/>
            </w:tcBorders>
            <w:vAlign w:val="bottom"/>
          </w:tcPr>
          <w:p w:rsidR="00946811" w:rsidRPr="0044299A" w:rsidRDefault="00946811" w:rsidP="00BE7315">
            <w:pPr>
              <w:jc w:val="right"/>
              <w:rPr>
                <w:lang w:val="fr-CH"/>
              </w:rPr>
            </w:pPr>
            <w:r w:rsidRPr="0044299A">
              <w:rPr>
                <w:sz w:val="40"/>
                <w:lang w:val="fr-CH"/>
              </w:rPr>
              <w:t>ECE</w:t>
            </w:r>
            <w:r w:rsidRPr="0044299A">
              <w:rPr>
                <w:lang w:val="fr-CH"/>
              </w:rPr>
              <w:t>/TRANS/WP.15/AC.2/5</w:t>
            </w:r>
            <w:r w:rsidR="00BE7315">
              <w:rPr>
                <w:lang w:val="fr-CH"/>
              </w:rPr>
              <w:t>6</w:t>
            </w:r>
          </w:p>
        </w:tc>
      </w:tr>
      <w:tr w:rsidR="00946811" w:rsidRPr="00977DF3" w:rsidTr="001A4B26">
        <w:trPr>
          <w:trHeight w:hRule="exact" w:val="2835"/>
        </w:trPr>
        <w:tc>
          <w:tcPr>
            <w:tcW w:w="1276" w:type="dxa"/>
            <w:tcBorders>
              <w:top w:val="single" w:sz="4" w:space="0" w:color="auto"/>
              <w:bottom w:val="single" w:sz="12" w:space="0" w:color="auto"/>
            </w:tcBorders>
          </w:tcPr>
          <w:p w:rsidR="00946811" w:rsidRPr="002401C8" w:rsidRDefault="00BD2B47" w:rsidP="00946811">
            <w:pPr>
              <w:spacing w:before="120"/>
              <w:jc w:val="center"/>
            </w:pPr>
            <w:r>
              <w:rPr>
                <w:noProof/>
                <w:lang w:val="fr-FR" w:eastAsia="fr-FR"/>
              </w:rPr>
              <w:drawing>
                <wp:inline distT="0" distB="0" distL="0" distR="0">
                  <wp:extent cx="716915" cy="592455"/>
                  <wp:effectExtent l="0" t="0" r="6985" b="0"/>
                  <wp:docPr id="7"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46811" w:rsidRPr="0044299A" w:rsidRDefault="00946811" w:rsidP="00946811">
            <w:pPr>
              <w:spacing w:before="120" w:line="420" w:lineRule="exact"/>
              <w:rPr>
                <w:b/>
                <w:sz w:val="40"/>
                <w:szCs w:val="40"/>
                <w:lang w:val="fr-CH"/>
              </w:rPr>
            </w:pPr>
            <w:r w:rsidRPr="0044299A">
              <w:rPr>
                <w:b/>
                <w:sz w:val="40"/>
                <w:szCs w:val="40"/>
                <w:lang w:val="fr-CH"/>
              </w:rPr>
              <w:t>Conseil économique et social</w:t>
            </w:r>
          </w:p>
        </w:tc>
        <w:tc>
          <w:tcPr>
            <w:tcW w:w="2835" w:type="dxa"/>
            <w:tcBorders>
              <w:top w:val="single" w:sz="4" w:space="0" w:color="auto"/>
              <w:bottom w:val="single" w:sz="12" w:space="0" w:color="auto"/>
            </w:tcBorders>
          </w:tcPr>
          <w:p w:rsidR="00946811" w:rsidRPr="0044299A" w:rsidRDefault="00946811" w:rsidP="00946811">
            <w:pPr>
              <w:spacing w:before="240" w:line="240" w:lineRule="exact"/>
              <w:rPr>
                <w:lang w:val="fr-CH"/>
              </w:rPr>
            </w:pPr>
            <w:r w:rsidRPr="0044299A">
              <w:rPr>
                <w:lang w:val="fr-CH"/>
              </w:rPr>
              <w:t>Distr. générale</w:t>
            </w:r>
          </w:p>
          <w:p w:rsidR="00946811" w:rsidRPr="0044299A" w:rsidRDefault="000A7A84" w:rsidP="00946811">
            <w:pPr>
              <w:spacing w:line="240" w:lineRule="exact"/>
              <w:rPr>
                <w:lang w:val="fr-CH"/>
              </w:rPr>
            </w:pPr>
            <w:r>
              <w:rPr>
                <w:lang w:val="fr-CH"/>
              </w:rPr>
              <w:t>15</w:t>
            </w:r>
            <w:r w:rsidR="00946811" w:rsidRPr="0044299A">
              <w:rPr>
                <w:lang w:val="fr-CH"/>
              </w:rPr>
              <w:t xml:space="preserve"> </w:t>
            </w:r>
            <w:r w:rsidR="00444917">
              <w:rPr>
                <w:lang w:val="fr-CH"/>
              </w:rPr>
              <w:t>octobre</w:t>
            </w:r>
            <w:r w:rsidR="00946811">
              <w:rPr>
                <w:lang w:val="fr-CH"/>
              </w:rPr>
              <w:t xml:space="preserve"> 2015</w:t>
            </w:r>
          </w:p>
          <w:p w:rsidR="00946811" w:rsidRPr="0044299A" w:rsidRDefault="00946811" w:rsidP="00946811">
            <w:pPr>
              <w:spacing w:line="240" w:lineRule="exact"/>
              <w:rPr>
                <w:lang w:val="fr-CH"/>
              </w:rPr>
            </w:pPr>
            <w:r w:rsidRPr="0044299A">
              <w:rPr>
                <w:lang w:val="fr-CH"/>
              </w:rPr>
              <w:t>Français</w:t>
            </w:r>
          </w:p>
          <w:p w:rsidR="00946811" w:rsidRPr="0044299A" w:rsidRDefault="00946811" w:rsidP="00946811">
            <w:pPr>
              <w:spacing w:line="240" w:lineRule="exact"/>
              <w:rPr>
                <w:lang w:val="fr-CH"/>
              </w:rPr>
            </w:pPr>
            <w:r w:rsidRPr="0044299A">
              <w:rPr>
                <w:lang w:val="fr-CH"/>
              </w:rPr>
              <w:t>Original: anglais et français</w:t>
            </w:r>
          </w:p>
        </w:tc>
      </w:tr>
    </w:tbl>
    <w:p w:rsidR="0075471E" w:rsidRPr="00C7790C" w:rsidRDefault="0075471E" w:rsidP="0075471E">
      <w:pPr>
        <w:spacing w:before="120"/>
        <w:rPr>
          <w:b/>
          <w:sz w:val="28"/>
          <w:szCs w:val="28"/>
          <w:lang w:val="fr-FR"/>
        </w:rPr>
      </w:pPr>
      <w:r w:rsidRPr="00C7790C">
        <w:rPr>
          <w:b/>
          <w:sz w:val="28"/>
          <w:szCs w:val="28"/>
          <w:lang w:val="fr-FR"/>
        </w:rPr>
        <w:t xml:space="preserve">Commission </w:t>
      </w:r>
      <w:r w:rsidRPr="005C206A">
        <w:rPr>
          <w:b/>
          <w:sz w:val="28"/>
          <w:szCs w:val="28"/>
          <w:lang w:val="fr-CH"/>
        </w:rPr>
        <w:t>économique</w:t>
      </w:r>
      <w:r w:rsidRPr="00C7790C">
        <w:rPr>
          <w:b/>
          <w:sz w:val="28"/>
          <w:szCs w:val="28"/>
          <w:lang w:val="fr-FR"/>
        </w:rPr>
        <w:t xml:space="preserve"> pour </w:t>
      </w:r>
      <w:r w:rsidRPr="005C206A">
        <w:rPr>
          <w:b/>
          <w:sz w:val="28"/>
          <w:szCs w:val="28"/>
          <w:lang w:val="fr-CH"/>
        </w:rPr>
        <w:t>l’Europe</w:t>
      </w:r>
    </w:p>
    <w:p w:rsidR="0075471E" w:rsidRPr="00C7790C" w:rsidRDefault="0075471E" w:rsidP="0075471E">
      <w:pPr>
        <w:spacing w:before="120"/>
        <w:rPr>
          <w:sz w:val="28"/>
          <w:szCs w:val="28"/>
          <w:lang w:val="fr-FR"/>
        </w:rPr>
      </w:pPr>
      <w:r w:rsidRPr="005C206A">
        <w:rPr>
          <w:sz w:val="28"/>
          <w:szCs w:val="28"/>
          <w:lang w:val="fr-CH"/>
        </w:rPr>
        <w:t>Comité</w:t>
      </w:r>
      <w:r w:rsidRPr="00C7790C">
        <w:rPr>
          <w:sz w:val="28"/>
          <w:szCs w:val="28"/>
          <w:lang w:val="fr-FR"/>
        </w:rPr>
        <w:t xml:space="preserve"> des transports </w:t>
      </w:r>
      <w:r w:rsidRPr="005C206A">
        <w:rPr>
          <w:sz w:val="28"/>
          <w:szCs w:val="28"/>
          <w:lang w:val="fr-CH"/>
        </w:rPr>
        <w:t>intérieurs</w:t>
      </w:r>
    </w:p>
    <w:p w:rsidR="0075471E" w:rsidRPr="00C7790C" w:rsidRDefault="0075471E" w:rsidP="0075471E">
      <w:pPr>
        <w:spacing w:before="120"/>
        <w:rPr>
          <w:b/>
          <w:sz w:val="24"/>
          <w:szCs w:val="24"/>
          <w:lang w:val="fr-FR"/>
        </w:rPr>
      </w:pPr>
      <w:r w:rsidRPr="005C206A">
        <w:rPr>
          <w:b/>
          <w:sz w:val="24"/>
          <w:szCs w:val="24"/>
          <w:lang w:val="fr-CH"/>
        </w:rPr>
        <w:t>Groupe</w:t>
      </w:r>
      <w:r w:rsidRPr="00C7790C">
        <w:rPr>
          <w:b/>
          <w:sz w:val="24"/>
          <w:szCs w:val="24"/>
          <w:lang w:val="fr-FR"/>
        </w:rPr>
        <w:t xml:space="preserve"> de travail des transports</w:t>
      </w:r>
      <w:r w:rsidRPr="00C7790C">
        <w:rPr>
          <w:b/>
          <w:sz w:val="24"/>
          <w:szCs w:val="24"/>
          <w:lang w:val="fr-FR"/>
        </w:rPr>
        <w:br/>
        <w:t xml:space="preserve">de </w:t>
      </w:r>
      <w:r w:rsidRPr="005C206A">
        <w:rPr>
          <w:b/>
          <w:sz w:val="24"/>
          <w:szCs w:val="24"/>
          <w:lang w:val="fr-CH"/>
        </w:rPr>
        <w:t>marchandises</w:t>
      </w:r>
      <w:r w:rsidRPr="00C7790C">
        <w:rPr>
          <w:b/>
          <w:sz w:val="24"/>
          <w:szCs w:val="24"/>
          <w:lang w:val="fr-FR"/>
        </w:rPr>
        <w:t xml:space="preserve"> </w:t>
      </w:r>
      <w:r w:rsidRPr="005C206A">
        <w:rPr>
          <w:b/>
          <w:sz w:val="24"/>
          <w:szCs w:val="24"/>
          <w:lang w:val="fr-CH"/>
        </w:rPr>
        <w:t>dangereuses</w:t>
      </w:r>
    </w:p>
    <w:p w:rsidR="0075471E" w:rsidRPr="00C7790C" w:rsidRDefault="0075471E" w:rsidP="0075471E">
      <w:pPr>
        <w:spacing w:before="120"/>
        <w:rPr>
          <w:b/>
          <w:lang w:val="fr-FR"/>
        </w:rPr>
      </w:pPr>
      <w:r w:rsidRPr="004812F5">
        <w:rPr>
          <w:b/>
          <w:lang w:val="fr-FR"/>
        </w:rPr>
        <w:t>Réunion commune d’experts sur le Règlement annexé</w:t>
      </w:r>
      <w:r>
        <w:rPr>
          <w:b/>
          <w:lang w:val="fr-FR"/>
        </w:rPr>
        <w:br/>
      </w:r>
      <w:r w:rsidRPr="004812F5">
        <w:rPr>
          <w:b/>
          <w:lang w:val="fr-FR"/>
        </w:rPr>
        <w:t>à l’Accord européen</w:t>
      </w:r>
      <w:r>
        <w:rPr>
          <w:b/>
          <w:lang w:val="fr-FR"/>
        </w:rPr>
        <w:t xml:space="preserve"> </w:t>
      </w:r>
      <w:r w:rsidRPr="004812F5">
        <w:rPr>
          <w:b/>
          <w:lang w:val="fr-FR"/>
        </w:rPr>
        <w:t>relatif au transport international</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br/>
      </w:r>
      <w:r w:rsidRPr="004812F5">
        <w:rPr>
          <w:b/>
          <w:bCs/>
          <w:iCs/>
          <w:lang w:val="fr-FR"/>
        </w:rPr>
        <w:t xml:space="preserve">intérieures (ADN) </w:t>
      </w:r>
      <w:r w:rsidRPr="004812F5">
        <w:rPr>
          <w:b/>
          <w:bCs/>
          <w:lang w:val="fr-FR"/>
        </w:rPr>
        <w:t>(Comité de sécurité de l’ADN)</w:t>
      </w:r>
    </w:p>
    <w:p w:rsidR="0075471E" w:rsidRPr="00C7790C" w:rsidRDefault="00D15C92" w:rsidP="0075471E">
      <w:pPr>
        <w:spacing w:before="120"/>
        <w:rPr>
          <w:b/>
          <w:lang w:val="fr-FR"/>
        </w:rPr>
      </w:pPr>
      <w:r>
        <w:rPr>
          <w:b/>
          <w:lang w:val="fr-FR"/>
        </w:rPr>
        <w:t>Vingt</w:t>
      </w:r>
      <w:r w:rsidR="00AA47CD">
        <w:rPr>
          <w:b/>
          <w:lang w:val="fr-FR"/>
        </w:rPr>
        <w:t>-</w:t>
      </w:r>
      <w:r w:rsidR="00BE7315">
        <w:rPr>
          <w:b/>
          <w:lang w:val="fr-FR"/>
        </w:rPr>
        <w:t>septième</w:t>
      </w:r>
      <w:r>
        <w:rPr>
          <w:b/>
          <w:lang w:val="fr-FR"/>
        </w:rPr>
        <w:t xml:space="preserve"> session</w:t>
      </w:r>
    </w:p>
    <w:p w:rsidR="0075471E" w:rsidRPr="00C7790C" w:rsidRDefault="0075471E" w:rsidP="0075471E">
      <w:pPr>
        <w:rPr>
          <w:lang w:val="fr-FR"/>
        </w:rPr>
      </w:pPr>
      <w:r>
        <w:rPr>
          <w:lang w:val="fr-FR"/>
        </w:rPr>
        <w:t xml:space="preserve">Genève, </w:t>
      </w:r>
      <w:r w:rsidR="00D15C92">
        <w:rPr>
          <w:lang w:val="fr-FR"/>
        </w:rPr>
        <w:t>2</w:t>
      </w:r>
      <w:r w:rsidR="00BE7315">
        <w:rPr>
          <w:lang w:val="fr-FR"/>
        </w:rPr>
        <w:t>4</w:t>
      </w:r>
      <w:r w:rsidR="00D15C92">
        <w:rPr>
          <w:lang w:val="fr-FR"/>
        </w:rPr>
        <w:t>-</w:t>
      </w:r>
      <w:r w:rsidR="00BE7315">
        <w:rPr>
          <w:lang w:val="fr-FR"/>
        </w:rPr>
        <w:t>28</w:t>
      </w:r>
      <w:r w:rsidR="00A5132E">
        <w:rPr>
          <w:lang w:val="fr-FR"/>
        </w:rPr>
        <w:t xml:space="preserve"> </w:t>
      </w:r>
      <w:r w:rsidR="00BE7315">
        <w:rPr>
          <w:lang w:val="fr-FR"/>
        </w:rPr>
        <w:t>août</w:t>
      </w:r>
      <w:r w:rsidR="00D15C92">
        <w:rPr>
          <w:lang w:val="fr-FR"/>
        </w:rPr>
        <w:t xml:space="preserve"> 201</w:t>
      </w:r>
      <w:r w:rsidR="00647D2E">
        <w:rPr>
          <w:lang w:val="fr-FR"/>
        </w:rPr>
        <w:t>5</w:t>
      </w:r>
    </w:p>
    <w:p w:rsidR="00946811" w:rsidRPr="00946811" w:rsidRDefault="00946811" w:rsidP="00946811">
      <w:pPr>
        <w:pStyle w:val="HChG"/>
        <w:rPr>
          <w:b w:val="0"/>
          <w:sz w:val="20"/>
          <w:lang w:val="fr-CH"/>
        </w:rPr>
      </w:pPr>
      <w:r w:rsidRPr="00975F9D">
        <w:rPr>
          <w:lang w:val="fr-CH"/>
        </w:rPr>
        <w:tab/>
      </w:r>
      <w:r w:rsidRPr="00975F9D">
        <w:rPr>
          <w:lang w:val="fr-CH"/>
        </w:rPr>
        <w:tab/>
      </w:r>
      <w:bookmarkStart w:id="1" w:name="_Toc397355957"/>
      <w:bookmarkStart w:id="2" w:name="_Toc410740078"/>
      <w:bookmarkStart w:id="3" w:name="_Toc410740227"/>
      <w:bookmarkStart w:id="4" w:name="_Toc428948861"/>
      <w:r w:rsidRPr="003E1A72">
        <w:rPr>
          <w:lang w:val="fr-CH"/>
        </w:rPr>
        <w:t xml:space="preserve">Rapport de la Réunion commune d’experts sur le Règlement annexé à l’Accord européen relatif au transport international des marchandises dangereuses par voies de navigation intérieures (ADN) (Comité de sécurité de l’ADN) sur sa </w:t>
      </w:r>
      <w:r w:rsidR="00240FAC">
        <w:rPr>
          <w:lang w:val="fr-CH"/>
        </w:rPr>
        <w:br/>
      </w:r>
      <w:r w:rsidRPr="003E1A72">
        <w:rPr>
          <w:lang w:val="fr-CH"/>
        </w:rPr>
        <w:t>vingt-</w:t>
      </w:r>
      <w:r w:rsidR="00BE7315">
        <w:rPr>
          <w:lang w:val="fr-CH"/>
        </w:rPr>
        <w:t>septième</w:t>
      </w:r>
      <w:r w:rsidRPr="003E1A72">
        <w:rPr>
          <w:lang w:val="fr-CH"/>
        </w:rPr>
        <w:t xml:space="preserve"> session</w:t>
      </w:r>
      <w:r w:rsidRPr="00BE7315">
        <w:rPr>
          <w:rStyle w:val="FootnoteReference"/>
          <w:sz w:val="28"/>
          <w:szCs w:val="28"/>
        </w:rPr>
        <w:footnoteReference w:id="2"/>
      </w:r>
      <w:bookmarkEnd w:id="1"/>
      <w:bookmarkEnd w:id="2"/>
      <w:bookmarkEnd w:id="3"/>
      <w:bookmarkEnd w:id="4"/>
    </w:p>
    <w:p w:rsidR="00191204" w:rsidRPr="003E1A72" w:rsidRDefault="00191204" w:rsidP="00191204">
      <w:pPr>
        <w:spacing w:after="120"/>
        <w:rPr>
          <w:sz w:val="28"/>
          <w:lang w:val="fr-CH"/>
        </w:rPr>
      </w:pPr>
      <w:r>
        <w:rPr>
          <w:lang w:val="fr-CH"/>
        </w:rPr>
        <w:br w:type="page"/>
      </w:r>
      <w:r w:rsidRPr="003E1A72">
        <w:rPr>
          <w:sz w:val="28"/>
          <w:lang w:val="fr-CH"/>
        </w:rPr>
        <w:lastRenderedPageBreak/>
        <w:t>Table des matières</w:t>
      </w:r>
    </w:p>
    <w:p w:rsidR="00191204" w:rsidRDefault="00191204" w:rsidP="00191204">
      <w:pPr>
        <w:tabs>
          <w:tab w:val="right" w:pos="8929"/>
          <w:tab w:val="right" w:pos="9638"/>
        </w:tabs>
        <w:spacing w:after="120"/>
        <w:ind w:left="283"/>
        <w:rPr>
          <w:lang w:val="fr-CH"/>
        </w:rPr>
      </w:pPr>
      <w:r w:rsidRPr="00BF019A">
        <w:rPr>
          <w:i/>
          <w:sz w:val="18"/>
          <w:lang w:val="fr-FR"/>
        </w:rPr>
        <w:tab/>
      </w:r>
      <w:r w:rsidRPr="00014175">
        <w:rPr>
          <w:i/>
          <w:sz w:val="18"/>
          <w:lang w:val="fr-FR"/>
        </w:rPr>
        <w:t>Paragraph</w:t>
      </w:r>
      <w:r>
        <w:rPr>
          <w:i/>
          <w:sz w:val="18"/>
          <w:lang w:val="fr-FR"/>
        </w:rPr>
        <w:t>e</w:t>
      </w:r>
      <w:r w:rsidRPr="00014175">
        <w:rPr>
          <w:i/>
          <w:sz w:val="18"/>
          <w:lang w:val="fr-FR"/>
        </w:rPr>
        <w:t>s</w:t>
      </w:r>
      <w:r w:rsidRPr="00014175">
        <w:rPr>
          <w:i/>
          <w:sz w:val="18"/>
          <w:lang w:val="fr-FR"/>
        </w:rPr>
        <w:tab/>
        <w:t>Page</w:t>
      </w:r>
      <w:r>
        <w:rPr>
          <w:lang w:val="fr-CH"/>
        </w:rPr>
        <w:t xml:space="preserve"> </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rPr>
          <w:lang w:val="fr-CH"/>
        </w:rPr>
      </w:pPr>
      <w:r w:rsidRPr="00677483">
        <w:rPr>
          <w:lang w:val="fr-CH"/>
        </w:rPr>
        <w:tab/>
        <w:t>I.</w:t>
      </w:r>
      <w:r w:rsidRPr="00677483">
        <w:rPr>
          <w:lang w:val="fr-CH"/>
        </w:rPr>
        <w:tab/>
        <w:t>Participation</w:t>
      </w:r>
      <w:r w:rsidRPr="00677483">
        <w:rPr>
          <w:lang w:val="fr-CH"/>
        </w:rPr>
        <w:tab/>
      </w:r>
      <w:r w:rsidRPr="00677483">
        <w:rPr>
          <w:lang w:val="fr-CH"/>
        </w:rPr>
        <w:tab/>
        <w:t>1</w:t>
      </w:r>
      <w:r w:rsidRPr="00677483">
        <w:rPr>
          <w:lang w:val="fr-CH"/>
        </w:rPr>
        <w:tab/>
        <w:t>5</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rPr>
          <w:lang w:val="fr-CH"/>
        </w:rPr>
      </w:pPr>
      <w:r w:rsidRPr="00677483">
        <w:rPr>
          <w:lang w:val="fr-CH"/>
        </w:rPr>
        <w:tab/>
        <w:t>II.</w:t>
      </w:r>
      <w:r w:rsidRPr="00677483">
        <w:rPr>
          <w:lang w:val="fr-CH"/>
        </w:rPr>
        <w:tab/>
        <w:t>Adoption de l’ordre du jour (point 1 de l’ordre du jour)</w:t>
      </w:r>
      <w:r w:rsidRPr="00677483">
        <w:rPr>
          <w:lang w:val="fr-CH"/>
        </w:rPr>
        <w:tab/>
      </w:r>
      <w:r w:rsidRPr="00677483">
        <w:rPr>
          <w:lang w:val="fr-CH"/>
        </w:rPr>
        <w:tab/>
        <w:t>2-3</w:t>
      </w:r>
      <w:r w:rsidRPr="00677483">
        <w:rPr>
          <w:lang w:val="fr-CH"/>
        </w:rPr>
        <w:tab/>
        <w:t>5</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ind w:left="1134" w:hanging="1134"/>
        <w:rPr>
          <w:lang w:val="fr-CH"/>
        </w:rPr>
      </w:pPr>
      <w:r w:rsidRPr="00677483">
        <w:rPr>
          <w:lang w:val="fr-CH"/>
        </w:rPr>
        <w:tab/>
        <w:t>III.</w:t>
      </w:r>
      <w:r w:rsidRPr="00677483">
        <w:rPr>
          <w:lang w:val="fr-CH"/>
        </w:rPr>
        <w:tab/>
        <w:t xml:space="preserve">Questions découlant des travaux d'organes des Nations Unies et d'autres </w:t>
      </w:r>
      <w:r>
        <w:rPr>
          <w:lang w:val="fr-CH"/>
        </w:rPr>
        <w:br/>
      </w:r>
      <w:r w:rsidRPr="00677483">
        <w:rPr>
          <w:lang w:val="fr-CH"/>
        </w:rPr>
        <w:t>organisations (point 2 de l'ordre du jour)</w:t>
      </w:r>
      <w:r w:rsidRPr="00677483">
        <w:rPr>
          <w:lang w:val="fr-CH"/>
        </w:rPr>
        <w:tab/>
      </w:r>
      <w:r w:rsidRPr="00677483">
        <w:rPr>
          <w:lang w:val="fr-CH"/>
        </w:rPr>
        <w:tab/>
        <w:t>4-5</w:t>
      </w:r>
      <w:r w:rsidRPr="00677483">
        <w:rPr>
          <w:lang w:val="fr-CH"/>
        </w:rPr>
        <w:tab/>
        <w:t>6</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ind w:left="1140" w:hanging="1140"/>
        <w:rPr>
          <w:lang w:val="fr-CH"/>
        </w:rPr>
      </w:pPr>
      <w:r w:rsidRPr="00677483">
        <w:rPr>
          <w:lang w:val="fr-CH"/>
        </w:rPr>
        <w:tab/>
        <w:t>IV.</w:t>
      </w:r>
      <w:r w:rsidRPr="00677483">
        <w:rPr>
          <w:lang w:val="fr-CH"/>
        </w:rPr>
        <w:tab/>
        <w:t xml:space="preserve">Mise en œuvre de l'Accord européen relatif au transport international des </w:t>
      </w:r>
      <w:r>
        <w:rPr>
          <w:lang w:val="fr-CH"/>
        </w:rPr>
        <w:br/>
      </w:r>
      <w:r w:rsidRPr="00677483">
        <w:rPr>
          <w:lang w:val="fr-CH"/>
        </w:rPr>
        <w:t xml:space="preserve">marchandises dangereuses par voies de navigation intérieures (ADN) </w:t>
      </w:r>
      <w:r>
        <w:rPr>
          <w:lang w:val="fr-CH"/>
        </w:rPr>
        <w:br/>
      </w:r>
      <w:r w:rsidRPr="00677483">
        <w:rPr>
          <w:lang w:val="fr-CH"/>
        </w:rPr>
        <w:t>(point 3 de l’ordre du jour)</w:t>
      </w:r>
      <w:r w:rsidRPr="00677483">
        <w:rPr>
          <w:lang w:val="fr-CH"/>
        </w:rPr>
        <w:tab/>
      </w:r>
      <w:r w:rsidRPr="00677483">
        <w:rPr>
          <w:lang w:val="fr-CH"/>
        </w:rPr>
        <w:tab/>
        <w:t>6-37</w:t>
      </w:r>
      <w:r w:rsidRPr="00677483">
        <w:rPr>
          <w:lang w:val="fr-CH"/>
        </w:rPr>
        <w:tab/>
        <w:t>6</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rPr>
          <w:lang w:val="fr-CH"/>
        </w:rPr>
      </w:pPr>
      <w:r w:rsidRPr="00677483">
        <w:rPr>
          <w:lang w:val="fr-CH"/>
        </w:rPr>
        <w:tab/>
      </w:r>
      <w:r w:rsidRPr="00677483">
        <w:rPr>
          <w:lang w:val="fr-CH"/>
        </w:rPr>
        <w:tab/>
        <w:t>A.</w:t>
      </w:r>
      <w:r w:rsidRPr="00677483">
        <w:rPr>
          <w:lang w:val="fr-CH"/>
        </w:rPr>
        <w:tab/>
        <w:t>Statut de l'ADN</w:t>
      </w:r>
      <w:r w:rsidRPr="00677483">
        <w:rPr>
          <w:lang w:val="fr-CH"/>
        </w:rPr>
        <w:tab/>
      </w:r>
      <w:r w:rsidRPr="00677483">
        <w:rPr>
          <w:lang w:val="fr-CH"/>
        </w:rPr>
        <w:tab/>
        <w:t>6</w:t>
      </w:r>
      <w:r w:rsidRPr="00677483">
        <w:rPr>
          <w:lang w:val="fr-CH"/>
        </w:rPr>
        <w:tab/>
        <w:t>6</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rPr>
          <w:lang w:val="fr-CH"/>
        </w:rPr>
      </w:pPr>
      <w:r w:rsidRPr="00677483">
        <w:rPr>
          <w:lang w:val="fr-CH"/>
        </w:rPr>
        <w:tab/>
      </w:r>
      <w:r w:rsidRPr="00677483">
        <w:rPr>
          <w:lang w:val="fr-CH"/>
        </w:rPr>
        <w:tab/>
        <w:t xml:space="preserve">B. </w:t>
      </w:r>
      <w:r w:rsidRPr="00677483">
        <w:rPr>
          <w:lang w:val="fr-CH"/>
        </w:rPr>
        <w:tab/>
        <w:t>Autorisations spéciales, dérogations et équivalences</w:t>
      </w:r>
      <w:r w:rsidRPr="00677483">
        <w:rPr>
          <w:lang w:val="fr-CH"/>
        </w:rPr>
        <w:tab/>
      </w:r>
      <w:r w:rsidRPr="00677483">
        <w:rPr>
          <w:lang w:val="fr-CH"/>
        </w:rPr>
        <w:tab/>
        <w:t>7-12</w:t>
      </w:r>
      <w:r w:rsidRPr="00677483">
        <w:rPr>
          <w:lang w:val="fr-CH"/>
        </w:rPr>
        <w:tab/>
        <w:t>6</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rPr>
          <w:lang w:val="fr-CH"/>
        </w:rPr>
      </w:pPr>
      <w:r w:rsidRPr="00677483">
        <w:rPr>
          <w:lang w:val="fr-CH"/>
        </w:rPr>
        <w:tab/>
      </w:r>
      <w:r w:rsidRPr="00677483">
        <w:rPr>
          <w:lang w:val="fr-CH"/>
        </w:rPr>
        <w:tab/>
      </w:r>
      <w:r w:rsidRPr="00677483">
        <w:rPr>
          <w:lang w:val="fr-CH"/>
        </w:rPr>
        <w:tab/>
        <w:t>1.</w:t>
      </w:r>
      <w:r w:rsidRPr="00677483">
        <w:rPr>
          <w:lang w:val="fr-CH"/>
        </w:rPr>
        <w:tab/>
        <w:t>Accords multilatéraux</w:t>
      </w:r>
      <w:r w:rsidRPr="00677483">
        <w:rPr>
          <w:lang w:val="fr-CH"/>
        </w:rPr>
        <w:tab/>
      </w:r>
      <w:r w:rsidRPr="00677483">
        <w:rPr>
          <w:lang w:val="fr-CH"/>
        </w:rPr>
        <w:tab/>
        <w:t>7</w:t>
      </w:r>
      <w:r w:rsidRPr="00677483">
        <w:rPr>
          <w:lang w:val="fr-CH"/>
        </w:rPr>
        <w:tab/>
        <w:t>6</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rPr>
          <w:lang w:val="fr-CH"/>
        </w:rPr>
      </w:pPr>
      <w:r w:rsidRPr="00677483">
        <w:rPr>
          <w:lang w:val="fr-CH"/>
        </w:rPr>
        <w:tab/>
      </w:r>
      <w:r w:rsidRPr="00677483">
        <w:rPr>
          <w:lang w:val="fr-CH"/>
        </w:rPr>
        <w:tab/>
      </w:r>
      <w:r w:rsidRPr="00677483">
        <w:rPr>
          <w:lang w:val="fr-CH"/>
        </w:rPr>
        <w:tab/>
        <w:t>2.</w:t>
      </w:r>
      <w:r w:rsidRPr="00677483">
        <w:rPr>
          <w:lang w:val="fr-CH"/>
        </w:rPr>
        <w:tab/>
      </w:r>
      <w:r w:rsidRPr="00677483">
        <w:rPr>
          <w:spacing w:val="-4"/>
          <w:lang w:val="fr-CH"/>
        </w:rPr>
        <w:t>Utilisation de GNL comme carburant pour le bateau-citerne «Argos-GL»</w:t>
      </w:r>
      <w:r w:rsidRPr="00677483">
        <w:rPr>
          <w:lang w:val="fr-CH"/>
        </w:rPr>
        <w:tab/>
      </w:r>
      <w:r>
        <w:rPr>
          <w:lang w:val="fr-CH"/>
        </w:rPr>
        <w:tab/>
      </w:r>
      <w:r w:rsidRPr="00677483">
        <w:rPr>
          <w:lang w:val="fr-CH"/>
        </w:rPr>
        <w:t>8</w:t>
      </w:r>
      <w:r w:rsidRPr="00677483">
        <w:rPr>
          <w:lang w:val="fr-CH"/>
        </w:rPr>
        <w:tab/>
        <w:t>6</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ind w:left="1980" w:hanging="1980"/>
        <w:rPr>
          <w:lang w:val="fr-CH"/>
        </w:rPr>
      </w:pPr>
      <w:r w:rsidRPr="00677483">
        <w:rPr>
          <w:lang w:val="fr-CH"/>
        </w:rPr>
        <w:tab/>
      </w:r>
      <w:r w:rsidRPr="00677483">
        <w:rPr>
          <w:lang w:val="fr-CH"/>
        </w:rPr>
        <w:tab/>
      </w:r>
      <w:r w:rsidRPr="00677483">
        <w:rPr>
          <w:lang w:val="fr-CH"/>
        </w:rPr>
        <w:tab/>
        <w:t>3.</w:t>
      </w:r>
      <w:r w:rsidRPr="00677483">
        <w:rPr>
          <w:lang w:val="fr-CH"/>
        </w:rPr>
        <w:tab/>
        <w:t xml:space="preserve">Utilisation de citernes à membranes pour le transport de GNL sur le </w:t>
      </w:r>
      <w:r>
        <w:rPr>
          <w:lang w:val="fr-CH"/>
        </w:rPr>
        <w:br/>
      </w:r>
      <w:r w:rsidRPr="00677483">
        <w:rPr>
          <w:lang w:val="fr-CH"/>
        </w:rPr>
        <w:t>bateau-citerne «Argos-GL»</w:t>
      </w:r>
      <w:r w:rsidRPr="00677483">
        <w:rPr>
          <w:lang w:val="fr-CH"/>
        </w:rPr>
        <w:tab/>
      </w:r>
      <w:r w:rsidRPr="00677483">
        <w:rPr>
          <w:lang w:val="fr-CH"/>
        </w:rPr>
        <w:tab/>
        <w:t>9-12</w:t>
      </w:r>
      <w:r w:rsidRPr="00677483">
        <w:rPr>
          <w:lang w:val="fr-CH"/>
        </w:rPr>
        <w:tab/>
        <w:t>7</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rPr>
          <w:lang w:val="fr-CH"/>
        </w:rPr>
      </w:pPr>
      <w:r w:rsidRPr="00677483">
        <w:rPr>
          <w:lang w:val="fr-CH"/>
        </w:rPr>
        <w:tab/>
      </w:r>
      <w:r w:rsidRPr="00677483">
        <w:rPr>
          <w:lang w:val="fr-CH"/>
        </w:rPr>
        <w:tab/>
        <w:t>C.</w:t>
      </w:r>
      <w:r w:rsidRPr="00677483">
        <w:rPr>
          <w:lang w:val="fr-CH"/>
        </w:rPr>
        <w:tab/>
        <w:t>Interprétations du Règlement annexé à l'ADN</w:t>
      </w:r>
      <w:r w:rsidRPr="00677483">
        <w:rPr>
          <w:lang w:val="fr-CH"/>
        </w:rPr>
        <w:tab/>
      </w:r>
      <w:r w:rsidRPr="00677483">
        <w:rPr>
          <w:lang w:val="fr-CH"/>
        </w:rPr>
        <w:tab/>
        <w:t>13-23</w:t>
      </w:r>
      <w:r w:rsidRPr="00677483">
        <w:rPr>
          <w:lang w:val="fr-CH"/>
        </w:rPr>
        <w:tab/>
        <w:t>7</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rPr>
          <w:lang w:val="fr-CH"/>
        </w:rPr>
      </w:pPr>
      <w:r w:rsidRPr="00677483">
        <w:rPr>
          <w:lang w:val="fr-CH"/>
        </w:rPr>
        <w:tab/>
      </w:r>
      <w:r w:rsidRPr="00677483">
        <w:rPr>
          <w:lang w:val="fr-CH"/>
        </w:rPr>
        <w:tab/>
      </w:r>
      <w:r w:rsidRPr="00677483">
        <w:rPr>
          <w:lang w:val="fr-CH"/>
        </w:rPr>
        <w:tab/>
        <w:t>1.</w:t>
      </w:r>
      <w:r w:rsidRPr="00677483">
        <w:rPr>
          <w:lang w:val="fr-CH"/>
        </w:rPr>
        <w:tab/>
        <w:t>Obligations du remplisseur et du déchargeur 1.4.3.3 s) et 1.4.3.7.1 j)</w:t>
      </w:r>
      <w:r w:rsidRPr="00677483">
        <w:rPr>
          <w:lang w:val="fr-CH"/>
        </w:rPr>
        <w:tab/>
      </w:r>
      <w:r w:rsidRPr="00677483">
        <w:rPr>
          <w:lang w:val="fr-CH"/>
        </w:rPr>
        <w:tab/>
        <w:t>13-14</w:t>
      </w:r>
      <w:r w:rsidRPr="00677483">
        <w:rPr>
          <w:lang w:val="fr-CH"/>
        </w:rPr>
        <w:tab/>
        <w:t>7</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ind w:left="1980" w:hanging="1980"/>
        <w:rPr>
          <w:lang w:val="fr-CH"/>
        </w:rPr>
      </w:pPr>
      <w:r w:rsidRPr="00677483">
        <w:rPr>
          <w:lang w:val="fr-CH"/>
        </w:rPr>
        <w:tab/>
      </w:r>
      <w:r w:rsidRPr="00677483">
        <w:rPr>
          <w:lang w:val="fr-CH"/>
        </w:rPr>
        <w:tab/>
      </w:r>
      <w:r w:rsidRPr="00677483">
        <w:rPr>
          <w:lang w:val="fr-CH"/>
        </w:rPr>
        <w:tab/>
        <w:t>2.</w:t>
      </w:r>
      <w:r w:rsidRPr="00677483">
        <w:rPr>
          <w:lang w:val="fr-CH"/>
        </w:rPr>
        <w:tab/>
        <w:t xml:space="preserve">Exigences techniques applicables aux détecteurs de gaz inflammables </w:t>
      </w:r>
      <w:r>
        <w:rPr>
          <w:lang w:val="fr-CH"/>
        </w:rPr>
        <w:br/>
      </w:r>
      <w:r w:rsidRPr="00677483">
        <w:rPr>
          <w:lang w:val="fr-CH"/>
        </w:rPr>
        <w:t>et toximètres, 1.2.1</w:t>
      </w:r>
      <w:r w:rsidRPr="00677483">
        <w:rPr>
          <w:lang w:val="fr-CH"/>
        </w:rPr>
        <w:tab/>
      </w:r>
      <w:r w:rsidRPr="00677483">
        <w:rPr>
          <w:lang w:val="fr-CH"/>
        </w:rPr>
        <w:tab/>
        <w:t>15</w:t>
      </w:r>
      <w:r w:rsidRPr="00677483">
        <w:rPr>
          <w:lang w:val="fr-CH"/>
        </w:rPr>
        <w:tab/>
        <w:t>7</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rPr>
          <w:lang w:val="fr-CH"/>
        </w:rPr>
      </w:pPr>
      <w:r w:rsidRPr="00677483">
        <w:rPr>
          <w:lang w:val="fr-CH"/>
        </w:rPr>
        <w:tab/>
      </w:r>
      <w:r w:rsidRPr="00677483">
        <w:rPr>
          <w:lang w:val="fr-CH"/>
        </w:rPr>
        <w:tab/>
      </w:r>
      <w:r w:rsidRPr="00677483">
        <w:rPr>
          <w:lang w:val="fr-CH"/>
        </w:rPr>
        <w:tab/>
        <w:t>3.</w:t>
      </w:r>
      <w:r w:rsidRPr="00677483">
        <w:rPr>
          <w:lang w:val="fr-CH"/>
        </w:rPr>
        <w:tab/>
        <w:t>Interprétations nationales aux Pays-Bas</w:t>
      </w:r>
      <w:r w:rsidRPr="00677483">
        <w:rPr>
          <w:lang w:val="fr-CH"/>
        </w:rPr>
        <w:tab/>
      </w:r>
      <w:r w:rsidRPr="00677483">
        <w:rPr>
          <w:lang w:val="fr-CH"/>
        </w:rPr>
        <w:tab/>
        <w:t>16-19</w:t>
      </w:r>
      <w:r w:rsidRPr="00677483">
        <w:rPr>
          <w:lang w:val="fr-CH"/>
        </w:rPr>
        <w:tab/>
        <w:t>8</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rPr>
          <w:lang w:val="fr-CH"/>
        </w:rPr>
      </w:pPr>
      <w:r w:rsidRPr="00677483">
        <w:rPr>
          <w:lang w:val="fr-CH"/>
        </w:rPr>
        <w:tab/>
      </w:r>
      <w:r w:rsidRPr="00677483">
        <w:rPr>
          <w:lang w:val="fr-CH"/>
        </w:rPr>
        <w:tab/>
      </w:r>
      <w:r w:rsidRPr="00677483">
        <w:rPr>
          <w:lang w:val="fr-CH"/>
        </w:rPr>
        <w:tab/>
        <w:t>4.</w:t>
      </w:r>
      <w:r w:rsidRPr="00677483">
        <w:rPr>
          <w:lang w:val="fr-CH"/>
        </w:rPr>
        <w:tab/>
        <w:t>Cofferdams aménagés dans les bateaux-citernes de type G</w:t>
      </w:r>
      <w:r w:rsidRPr="00677483">
        <w:rPr>
          <w:lang w:val="fr-CH"/>
        </w:rPr>
        <w:tab/>
      </w:r>
      <w:r w:rsidRPr="00677483">
        <w:rPr>
          <w:lang w:val="fr-CH"/>
        </w:rPr>
        <w:tab/>
        <w:t>20</w:t>
      </w:r>
      <w:r w:rsidRPr="00677483">
        <w:rPr>
          <w:lang w:val="fr-CH"/>
        </w:rPr>
        <w:tab/>
        <w:t>8</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rPr>
          <w:lang w:val="fr-CH"/>
        </w:rPr>
      </w:pPr>
      <w:r w:rsidRPr="00677483">
        <w:rPr>
          <w:lang w:val="fr-CH"/>
        </w:rPr>
        <w:tab/>
      </w:r>
      <w:r w:rsidRPr="00677483">
        <w:rPr>
          <w:lang w:val="fr-CH"/>
        </w:rPr>
        <w:tab/>
      </w:r>
      <w:r w:rsidRPr="00677483">
        <w:rPr>
          <w:lang w:val="fr-CH"/>
        </w:rPr>
        <w:tab/>
        <w:t>5.</w:t>
      </w:r>
      <w:r w:rsidRPr="00677483">
        <w:rPr>
          <w:lang w:val="fr-CH"/>
        </w:rPr>
        <w:tab/>
        <w:t>Interprétation du paragraphe 1.6.7.4.1</w:t>
      </w:r>
      <w:r w:rsidRPr="00677483">
        <w:rPr>
          <w:lang w:val="fr-CH"/>
        </w:rPr>
        <w:tab/>
      </w:r>
      <w:r w:rsidRPr="00677483">
        <w:rPr>
          <w:lang w:val="fr-CH"/>
        </w:rPr>
        <w:tab/>
        <w:t>21</w:t>
      </w:r>
      <w:r w:rsidRPr="00677483">
        <w:rPr>
          <w:lang w:val="fr-CH"/>
        </w:rPr>
        <w:tab/>
        <w:t>8</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rPr>
          <w:lang w:val="fr-CH"/>
        </w:rPr>
      </w:pPr>
      <w:r w:rsidRPr="00677483">
        <w:rPr>
          <w:lang w:val="fr-CH"/>
        </w:rPr>
        <w:tab/>
      </w:r>
      <w:r w:rsidRPr="00677483">
        <w:rPr>
          <w:lang w:val="fr-CH"/>
        </w:rPr>
        <w:tab/>
      </w:r>
      <w:r w:rsidRPr="00677483">
        <w:rPr>
          <w:lang w:val="fr-CH"/>
        </w:rPr>
        <w:tab/>
        <w:t>6.</w:t>
      </w:r>
      <w:r w:rsidRPr="00677483">
        <w:rPr>
          <w:lang w:val="fr-CH"/>
        </w:rPr>
        <w:tab/>
        <w:t>Logiciels de calcul de stabilité</w:t>
      </w:r>
      <w:r w:rsidRPr="00677483">
        <w:rPr>
          <w:lang w:val="fr-CH"/>
        </w:rPr>
        <w:tab/>
      </w:r>
      <w:r w:rsidRPr="00677483">
        <w:rPr>
          <w:lang w:val="fr-CH"/>
        </w:rPr>
        <w:tab/>
        <w:t>22-23</w:t>
      </w:r>
      <w:r w:rsidRPr="00677483">
        <w:rPr>
          <w:lang w:val="fr-CH"/>
        </w:rPr>
        <w:tab/>
        <w:t>8</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rPr>
          <w:lang w:val="fr-CH"/>
        </w:rPr>
      </w:pPr>
      <w:r w:rsidRPr="00677483">
        <w:rPr>
          <w:lang w:val="fr-CH"/>
        </w:rPr>
        <w:tab/>
      </w:r>
      <w:r w:rsidRPr="00677483">
        <w:rPr>
          <w:lang w:val="fr-CH"/>
        </w:rPr>
        <w:tab/>
        <w:t>D.</w:t>
      </w:r>
      <w:r w:rsidRPr="00677483">
        <w:rPr>
          <w:lang w:val="fr-CH"/>
        </w:rPr>
        <w:tab/>
        <w:t>Formation des experts</w:t>
      </w:r>
      <w:r w:rsidRPr="00677483">
        <w:rPr>
          <w:lang w:val="fr-CH"/>
        </w:rPr>
        <w:tab/>
      </w:r>
      <w:r w:rsidRPr="00677483">
        <w:rPr>
          <w:lang w:val="fr-CH"/>
        </w:rPr>
        <w:tab/>
        <w:t>24-31</w:t>
      </w:r>
      <w:r w:rsidRPr="00677483">
        <w:rPr>
          <w:lang w:val="fr-CH"/>
        </w:rPr>
        <w:tab/>
        <w:t>9</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ind w:left="1980" w:hanging="1980"/>
        <w:rPr>
          <w:lang w:val="fr-CH"/>
        </w:rPr>
      </w:pPr>
      <w:r w:rsidRPr="00677483">
        <w:rPr>
          <w:lang w:val="fr-CH"/>
        </w:rPr>
        <w:tab/>
      </w:r>
      <w:r w:rsidRPr="00677483">
        <w:rPr>
          <w:lang w:val="fr-CH"/>
        </w:rPr>
        <w:tab/>
      </w:r>
      <w:r w:rsidRPr="00677483">
        <w:rPr>
          <w:lang w:val="fr-CH"/>
        </w:rPr>
        <w:tab/>
        <w:t>1.</w:t>
      </w:r>
      <w:r w:rsidRPr="00677483">
        <w:rPr>
          <w:lang w:val="fr-CH"/>
        </w:rPr>
        <w:tab/>
        <w:t xml:space="preserve">Compte rendu de la quatorzième réunion du groupe de travail </w:t>
      </w:r>
      <w:r>
        <w:rPr>
          <w:lang w:val="fr-CH"/>
        </w:rPr>
        <w:br/>
      </w:r>
      <w:r w:rsidRPr="00677483">
        <w:rPr>
          <w:lang w:val="fr-CH"/>
        </w:rPr>
        <w:t>informel sur la formation des experts</w:t>
      </w:r>
      <w:r w:rsidRPr="00677483">
        <w:rPr>
          <w:lang w:val="fr-CH"/>
        </w:rPr>
        <w:tab/>
      </w:r>
      <w:r w:rsidRPr="00677483">
        <w:rPr>
          <w:lang w:val="fr-CH"/>
        </w:rPr>
        <w:tab/>
        <w:t>24-28</w:t>
      </w:r>
      <w:r w:rsidRPr="00677483">
        <w:rPr>
          <w:lang w:val="fr-CH"/>
        </w:rPr>
        <w:tab/>
        <w:t>9</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rPr>
          <w:lang w:val="fr-CH"/>
        </w:rPr>
      </w:pPr>
      <w:r w:rsidRPr="00677483">
        <w:rPr>
          <w:lang w:val="fr-CH"/>
        </w:rPr>
        <w:tab/>
      </w:r>
      <w:r w:rsidRPr="00677483">
        <w:rPr>
          <w:lang w:val="fr-CH"/>
        </w:rPr>
        <w:tab/>
      </w:r>
      <w:r w:rsidRPr="00677483">
        <w:rPr>
          <w:lang w:val="fr-CH"/>
        </w:rPr>
        <w:tab/>
        <w:t>2.</w:t>
      </w:r>
      <w:r w:rsidRPr="00677483">
        <w:rPr>
          <w:lang w:val="fr-CH"/>
        </w:rPr>
        <w:tab/>
        <w:t>Programme de travail du Groupe de travail informel sur la formation</w:t>
      </w:r>
      <w:r w:rsidRPr="00677483">
        <w:rPr>
          <w:lang w:val="fr-CH"/>
        </w:rPr>
        <w:tab/>
      </w:r>
      <w:r w:rsidRPr="00677483">
        <w:rPr>
          <w:lang w:val="fr-CH"/>
        </w:rPr>
        <w:tab/>
        <w:t>29-30</w:t>
      </w:r>
      <w:r w:rsidRPr="00677483">
        <w:rPr>
          <w:lang w:val="fr-CH"/>
        </w:rPr>
        <w:tab/>
        <w:t>9</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rPr>
          <w:lang w:val="fr-CH"/>
        </w:rPr>
      </w:pPr>
      <w:r w:rsidRPr="00677483">
        <w:rPr>
          <w:lang w:val="fr-CH"/>
        </w:rPr>
        <w:tab/>
      </w:r>
      <w:r w:rsidRPr="00677483">
        <w:rPr>
          <w:lang w:val="fr-CH"/>
        </w:rPr>
        <w:tab/>
      </w:r>
      <w:r w:rsidRPr="00677483">
        <w:rPr>
          <w:lang w:val="fr-CH"/>
        </w:rPr>
        <w:tab/>
        <w:t>3.</w:t>
      </w:r>
      <w:r w:rsidRPr="00677483">
        <w:rPr>
          <w:lang w:val="fr-CH"/>
        </w:rPr>
        <w:tab/>
        <w:t>Statistiques relatives aux examens</w:t>
      </w:r>
      <w:r w:rsidRPr="00677483">
        <w:rPr>
          <w:lang w:val="fr-CH"/>
        </w:rPr>
        <w:tab/>
      </w:r>
      <w:r w:rsidRPr="00677483">
        <w:rPr>
          <w:lang w:val="fr-CH"/>
        </w:rPr>
        <w:tab/>
        <w:t>31</w:t>
      </w:r>
      <w:r w:rsidRPr="00677483">
        <w:rPr>
          <w:lang w:val="fr-CH"/>
        </w:rPr>
        <w:tab/>
        <w:t>9</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rPr>
          <w:lang w:val="fr-CH"/>
        </w:rPr>
      </w:pPr>
      <w:r w:rsidRPr="00677483">
        <w:rPr>
          <w:lang w:val="fr-CH"/>
        </w:rPr>
        <w:tab/>
      </w:r>
      <w:r w:rsidRPr="00677483">
        <w:rPr>
          <w:lang w:val="fr-CH"/>
        </w:rPr>
        <w:tab/>
        <w:t>E.</w:t>
      </w:r>
      <w:r w:rsidRPr="00677483">
        <w:rPr>
          <w:lang w:val="fr-CH"/>
        </w:rPr>
        <w:tab/>
        <w:t>Questions relatives aux sociétés de classification</w:t>
      </w:r>
      <w:r w:rsidRPr="00677483">
        <w:rPr>
          <w:lang w:val="fr-CH"/>
        </w:rPr>
        <w:tab/>
      </w:r>
      <w:r w:rsidRPr="00677483">
        <w:rPr>
          <w:lang w:val="fr-CH"/>
        </w:rPr>
        <w:tab/>
        <w:t>32-37</w:t>
      </w:r>
      <w:r w:rsidRPr="00677483">
        <w:rPr>
          <w:lang w:val="fr-CH"/>
        </w:rPr>
        <w:tab/>
        <w:t>10</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ind w:left="1980" w:hanging="1980"/>
        <w:rPr>
          <w:lang w:val="fr-CH"/>
        </w:rPr>
      </w:pPr>
      <w:r w:rsidRPr="00677483">
        <w:rPr>
          <w:lang w:val="fr-CH"/>
        </w:rPr>
        <w:tab/>
      </w:r>
      <w:r w:rsidRPr="00677483">
        <w:rPr>
          <w:lang w:val="fr-CH"/>
        </w:rPr>
        <w:tab/>
      </w:r>
      <w:r w:rsidRPr="00677483">
        <w:rPr>
          <w:lang w:val="fr-CH"/>
        </w:rPr>
        <w:tab/>
        <w:t>1.</w:t>
      </w:r>
      <w:r w:rsidRPr="00677483">
        <w:rPr>
          <w:lang w:val="fr-CH"/>
        </w:rPr>
        <w:tab/>
        <w:t xml:space="preserve">Rapport sur la neuvième réunion des Sociétés de classification </w:t>
      </w:r>
      <w:r>
        <w:rPr>
          <w:lang w:val="fr-CH"/>
        </w:rPr>
        <w:br/>
      </w:r>
      <w:r w:rsidRPr="00677483">
        <w:rPr>
          <w:lang w:val="fr-CH"/>
        </w:rPr>
        <w:t>recommandées ADN</w:t>
      </w:r>
      <w:r w:rsidRPr="00677483">
        <w:rPr>
          <w:lang w:val="fr-CH"/>
        </w:rPr>
        <w:tab/>
      </w:r>
      <w:r w:rsidRPr="00677483">
        <w:rPr>
          <w:lang w:val="fr-CH"/>
        </w:rPr>
        <w:tab/>
        <w:t>32</w:t>
      </w:r>
      <w:r w:rsidRPr="00677483">
        <w:rPr>
          <w:lang w:val="fr-CH"/>
        </w:rPr>
        <w:tab/>
        <w:t>10</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rPr>
          <w:lang w:val="fr-CH"/>
        </w:rPr>
      </w:pPr>
      <w:r w:rsidRPr="00677483">
        <w:rPr>
          <w:lang w:val="fr-CH"/>
        </w:rPr>
        <w:tab/>
      </w:r>
      <w:r w:rsidRPr="00677483">
        <w:rPr>
          <w:lang w:val="fr-CH"/>
        </w:rPr>
        <w:tab/>
      </w:r>
      <w:r w:rsidRPr="00677483">
        <w:rPr>
          <w:lang w:val="fr-CH"/>
        </w:rPr>
        <w:tab/>
        <w:t>2.</w:t>
      </w:r>
      <w:r w:rsidRPr="00677483">
        <w:rPr>
          <w:lang w:val="fr-CH"/>
        </w:rPr>
        <w:tab/>
        <w:t>Certification selon la norme EN ISO/IEC 17020:2012</w:t>
      </w:r>
      <w:r w:rsidRPr="00677483">
        <w:rPr>
          <w:lang w:val="fr-CH"/>
        </w:rPr>
        <w:tab/>
      </w:r>
      <w:r w:rsidRPr="00677483">
        <w:rPr>
          <w:lang w:val="fr-CH"/>
        </w:rPr>
        <w:tab/>
        <w:t>33-36</w:t>
      </w:r>
      <w:r w:rsidRPr="00677483">
        <w:rPr>
          <w:lang w:val="fr-CH"/>
        </w:rPr>
        <w:tab/>
        <w:t>10</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rPr>
          <w:lang w:val="fr-CH"/>
        </w:rPr>
      </w:pPr>
      <w:r w:rsidRPr="00677483">
        <w:rPr>
          <w:lang w:val="fr-CH"/>
        </w:rPr>
        <w:tab/>
      </w:r>
      <w:r w:rsidRPr="00677483">
        <w:rPr>
          <w:lang w:val="fr-CH"/>
        </w:rPr>
        <w:tab/>
      </w:r>
      <w:r w:rsidRPr="00677483">
        <w:rPr>
          <w:lang w:val="fr-CH"/>
        </w:rPr>
        <w:tab/>
        <w:t>3.</w:t>
      </w:r>
      <w:r w:rsidRPr="00677483">
        <w:rPr>
          <w:lang w:val="fr-CH"/>
        </w:rPr>
        <w:tab/>
        <w:t>Registro Italiano Navale (RINA)</w:t>
      </w:r>
      <w:r w:rsidRPr="00677483">
        <w:rPr>
          <w:lang w:val="fr-CH"/>
        </w:rPr>
        <w:tab/>
      </w:r>
      <w:r w:rsidRPr="00677483">
        <w:rPr>
          <w:lang w:val="fr-CH"/>
        </w:rPr>
        <w:tab/>
        <w:t>37</w:t>
      </w:r>
      <w:r w:rsidRPr="00677483">
        <w:rPr>
          <w:lang w:val="fr-CH"/>
        </w:rPr>
        <w:tab/>
        <w:t>10</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ind w:left="1140" w:hanging="1140"/>
        <w:rPr>
          <w:lang w:val="fr-CH"/>
        </w:rPr>
      </w:pPr>
      <w:r w:rsidRPr="00677483">
        <w:rPr>
          <w:lang w:val="fr-CH"/>
        </w:rPr>
        <w:tab/>
        <w:t xml:space="preserve">V. </w:t>
      </w:r>
      <w:r w:rsidRPr="00677483">
        <w:rPr>
          <w:lang w:val="fr-CH"/>
        </w:rPr>
        <w:tab/>
        <w:t xml:space="preserve">Propositions d'amendements au Règlement annexé à l'ADN </w:t>
      </w:r>
      <w:r>
        <w:rPr>
          <w:lang w:val="fr-CH"/>
        </w:rPr>
        <w:br/>
      </w:r>
      <w:r w:rsidRPr="00677483">
        <w:rPr>
          <w:lang w:val="fr-CH"/>
        </w:rPr>
        <w:t>(point 4 de l'ordre du jour)</w:t>
      </w:r>
      <w:r w:rsidRPr="00677483">
        <w:rPr>
          <w:lang w:val="fr-CH"/>
        </w:rPr>
        <w:tab/>
      </w:r>
      <w:r w:rsidRPr="00677483">
        <w:rPr>
          <w:lang w:val="fr-CH"/>
        </w:rPr>
        <w:tab/>
        <w:t>38-69</w:t>
      </w:r>
      <w:r w:rsidRPr="00677483">
        <w:rPr>
          <w:lang w:val="fr-CH"/>
        </w:rPr>
        <w:tab/>
        <w:t>11</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rPr>
          <w:lang w:val="fr-CH"/>
        </w:rPr>
      </w:pPr>
      <w:r w:rsidRPr="00677483">
        <w:rPr>
          <w:lang w:val="fr-CH"/>
        </w:rPr>
        <w:tab/>
      </w:r>
      <w:r w:rsidRPr="00677483">
        <w:rPr>
          <w:lang w:val="fr-CH"/>
        </w:rPr>
        <w:tab/>
        <w:t xml:space="preserve">A. </w:t>
      </w:r>
      <w:r w:rsidRPr="00677483">
        <w:rPr>
          <w:lang w:val="fr-CH"/>
        </w:rPr>
        <w:tab/>
        <w:t>Travaux de la Réunion commune RID/ADR/ADN</w:t>
      </w:r>
      <w:r w:rsidRPr="00677483">
        <w:rPr>
          <w:lang w:val="fr-CH"/>
        </w:rPr>
        <w:tab/>
      </w:r>
      <w:r w:rsidRPr="00677483">
        <w:rPr>
          <w:lang w:val="fr-CH"/>
        </w:rPr>
        <w:tab/>
        <w:t>38</w:t>
      </w:r>
      <w:r w:rsidRPr="00677483">
        <w:rPr>
          <w:lang w:val="fr-CH"/>
        </w:rPr>
        <w:tab/>
        <w:t>11</w:t>
      </w:r>
    </w:p>
    <w:p w:rsidR="00677483" w:rsidRPr="00677483" w:rsidRDefault="00677483" w:rsidP="00677483">
      <w:pPr>
        <w:keepNext/>
        <w:keepLines/>
        <w:tabs>
          <w:tab w:val="right" w:pos="850"/>
          <w:tab w:val="left" w:pos="1134"/>
          <w:tab w:val="left" w:pos="1559"/>
          <w:tab w:val="left" w:pos="1984"/>
          <w:tab w:val="left" w:leader="dot" w:pos="7654"/>
          <w:tab w:val="right" w:pos="8929"/>
          <w:tab w:val="right" w:pos="9638"/>
        </w:tabs>
        <w:spacing w:after="120"/>
        <w:rPr>
          <w:lang w:val="fr-CH"/>
        </w:rPr>
      </w:pPr>
      <w:r w:rsidRPr="00677483">
        <w:rPr>
          <w:lang w:val="fr-CH"/>
        </w:rPr>
        <w:lastRenderedPageBreak/>
        <w:tab/>
      </w:r>
      <w:r w:rsidRPr="00677483">
        <w:rPr>
          <w:lang w:val="fr-CH"/>
        </w:rPr>
        <w:tab/>
        <w:t>B.</w:t>
      </w:r>
      <w:r w:rsidRPr="00677483">
        <w:rPr>
          <w:lang w:val="fr-CH"/>
        </w:rPr>
        <w:tab/>
        <w:t>Autres propositions</w:t>
      </w:r>
      <w:r w:rsidRPr="00677483">
        <w:rPr>
          <w:lang w:val="fr-CH"/>
        </w:rPr>
        <w:tab/>
      </w:r>
      <w:r w:rsidRPr="00677483">
        <w:rPr>
          <w:lang w:val="fr-CH"/>
        </w:rPr>
        <w:tab/>
        <w:t>39-69</w:t>
      </w:r>
      <w:r w:rsidRPr="00677483">
        <w:rPr>
          <w:lang w:val="fr-CH"/>
        </w:rPr>
        <w:tab/>
        <w:t>11</w:t>
      </w:r>
    </w:p>
    <w:p w:rsidR="00677483" w:rsidRPr="00677483" w:rsidRDefault="00677483" w:rsidP="00677483">
      <w:pPr>
        <w:keepNext/>
        <w:keepLines/>
        <w:tabs>
          <w:tab w:val="right" w:pos="850"/>
          <w:tab w:val="left" w:pos="1134"/>
          <w:tab w:val="left" w:pos="1559"/>
          <w:tab w:val="left" w:pos="1984"/>
          <w:tab w:val="left" w:leader="dot" w:pos="7654"/>
          <w:tab w:val="right" w:pos="8929"/>
          <w:tab w:val="right" w:pos="9638"/>
        </w:tabs>
        <w:spacing w:after="120"/>
        <w:ind w:left="1980" w:hanging="1980"/>
        <w:rPr>
          <w:lang w:val="fr-CH"/>
        </w:rPr>
      </w:pPr>
      <w:r w:rsidRPr="00677483">
        <w:rPr>
          <w:lang w:val="fr-CH"/>
        </w:rPr>
        <w:tab/>
      </w:r>
      <w:r w:rsidRPr="00677483">
        <w:rPr>
          <w:lang w:val="fr-CH"/>
        </w:rPr>
        <w:tab/>
      </w:r>
      <w:r w:rsidRPr="00677483">
        <w:rPr>
          <w:lang w:val="fr-CH"/>
        </w:rPr>
        <w:tab/>
        <w:t>1.</w:t>
      </w:r>
      <w:r w:rsidRPr="00677483">
        <w:rPr>
          <w:lang w:val="fr-CH"/>
        </w:rPr>
        <w:tab/>
        <w:t xml:space="preserve">Prescriptions relatives aux réservoirs sous pression, armatures et </w:t>
      </w:r>
      <w:r>
        <w:rPr>
          <w:lang w:val="fr-CH"/>
        </w:rPr>
        <w:br/>
      </w:r>
      <w:r w:rsidRPr="00677483">
        <w:rPr>
          <w:lang w:val="fr-CH"/>
        </w:rPr>
        <w:t>tuyauteries pressurisées dans les installations d'extinction d'incendie</w:t>
      </w:r>
      <w:r w:rsidRPr="00677483">
        <w:rPr>
          <w:lang w:val="fr-CH"/>
        </w:rPr>
        <w:tab/>
      </w:r>
      <w:r w:rsidRPr="00677483">
        <w:rPr>
          <w:lang w:val="fr-CH"/>
        </w:rPr>
        <w:tab/>
        <w:t>39</w:t>
      </w:r>
      <w:r w:rsidRPr="00677483">
        <w:rPr>
          <w:lang w:val="fr-CH"/>
        </w:rPr>
        <w:tab/>
        <w:t>11</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rPr>
          <w:lang w:val="fr-CH"/>
        </w:rPr>
      </w:pPr>
      <w:r w:rsidRPr="00677483">
        <w:rPr>
          <w:lang w:val="fr-CH"/>
        </w:rPr>
        <w:tab/>
      </w:r>
      <w:r w:rsidRPr="00677483">
        <w:rPr>
          <w:lang w:val="fr-CH"/>
        </w:rPr>
        <w:tab/>
      </w:r>
      <w:r w:rsidRPr="00677483">
        <w:rPr>
          <w:lang w:val="fr-CH"/>
        </w:rPr>
        <w:tab/>
        <w:t>2.</w:t>
      </w:r>
      <w:r w:rsidRPr="00677483">
        <w:rPr>
          <w:lang w:val="fr-CH"/>
        </w:rPr>
        <w:tab/>
        <w:t>Tableau 7.2.4.77 – Moyens d'évacuation possibles en cas d'urgence</w:t>
      </w:r>
      <w:r w:rsidRPr="00677483">
        <w:rPr>
          <w:lang w:val="fr-CH"/>
        </w:rPr>
        <w:tab/>
      </w:r>
      <w:r w:rsidRPr="00677483">
        <w:rPr>
          <w:lang w:val="fr-CH"/>
        </w:rPr>
        <w:tab/>
        <w:t>40</w:t>
      </w:r>
      <w:r w:rsidRPr="00677483">
        <w:rPr>
          <w:lang w:val="fr-CH"/>
        </w:rPr>
        <w:tab/>
        <w:t>11</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ind w:left="1980" w:hanging="1980"/>
        <w:rPr>
          <w:lang w:val="fr-CH"/>
        </w:rPr>
      </w:pPr>
      <w:r w:rsidRPr="00677483">
        <w:rPr>
          <w:lang w:val="fr-CH"/>
        </w:rPr>
        <w:tab/>
      </w:r>
      <w:r w:rsidRPr="00677483">
        <w:rPr>
          <w:lang w:val="fr-CH"/>
        </w:rPr>
        <w:tab/>
      </w:r>
      <w:r w:rsidRPr="00677483">
        <w:rPr>
          <w:lang w:val="fr-CH"/>
        </w:rPr>
        <w:tab/>
        <w:t>3.</w:t>
      </w:r>
      <w:r w:rsidRPr="00677483">
        <w:rPr>
          <w:lang w:val="fr-CH"/>
        </w:rPr>
        <w:tab/>
        <w:t xml:space="preserve">Prescription transitoire ad 9.3.X.51.3 (classe de température et groupe </w:t>
      </w:r>
      <w:r>
        <w:rPr>
          <w:lang w:val="fr-CH"/>
        </w:rPr>
        <w:br/>
      </w:r>
      <w:r w:rsidRPr="00677483">
        <w:rPr>
          <w:lang w:val="fr-CH"/>
        </w:rPr>
        <w:t>d'explosion)</w:t>
      </w:r>
      <w:r w:rsidRPr="00677483">
        <w:rPr>
          <w:lang w:val="fr-CH"/>
        </w:rPr>
        <w:tab/>
      </w:r>
      <w:r w:rsidRPr="00677483">
        <w:rPr>
          <w:lang w:val="fr-CH"/>
        </w:rPr>
        <w:tab/>
        <w:t>41-42</w:t>
      </w:r>
      <w:r w:rsidRPr="00677483">
        <w:rPr>
          <w:lang w:val="fr-CH"/>
        </w:rPr>
        <w:tab/>
        <w:t>11</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rPr>
          <w:lang w:val="fr-CH"/>
        </w:rPr>
      </w:pPr>
      <w:r w:rsidRPr="00677483">
        <w:rPr>
          <w:lang w:val="fr-CH"/>
        </w:rPr>
        <w:tab/>
      </w:r>
      <w:r w:rsidRPr="00677483">
        <w:rPr>
          <w:lang w:val="fr-CH"/>
        </w:rPr>
        <w:tab/>
      </w:r>
      <w:r w:rsidRPr="00677483">
        <w:rPr>
          <w:lang w:val="fr-CH"/>
        </w:rPr>
        <w:tab/>
        <w:t>4.</w:t>
      </w:r>
      <w:r w:rsidRPr="00677483">
        <w:rPr>
          <w:lang w:val="fr-CH"/>
        </w:rPr>
        <w:tab/>
        <w:t>Exemple de types de certificat de formation</w:t>
      </w:r>
      <w:r w:rsidRPr="00677483">
        <w:rPr>
          <w:lang w:val="fr-CH"/>
        </w:rPr>
        <w:tab/>
      </w:r>
      <w:r w:rsidRPr="00677483">
        <w:rPr>
          <w:lang w:val="fr-CH"/>
        </w:rPr>
        <w:tab/>
        <w:t>43</w:t>
      </w:r>
      <w:r w:rsidRPr="00677483">
        <w:rPr>
          <w:lang w:val="fr-CH"/>
        </w:rPr>
        <w:tab/>
        <w:t>11</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rPr>
          <w:lang w:val="fr-CH"/>
        </w:rPr>
      </w:pPr>
      <w:r w:rsidRPr="00677483">
        <w:rPr>
          <w:lang w:val="fr-CH"/>
        </w:rPr>
        <w:tab/>
      </w:r>
      <w:r w:rsidRPr="00677483">
        <w:rPr>
          <w:lang w:val="fr-CH"/>
        </w:rPr>
        <w:tab/>
      </w:r>
      <w:r w:rsidRPr="00677483">
        <w:rPr>
          <w:lang w:val="fr-CH"/>
        </w:rPr>
        <w:tab/>
        <w:t>5.</w:t>
      </w:r>
      <w:r w:rsidRPr="00677483">
        <w:rPr>
          <w:lang w:val="fr-CH"/>
        </w:rPr>
        <w:tab/>
        <w:t>Corrections au texte allemand des 9.3.2.22.4 et 9.3.3.22.4</w:t>
      </w:r>
      <w:r w:rsidRPr="00677483">
        <w:rPr>
          <w:lang w:val="fr-CH"/>
        </w:rPr>
        <w:tab/>
      </w:r>
      <w:r w:rsidRPr="00677483">
        <w:rPr>
          <w:lang w:val="fr-CH"/>
        </w:rPr>
        <w:tab/>
        <w:t>44-45</w:t>
      </w:r>
      <w:r w:rsidRPr="00677483">
        <w:rPr>
          <w:lang w:val="fr-CH"/>
        </w:rPr>
        <w:tab/>
        <w:t>12</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rPr>
          <w:lang w:val="fr-CH"/>
        </w:rPr>
      </w:pPr>
      <w:r w:rsidRPr="00677483">
        <w:rPr>
          <w:lang w:val="fr-CH"/>
        </w:rPr>
        <w:tab/>
      </w:r>
      <w:r w:rsidRPr="00677483">
        <w:rPr>
          <w:lang w:val="fr-CH"/>
        </w:rPr>
        <w:tab/>
      </w:r>
      <w:r w:rsidRPr="00677483">
        <w:rPr>
          <w:lang w:val="fr-CH"/>
        </w:rPr>
        <w:tab/>
        <w:t>6.</w:t>
      </w:r>
      <w:r w:rsidRPr="00677483">
        <w:rPr>
          <w:lang w:val="fr-CH"/>
        </w:rPr>
        <w:tab/>
        <w:t>Indications concernant l'installation d'inertisation aux 8.6.1.3 et 8.6.1.4</w:t>
      </w:r>
      <w:r w:rsidRPr="00677483">
        <w:rPr>
          <w:lang w:val="fr-CH"/>
        </w:rPr>
        <w:tab/>
      </w:r>
      <w:r w:rsidRPr="00677483">
        <w:rPr>
          <w:lang w:val="fr-CH"/>
        </w:rPr>
        <w:tab/>
        <w:t>46</w:t>
      </w:r>
      <w:r w:rsidRPr="00677483">
        <w:rPr>
          <w:lang w:val="fr-CH"/>
        </w:rPr>
        <w:tab/>
        <w:t>12</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rPr>
          <w:lang w:val="fr-CH"/>
        </w:rPr>
      </w:pPr>
      <w:r w:rsidRPr="00677483">
        <w:rPr>
          <w:lang w:val="fr-CH"/>
        </w:rPr>
        <w:tab/>
      </w:r>
      <w:r w:rsidRPr="00677483">
        <w:rPr>
          <w:lang w:val="fr-CH"/>
        </w:rPr>
        <w:tab/>
      </w:r>
      <w:r w:rsidRPr="00677483">
        <w:rPr>
          <w:lang w:val="fr-CH"/>
        </w:rPr>
        <w:tab/>
        <w:t>7.</w:t>
      </w:r>
      <w:r w:rsidRPr="00677483">
        <w:rPr>
          <w:lang w:val="fr-CH"/>
        </w:rPr>
        <w:tab/>
        <w:t>Définition de gaz naturel liquéfié (GNL) (version allemande)</w:t>
      </w:r>
      <w:r w:rsidRPr="00677483">
        <w:rPr>
          <w:lang w:val="fr-CH"/>
        </w:rPr>
        <w:tab/>
      </w:r>
      <w:r w:rsidRPr="00677483">
        <w:rPr>
          <w:lang w:val="fr-CH"/>
        </w:rPr>
        <w:tab/>
        <w:t>47</w:t>
      </w:r>
      <w:r w:rsidRPr="00677483">
        <w:rPr>
          <w:lang w:val="fr-CH"/>
        </w:rPr>
        <w:tab/>
        <w:t>12</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ind w:left="1984" w:hanging="1696"/>
        <w:rPr>
          <w:lang w:val="fr-CH"/>
        </w:rPr>
      </w:pPr>
      <w:r w:rsidRPr="00677483">
        <w:rPr>
          <w:lang w:val="fr-CH"/>
        </w:rPr>
        <w:tab/>
      </w:r>
      <w:r w:rsidRPr="00677483">
        <w:rPr>
          <w:lang w:val="fr-CH"/>
        </w:rPr>
        <w:tab/>
      </w:r>
      <w:r w:rsidRPr="00677483">
        <w:rPr>
          <w:lang w:val="fr-CH"/>
        </w:rPr>
        <w:tab/>
        <w:t>8.</w:t>
      </w:r>
      <w:r w:rsidRPr="00677483">
        <w:rPr>
          <w:lang w:val="fr-CH"/>
        </w:rPr>
        <w:tab/>
        <w:t xml:space="preserve">Dérogation à la prescription du 7.2.4.25.5 selon laquelle les mélanges </w:t>
      </w:r>
      <w:r>
        <w:rPr>
          <w:lang w:val="fr-CH"/>
        </w:rPr>
        <w:br/>
      </w:r>
      <w:r w:rsidRPr="00677483">
        <w:rPr>
          <w:lang w:val="fr-CH"/>
        </w:rPr>
        <w:t xml:space="preserve">gaz-air survenant lors du chargement d'huiles de chauffe lourdes </w:t>
      </w:r>
      <w:r>
        <w:rPr>
          <w:lang w:val="fr-CH"/>
        </w:rPr>
        <w:br/>
      </w:r>
      <w:r w:rsidRPr="00677483">
        <w:rPr>
          <w:lang w:val="fr-CH"/>
        </w:rPr>
        <w:t>doivent être  renvoyées à terre</w:t>
      </w:r>
      <w:r w:rsidRPr="00677483">
        <w:rPr>
          <w:lang w:val="fr-CH"/>
        </w:rPr>
        <w:tab/>
      </w:r>
      <w:r w:rsidRPr="00677483">
        <w:rPr>
          <w:lang w:val="fr-CH"/>
        </w:rPr>
        <w:tab/>
        <w:t>48-51</w:t>
      </w:r>
      <w:r w:rsidRPr="00677483">
        <w:rPr>
          <w:lang w:val="fr-CH"/>
        </w:rPr>
        <w:tab/>
        <w:t>12</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rPr>
          <w:lang w:val="fr-CH"/>
        </w:rPr>
      </w:pPr>
      <w:r w:rsidRPr="00677483">
        <w:rPr>
          <w:lang w:val="fr-CH"/>
        </w:rPr>
        <w:tab/>
      </w:r>
      <w:r w:rsidRPr="00677483">
        <w:rPr>
          <w:lang w:val="fr-CH"/>
        </w:rPr>
        <w:tab/>
      </w:r>
      <w:r w:rsidRPr="00677483">
        <w:rPr>
          <w:lang w:val="fr-CH"/>
        </w:rPr>
        <w:tab/>
        <w:t>9.</w:t>
      </w:r>
      <w:r w:rsidRPr="00677483">
        <w:rPr>
          <w:lang w:val="fr-CH"/>
        </w:rPr>
        <w:tab/>
        <w:t>Signal avertisseur au 9.1.0.40.2.3</w:t>
      </w:r>
      <w:r w:rsidRPr="00677483">
        <w:rPr>
          <w:lang w:val="fr-CH"/>
        </w:rPr>
        <w:tab/>
      </w:r>
      <w:r w:rsidRPr="00677483">
        <w:rPr>
          <w:lang w:val="fr-CH"/>
        </w:rPr>
        <w:tab/>
        <w:t>52</w:t>
      </w:r>
      <w:r w:rsidRPr="00677483">
        <w:rPr>
          <w:lang w:val="fr-CH"/>
        </w:rPr>
        <w:tab/>
        <w:t>12</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rPr>
          <w:lang w:val="fr-CH"/>
        </w:rPr>
      </w:pPr>
      <w:r w:rsidRPr="00677483">
        <w:rPr>
          <w:lang w:val="fr-CH"/>
        </w:rPr>
        <w:tab/>
      </w:r>
      <w:r w:rsidRPr="00677483">
        <w:rPr>
          <w:lang w:val="fr-CH"/>
        </w:rPr>
        <w:tab/>
      </w:r>
      <w:r w:rsidRPr="00677483">
        <w:rPr>
          <w:lang w:val="fr-CH"/>
        </w:rPr>
        <w:tab/>
        <w:t>10.</w:t>
      </w:r>
      <w:r w:rsidRPr="00677483">
        <w:rPr>
          <w:lang w:val="fr-CH"/>
        </w:rPr>
        <w:tab/>
        <w:t>Dispositif d'arrêt de l'installation à terre</w:t>
      </w:r>
      <w:r w:rsidRPr="00677483">
        <w:rPr>
          <w:lang w:val="fr-CH"/>
        </w:rPr>
        <w:tab/>
      </w:r>
      <w:r w:rsidRPr="00677483">
        <w:rPr>
          <w:lang w:val="fr-CH"/>
        </w:rPr>
        <w:tab/>
        <w:t>53</w:t>
      </w:r>
      <w:r w:rsidRPr="00677483">
        <w:rPr>
          <w:lang w:val="fr-CH"/>
        </w:rPr>
        <w:tab/>
        <w:t>13</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ind w:left="1980" w:hanging="1980"/>
        <w:rPr>
          <w:lang w:val="fr-CH"/>
        </w:rPr>
      </w:pPr>
      <w:r w:rsidRPr="00677483">
        <w:rPr>
          <w:lang w:val="fr-CH"/>
        </w:rPr>
        <w:tab/>
      </w:r>
      <w:r w:rsidRPr="00677483">
        <w:rPr>
          <w:lang w:val="fr-CH"/>
        </w:rPr>
        <w:tab/>
      </w:r>
      <w:r w:rsidRPr="00677483">
        <w:rPr>
          <w:lang w:val="fr-CH"/>
        </w:rPr>
        <w:tab/>
        <w:t>11.</w:t>
      </w:r>
      <w:r w:rsidRPr="00677483">
        <w:rPr>
          <w:lang w:val="fr-CH"/>
        </w:rPr>
        <w:tab/>
        <w:t xml:space="preserve">Stabilité à l'état intact des bateaux-citernes de type N équipés de </w:t>
      </w:r>
      <w:r>
        <w:rPr>
          <w:lang w:val="fr-CH"/>
        </w:rPr>
        <w:br/>
      </w:r>
      <w:r w:rsidRPr="00677483">
        <w:rPr>
          <w:lang w:val="fr-CH"/>
        </w:rPr>
        <w:t>compartiments en double coque pour le ballastage</w:t>
      </w:r>
      <w:r w:rsidRPr="00677483">
        <w:rPr>
          <w:lang w:val="fr-CH"/>
        </w:rPr>
        <w:tab/>
      </w:r>
      <w:r w:rsidRPr="00677483">
        <w:rPr>
          <w:lang w:val="fr-CH"/>
        </w:rPr>
        <w:tab/>
        <w:t>54</w:t>
      </w:r>
      <w:r w:rsidRPr="00677483">
        <w:rPr>
          <w:lang w:val="fr-CH"/>
        </w:rPr>
        <w:tab/>
        <w:t>13</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rPr>
          <w:lang w:val="fr-CH"/>
        </w:rPr>
      </w:pPr>
      <w:r w:rsidRPr="00677483">
        <w:rPr>
          <w:lang w:val="fr-CH"/>
        </w:rPr>
        <w:tab/>
      </w:r>
      <w:r w:rsidRPr="00677483">
        <w:rPr>
          <w:lang w:val="fr-CH"/>
        </w:rPr>
        <w:tab/>
      </w:r>
      <w:r w:rsidRPr="00677483">
        <w:rPr>
          <w:lang w:val="fr-CH"/>
        </w:rPr>
        <w:tab/>
        <w:t>12.</w:t>
      </w:r>
      <w:r w:rsidRPr="00677483">
        <w:rPr>
          <w:lang w:val="fr-CH"/>
        </w:rPr>
        <w:tab/>
        <w:t>Stade intermédiaire d'envahissement (9.3.x.13.3)</w:t>
      </w:r>
      <w:r w:rsidRPr="00677483">
        <w:rPr>
          <w:lang w:val="fr-CH"/>
        </w:rPr>
        <w:tab/>
      </w:r>
      <w:r w:rsidRPr="00677483">
        <w:rPr>
          <w:lang w:val="fr-CH"/>
        </w:rPr>
        <w:tab/>
        <w:t>55</w:t>
      </w:r>
      <w:r w:rsidRPr="00677483">
        <w:rPr>
          <w:lang w:val="fr-CH"/>
        </w:rPr>
        <w:tab/>
        <w:t>13</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rPr>
          <w:lang w:val="fr-CH"/>
        </w:rPr>
      </w:pPr>
      <w:r w:rsidRPr="00677483">
        <w:rPr>
          <w:lang w:val="fr-CH"/>
        </w:rPr>
        <w:tab/>
      </w:r>
      <w:r w:rsidRPr="00677483">
        <w:rPr>
          <w:lang w:val="fr-CH"/>
        </w:rPr>
        <w:tab/>
      </w:r>
      <w:r w:rsidRPr="00677483">
        <w:rPr>
          <w:lang w:val="fr-CH"/>
        </w:rPr>
        <w:tab/>
        <w:t>13.</w:t>
      </w:r>
      <w:r w:rsidRPr="00677483">
        <w:rPr>
          <w:lang w:val="fr-CH"/>
        </w:rPr>
        <w:tab/>
        <w:t>Installation à air comprimé sur le pont</w:t>
      </w:r>
      <w:r w:rsidRPr="00677483">
        <w:rPr>
          <w:lang w:val="fr-CH"/>
        </w:rPr>
        <w:tab/>
      </w:r>
      <w:r w:rsidRPr="00677483">
        <w:rPr>
          <w:lang w:val="fr-CH"/>
        </w:rPr>
        <w:tab/>
        <w:t>56</w:t>
      </w:r>
      <w:r w:rsidRPr="00677483">
        <w:rPr>
          <w:lang w:val="fr-CH"/>
        </w:rPr>
        <w:tab/>
        <w:t>13</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ind w:left="1980" w:hanging="1980"/>
        <w:rPr>
          <w:lang w:val="fr-CH"/>
        </w:rPr>
      </w:pPr>
      <w:r w:rsidRPr="00677483">
        <w:rPr>
          <w:lang w:val="fr-CH"/>
        </w:rPr>
        <w:tab/>
      </w:r>
      <w:r w:rsidRPr="00677483">
        <w:rPr>
          <w:lang w:val="fr-CH"/>
        </w:rPr>
        <w:tab/>
      </w:r>
      <w:r w:rsidRPr="00677483">
        <w:rPr>
          <w:lang w:val="fr-CH"/>
        </w:rPr>
        <w:tab/>
        <w:t>14.</w:t>
      </w:r>
      <w:r w:rsidRPr="00677483">
        <w:rPr>
          <w:lang w:val="fr-CH"/>
        </w:rPr>
        <w:tab/>
        <w:t xml:space="preserve">Dispositions transitoires concernant la modification d'un bateau-citerne </w:t>
      </w:r>
      <w:r>
        <w:rPr>
          <w:lang w:val="fr-CH"/>
        </w:rPr>
        <w:br/>
      </w:r>
      <w:r w:rsidRPr="00677483">
        <w:rPr>
          <w:lang w:val="fr-CH"/>
        </w:rPr>
        <w:t>au 1.6.7.5.1 c)</w:t>
      </w:r>
      <w:r w:rsidRPr="00677483">
        <w:rPr>
          <w:lang w:val="fr-CH"/>
        </w:rPr>
        <w:tab/>
      </w:r>
      <w:r w:rsidRPr="00677483">
        <w:rPr>
          <w:lang w:val="fr-CH"/>
        </w:rPr>
        <w:tab/>
        <w:t>57</w:t>
      </w:r>
      <w:r w:rsidRPr="00677483">
        <w:rPr>
          <w:lang w:val="fr-CH"/>
        </w:rPr>
        <w:tab/>
        <w:t>13</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rPr>
          <w:lang w:val="fr-CH"/>
        </w:rPr>
      </w:pPr>
      <w:r w:rsidRPr="00677483">
        <w:rPr>
          <w:lang w:val="fr-CH"/>
        </w:rPr>
        <w:tab/>
      </w:r>
      <w:r w:rsidRPr="00677483">
        <w:rPr>
          <w:lang w:val="fr-CH"/>
        </w:rPr>
        <w:tab/>
      </w:r>
      <w:r w:rsidRPr="00677483">
        <w:rPr>
          <w:lang w:val="fr-CH"/>
        </w:rPr>
        <w:tab/>
        <w:t>15.</w:t>
      </w:r>
      <w:r w:rsidRPr="00677483">
        <w:rPr>
          <w:lang w:val="fr-CH"/>
        </w:rPr>
        <w:tab/>
        <w:t>Certificat technique</w:t>
      </w:r>
      <w:r w:rsidRPr="00677483">
        <w:rPr>
          <w:lang w:val="fr-CH"/>
        </w:rPr>
        <w:tab/>
      </w:r>
      <w:r w:rsidRPr="00677483">
        <w:rPr>
          <w:lang w:val="fr-CH"/>
        </w:rPr>
        <w:tab/>
        <w:t>58</w:t>
      </w:r>
      <w:r w:rsidRPr="00677483">
        <w:rPr>
          <w:lang w:val="fr-CH"/>
        </w:rPr>
        <w:tab/>
        <w:t>13</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rPr>
          <w:lang w:val="fr-CH"/>
        </w:rPr>
      </w:pPr>
      <w:r w:rsidRPr="00677483">
        <w:rPr>
          <w:lang w:val="fr-CH"/>
        </w:rPr>
        <w:tab/>
      </w:r>
      <w:r w:rsidRPr="00677483">
        <w:rPr>
          <w:lang w:val="fr-CH"/>
        </w:rPr>
        <w:tab/>
      </w:r>
      <w:r w:rsidRPr="00677483">
        <w:rPr>
          <w:lang w:val="fr-CH"/>
        </w:rPr>
        <w:tab/>
        <w:t>16.</w:t>
      </w:r>
      <w:r w:rsidRPr="00677483">
        <w:rPr>
          <w:lang w:val="fr-CH"/>
        </w:rPr>
        <w:tab/>
        <w:t>Matériaux de construction</w:t>
      </w:r>
      <w:r w:rsidRPr="00677483">
        <w:rPr>
          <w:lang w:val="fr-CH"/>
        </w:rPr>
        <w:tab/>
      </w:r>
      <w:r w:rsidRPr="00677483">
        <w:rPr>
          <w:lang w:val="fr-CH"/>
        </w:rPr>
        <w:tab/>
        <w:t>59</w:t>
      </w:r>
      <w:r w:rsidRPr="00677483">
        <w:rPr>
          <w:lang w:val="fr-CH"/>
        </w:rPr>
        <w:tab/>
        <w:t>14</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rPr>
          <w:lang w:val="fr-CH"/>
        </w:rPr>
      </w:pPr>
      <w:r w:rsidRPr="00677483">
        <w:rPr>
          <w:lang w:val="fr-CH"/>
        </w:rPr>
        <w:tab/>
      </w:r>
      <w:r w:rsidRPr="00677483">
        <w:rPr>
          <w:lang w:val="fr-CH"/>
        </w:rPr>
        <w:tab/>
      </w:r>
      <w:r w:rsidRPr="00677483">
        <w:rPr>
          <w:lang w:val="fr-CH"/>
        </w:rPr>
        <w:tab/>
        <w:t>17.</w:t>
      </w:r>
      <w:r w:rsidRPr="00677483">
        <w:rPr>
          <w:lang w:val="fr-CH"/>
        </w:rPr>
        <w:tab/>
        <w:t>Prise d'échantillons</w:t>
      </w:r>
      <w:r w:rsidRPr="00677483">
        <w:rPr>
          <w:lang w:val="fr-CH"/>
        </w:rPr>
        <w:tab/>
      </w:r>
      <w:r w:rsidRPr="00677483">
        <w:rPr>
          <w:lang w:val="fr-CH"/>
        </w:rPr>
        <w:tab/>
        <w:t>60-61</w:t>
      </w:r>
      <w:r w:rsidRPr="00677483">
        <w:rPr>
          <w:lang w:val="fr-CH"/>
        </w:rPr>
        <w:tab/>
        <w:t>14</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ind w:left="1980" w:hanging="1980"/>
        <w:rPr>
          <w:lang w:val="fr-CH"/>
        </w:rPr>
      </w:pPr>
      <w:r w:rsidRPr="00677483">
        <w:rPr>
          <w:lang w:val="fr-CH"/>
        </w:rPr>
        <w:tab/>
      </w:r>
      <w:r w:rsidRPr="00677483">
        <w:rPr>
          <w:lang w:val="fr-CH"/>
        </w:rPr>
        <w:tab/>
      </w:r>
      <w:r w:rsidRPr="00677483">
        <w:rPr>
          <w:lang w:val="fr-CH"/>
        </w:rPr>
        <w:tab/>
        <w:t>18.</w:t>
      </w:r>
      <w:r w:rsidRPr="00677483">
        <w:rPr>
          <w:lang w:val="fr-CH"/>
        </w:rPr>
        <w:tab/>
        <w:t xml:space="preserve">Procédure de visite, délivrance de certificats d'agrément, </w:t>
      </w:r>
      <w:r>
        <w:rPr>
          <w:lang w:val="fr-CH"/>
        </w:rPr>
        <w:br/>
      </w:r>
      <w:r w:rsidRPr="00677483">
        <w:rPr>
          <w:lang w:val="fr-CH"/>
        </w:rPr>
        <w:t>classification des bateaux</w:t>
      </w:r>
      <w:r w:rsidRPr="00677483">
        <w:rPr>
          <w:lang w:val="fr-CH"/>
        </w:rPr>
        <w:tab/>
      </w:r>
      <w:r w:rsidRPr="00677483">
        <w:rPr>
          <w:lang w:val="fr-CH"/>
        </w:rPr>
        <w:tab/>
        <w:t>62-69</w:t>
      </w:r>
      <w:r w:rsidRPr="00677483">
        <w:rPr>
          <w:lang w:val="fr-CH"/>
        </w:rPr>
        <w:tab/>
        <w:t>14</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rPr>
          <w:lang w:val="fr-CH"/>
        </w:rPr>
      </w:pPr>
      <w:r w:rsidRPr="00677483">
        <w:rPr>
          <w:lang w:val="fr-CH"/>
        </w:rPr>
        <w:tab/>
        <w:t>VI.</w:t>
      </w:r>
      <w:r w:rsidRPr="00677483">
        <w:rPr>
          <w:lang w:val="fr-CH"/>
        </w:rPr>
        <w:tab/>
        <w:t>Rapports des groupes de travail informels (point 5 de l'ordre du jour)</w:t>
      </w:r>
      <w:r w:rsidRPr="00677483">
        <w:rPr>
          <w:lang w:val="fr-CH"/>
        </w:rPr>
        <w:tab/>
      </w:r>
      <w:r w:rsidRPr="00677483">
        <w:rPr>
          <w:lang w:val="fr-CH"/>
        </w:rPr>
        <w:tab/>
        <w:t>70-80</w:t>
      </w:r>
      <w:r w:rsidRPr="00677483">
        <w:rPr>
          <w:lang w:val="fr-CH"/>
        </w:rPr>
        <w:tab/>
        <w:t>15</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rPr>
          <w:lang w:val="fr-CH"/>
        </w:rPr>
      </w:pPr>
      <w:r w:rsidRPr="00677483">
        <w:rPr>
          <w:lang w:val="fr-CH"/>
        </w:rPr>
        <w:tab/>
      </w:r>
      <w:r w:rsidRPr="00677483">
        <w:rPr>
          <w:lang w:val="fr-CH"/>
        </w:rPr>
        <w:tab/>
        <w:t>A.</w:t>
      </w:r>
      <w:r w:rsidRPr="00677483">
        <w:rPr>
          <w:lang w:val="fr-CH"/>
        </w:rPr>
        <w:tab/>
        <w:t>Groupe de travail informel sur le dégazage des citernes</w:t>
      </w:r>
      <w:r w:rsidRPr="00677483">
        <w:rPr>
          <w:lang w:val="fr-CH"/>
        </w:rPr>
        <w:tab/>
      </w:r>
      <w:r w:rsidRPr="00677483">
        <w:rPr>
          <w:lang w:val="fr-CH"/>
        </w:rPr>
        <w:tab/>
        <w:t>70-74</w:t>
      </w:r>
      <w:r w:rsidRPr="00677483">
        <w:rPr>
          <w:lang w:val="fr-CH"/>
        </w:rPr>
        <w:tab/>
        <w:t>15</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ind w:left="1559" w:hanging="1559"/>
        <w:rPr>
          <w:lang w:val="fr-CH"/>
        </w:rPr>
      </w:pPr>
      <w:r w:rsidRPr="00677483">
        <w:rPr>
          <w:lang w:val="fr-CH"/>
        </w:rPr>
        <w:tab/>
      </w:r>
      <w:r w:rsidRPr="00677483">
        <w:rPr>
          <w:lang w:val="fr-CH"/>
        </w:rPr>
        <w:tab/>
        <w:t xml:space="preserve">B. </w:t>
      </w:r>
      <w:r w:rsidRPr="00677483">
        <w:rPr>
          <w:lang w:val="fr-CH"/>
        </w:rPr>
        <w:tab/>
        <w:t xml:space="preserve">Groupe de travail informel sur la protection contre les explosions à bord </w:t>
      </w:r>
      <w:r>
        <w:rPr>
          <w:lang w:val="fr-CH"/>
        </w:rPr>
        <w:br/>
      </w:r>
      <w:r w:rsidRPr="00677483">
        <w:rPr>
          <w:lang w:val="fr-CH"/>
        </w:rPr>
        <w:t>des bateaux-citernes</w:t>
      </w:r>
      <w:r w:rsidRPr="00677483">
        <w:rPr>
          <w:lang w:val="fr-CH"/>
        </w:rPr>
        <w:tab/>
      </w:r>
      <w:r w:rsidRPr="00677483">
        <w:rPr>
          <w:lang w:val="fr-CH"/>
        </w:rPr>
        <w:tab/>
        <w:t>75-76</w:t>
      </w:r>
      <w:r w:rsidRPr="00677483">
        <w:rPr>
          <w:lang w:val="fr-CH"/>
        </w:rPr>
        <w:tab/>
        <w:t>16</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rPr>
          <w:lang w:val="fr-CH"/>
        </w:rPr>
      </w:pPr>
      <w:r w:rsidRPr="00677483">
        <w:rPr>
          <w:lang w:val="fr-CH"/>
        </w:rPr>
        <w:tab/>
      </w:r>
      <w:r w:rsidRPr="00677483">
        <w:rPr>
          <w:lang w:val="fr-CH"/>
        </w:rPr>
        <w:tab/>
        <w:t>C.</w:t>
      </w:r>
      <w:r w:rsidRPr="00677483">
        <w:rPr>
          <w:lang w:val="fr-CH"/>
        </w:rPr>
        <w:tab/>
        <w:t>Groupe de travail informel sur les moyens d'évacuation</w:t>
      </w:r>
      <w:r w:rsidRPr="00677483">
        <w:rPr>
          <w:lang w:val="fr-CH"/>
        </w:rPr>
        <w:tab/>
      </w:r>
      <w:r w:rsidRPr="00677483">
        <w:rPr>
          <w:lang w:val="fr-CH"/>
        </w:rPr>
        <w:tab/>
        <w:t>77-79</w:t>
      </w:r>
      <w:r w:rsidRPr="00677483">
        <w:rPr>
          <w:lang w:val="fr-CH"/>
        </w:rPr>
        <w:tab/>
        <w:t>16</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rPr>
          <w:lang w:val="fr-CH"/>
        </w:rPr>
      </w:pPr>
      <w:r w:rsidRPr="00677483">
        <w:rPr>
          <w:lang w:val="fr-CH"/>
        </w:rPr>
        <w:tab/>
      </w:r>
      <w:r w:rsidRPr="00677483">
        <w:rPr>
          <w:lang w:val="fr-CH"/>
        </w:rPr>
        <w:tab/>
        <w:t>D.</w:t>
      </w:r>
      <w:r w:rsidRPr="00677483">
        <w:rPr>
          <w:lang w:val="fr-CH"/>
        </w:rPr>
        <w:tab/>
        <w:t>Groupe de travail informel sur les matières</w:t>
      </w:r>
      <w:r w:rsidRPr="00677483">
        <w:rPr>
          <w:lang w:val="fr-CH"/>
        </w:rPr>
        <w:tab/>
      </w:r>
      <w:r w:rsidRPr="00677483">
        <w:rPr>
          <w:lang w:val="fr-CH"/>
        </w:rPr>
        <w:tab/>
        <w:t>80-82</w:t>
      </w:r>
      <w:r w:rsidRPr="00677483">
        <w:rPr>
          <w:lang w:val="fr-CH"/>
        </w:rPr>
        <w:tab/>
        <w:t>17</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rPr>
          <w:lang w:val="fr-CH"/>
        </w:rPr>
      </w:pPr>
      <w:r w:rsidRPr="00677483">
        <w:rPr>
          <w:lang w:val="fr-CH"/>
        </w:rPr>
        <w:tab/>
        <w:t xml:space="preserve">VII. </w:t>
      </w:r>
      <w:r w:rsidRPr="00677483">
        <w:rPr>
          <w:lang w:val="fr-CH"/>
        </w:rPr>
        <w:tab/>
        <w:t>Programme de travail et calendrier des réunions (point 6 de l'ordre du jour)</w:t>
      </w:r>
      <w:r w:rsidRPr="00677483">
        <w:rPr>
          <w:lang w:val="fr-CH"/>
        </w:rPr>
        <w:tab/>
      </w:r>
      <w:r w:rsidRPr="00677483">
        <w:rPr>
          <w:lang w:val="fr-CH"/>
        </w:rPr>
        <w:tab/>
        <w:t>83-84</w:t>
      </w:r>
      <w:r w:rsidRPr="00677483">
        <w:rPr>
          <w:lang w:val="fr-CH"/>
        </w:rPr>
        <w:tab/>
        <w:t>17</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rPr>
          <w:lang w:val="fr-CH"/>
        </w:rPr>
      </w:pPr>
      <w:r w:rsidRPr="00677483">
        <w:rPr>
          <w:lang w:val="fr-CH"/>
        </w:rPr>
        <w:tab/>
        <w:t xml:space="preserve">VIII. </w:t>
      </w:r>
      <w:r w:rsidRPr="00677483">
        <w:rPr>
          <w:lang w:val="fr-CH"/>
        </w:rPr>
        <w:tab/>
        <w:t>Questions diverses (point 7 de l'ordre du jour)</w:t>
      </w:r>
      <w:r w:rsidRPr="00677483">
        <w:rPr>
          <w:lang w:val="fr-CH"/>
        </w:rPr>
        <w:tab/>
      </w:r>
      <w:r w:rsidRPr="00677483">
        <w:rPr>
          <w:lang w:val="fr-CH"/>
        </w:rPr>
        <w:tab/>
        <w:t>85-87</w:t>
      </w:r>
      <w:r w:rsidRPr="00677483">
        <w:rPr>
          <w:lang w:val="fr-CH"/>
        </w:rPr>
        <w:tab/>
        <w:t>17</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rPr>
          <w:lang w:val="fr-CH"/>
        </w:rPr>
      </w:pPr>
      <w:r w:rsidRPr="00677483">
        <w:rPr>
          <w:lang w:val="fr-CH"/>
        </w:rPr>
        <w:tab/>
      </w:r>
      <w:r w:rsidRPr="00677483">
        <w:rPr>
          <w:lang w:val="fr-CH"/>
        </w:rPr>
        <w:tab/>
        <w:t xml:space="preserve">A. </w:t>
      </w:r>
      <w:r w:rsidRPr="00677483">
        <w:rPr>
          <w:lang w:val="fr-CH"/>
        </w:rPr>
        <w:tab/>
        <w:t>Systèmes d'amarrage par dispositifs magnétiques (Dock Lock System)</w:t>
      </w:r>
      <w:r w:rsidRPr="00677483">
        <w:rPr>
          <w:lang w:val="fr-CH"/>
        </w:rPr>
        <w:tab/>
      </w:r>
      <w:r w:rsidRPr="00677483">
        <w:rPr>
          <w:lang w:val="fr-CH"/>
        </w:rPr>
        <w:tab/>
        <w:t>85</w:t>
      </w:r>
      <w:r w:rsidRPr="00677483">
        <w:rPr>
          <w:lang w:val="fr-CH"/>
        </w:rPr>
        <w:tab/>
        <w:t>17</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ind w:left="1559" w:hanging="1559"/>
        <w:rPr>
          <w:lang w:val="fr-CH"/>
        </w:rPr>
      </w:pPr>
      <w:r w:rsidRPr="00677483">
        <w:rPr>
          <w:lang w:val="fr-CH"/>
        </w:rPr>
        <w:tab/>
      </w:r>
      <w:r w:rsidRPr="00677483">
        <w:rPr>
          <w:lang w:val="fr-CH"/>
        </w:rPr>
        <w:tab/>
        <w:t>B.</w:t>
      </w:r>
      <w:r w:rsidRPr="00677483">
        <w:rPr>
          <w:lang w:val="fr-CH"/>
        </w:rPr>
        <w:tab/>
        <w:t xml:space="preserve">Demande de statut consultatif de l'European Bulk Oil Traders' Association </w:t>
      </w:r>
      <w:r>
        <w:rPr>
          <w:lang w:val="fr-CH"/>
        </w:rPr>
        <w:br/>
      </w:r>
      <w:r w:rsidRPr="00677483">
        <w:rPr>
          <w:lang w:val="fr-CH"/>
        </w:rPr>
        <w:t>(EBOTA)</w:t>
      </w:r>
      <w:r w:rsidRPr="00677483">
        <w:rPr>
          <w:lang w:val="fr-CH"/>
        </w:rPr>
        <w:tab/>
      </w:r>
      <w:r w:rsidRPr="00677483">
        <w:rPr>
          <w:lang w:val="fr-CH"/>
        </w:rPr>
        <w:tab/>
        <w:t>86</w:t>
      </w:r>
      <w:r w:rsidRPr="00677483">
        <w:rPr>
          <w:lang w:val="fr-CH"/>
        </w:rPr>
        <w:tab/>
        <w:t>18</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rPr>
          <w:lang w:val="fr-CH"/>
        </w:rPr>
      </w:pPr>
      <w:r w:rsidRPr="00677483">
        <w:rPr>
          <w:lang w:val="fr-CH"/>
        </w:rPr>
        <w:tab/>
      </w:r>
      <w:r w:rsidRPr="00677483">
        <w:rPr>
          <w:lang w:val="fr-CH"/>
        </w:rPr>
        <w:tab/>
        <w:t xml:space="preserve">C. </w:t>
      </w:r>
      <w:r w:rsidRPr="00677483">
        <w:rPr>
          <w:lang w:val="fr-CH"/>
        </w:rPr>
        <w:tab/>
        <w:t>Hommage à M. Christopher Smith</w:t>
      </w:r>
      <w:r w:rsidRPr="00677483">
        <w:rPr>
          <w:lang w:val="fr-CH"/>
        </w:rPr>
        <w:tab/>
      </w:r>
      <w:r w:rsidRPr="00677483">
        <w:rPr>
          <w:lang w:val="fr-CH"/>
        </w:rPr>
        <w:tab/>
        <w:t>87</w:t>
      </w:r>
      <w:r w:rsidRPr="00677483">
        <w:rPr>
          <w:lang w:val="fr-CH"/>
        </w:rPr>
        <w:tab/>
        <w:t>18</w:t>
      </w:r>
    </w:p>
    <w:p w:rsidR="00677483" w:rsidRPr="00677483" w:rsidRDefault="00677483" w:rsidP="00677483">
      <w:pPr>
        <w:tabs>
          <w:tab w:val="right" w:pos="850"/>
          <w:tab w:val="left" w:pos="1134"/>
          <w:tab w:val="left" w:pos="1559"/>
          <w:tab w:val="left" w:pos="1984"/>
          <w:tab w:val="left" w:leader="dot" w:pos="7654"/>
          <w:tab w:val="right" w:pos="8929"/>
          <w:tab w:val="right" w:pos="9638"/>
        </w:tabs>
        <w:spacing w:after="120"/>
        <w:rPr>
          <w:lang w:val="fr-CH"/>
        </w:rPr>
      </w:pPr>
      <w:r w:rsidRPr="00677483">
        <w:rPr>
          <w:lang w:val="fr-CH"/>
        </w:rPr>
        <w:tab/>
        <w:t xml:space="preserve">IX. </w:t>
      </w:r>
      <w:r w:rsidRPr="00677483">
        <w:rPr>
          <w:lang w:val="fr-CH"/>
        </w:rPr>
        <w:tab/>
        <w:t>Adoption du rapport (point 8 de l'ordre du jour)</w:t>
      </w:r>
      <w:r w:rsidRPr="00677483">
        <w:rPr>
          <w:lang w:val="fr-CH"/>
        </w:rPr>
        <w:tab/>
      </w:r>
      <w:r w:rsidRPr="00677483">
        <w:rPr>
          <w:lang w:val="fr-CH"/>
        </w:rPr>
        <w:tab/>
        <w:t>88</w:t>
      </w:r>
      <w:r w:rsidRPr="00677483">
        <w:rPr>
          <w:lang w:val="fr-CH"/>
        </w:rPr>
        <w:tab/>
        <w:t>18</w:t>
      </w:r>
    </w:p>
    <w:p w:rsidR="00677483" w:rsidRPr="00677483" w:rsidRDefault="00677483" w:rsidP="00677483">
      <w:pPr>
        <w:keepNext/>
        <w:keepLines/>
        <w:tabs>
          <w:tab w:val="right" w:pos="850"/>
          <w:tab w:val="left" w:pos="1134"/>
          <w:tab w:val="left" w:pos="1559"/>
          <w:tab w:val="left" w:pos="1984"/>
          <w:tab w:val="left" w:leader="dot" w:pos="7654"/>
          <w:tab w:val="right" w:pos="8929"/>
          <w:tab w:val="right" w:pos="9638"/>
        </w:tabs>
        <w:spacing w:after="120"/>
        <w:rPr>
          <w:lang w:val="fr-CH"/>
        </w:rPr>
      </w:pPr>
      <w:r w:rsidRPr="00677483">
        <w:rPr>
          <w:lang w:val="fr-CH"/>
        </w:rPr>
        <w:lastRenderedPageBreak/>
        <w:t>Annexes</w:t>
      </w:r>
    </w:p>
    <w:p w:rsidR="00677483" w:rsidRPr="00677483" w:rsidRDefault="00677483" w:rsidP="00677483">
      <w:pPr>
        <w:keepNext/>
        <w:keepLines/>
        <w:tabs>
          <w:tab w:val="right" w:pos="850"/>
          <w:tab w:val="left" w:pos="1134"/>
          <w:tab w:val="left" w:pos="1559"/>
          <w:tab w:val="left" w:pos="1984"/>
          <w:tab w:val="left" w:leader="dot" w:pos="8900"/>
          <w:tab w:val="right" w:pos="9638"/>
        </w:tabs>
        <w:spacing w:after="120"/>
        <w:ind w:left="1134" w:hanging="1134"/>
        <w:rPr>
          <w:lang w:val="fr-CH"/>
        </w:rPr>
      </w:pPr>
      <w:r w:rsidRPr="00677483">
        <w:rPr>
          <w:lang w:val="fr-CH"/>
        </w:rPr>
        <w:tab/>
        <w:t>I.</w:t>
      </w:r>
      <w:r w:rsidRPr="00677483">
        <w:rPr>
          <w:lang w:val="fr-CH"/>
        </w:rPr>
        <w:tab/>
      </w:r>
      <w:r w:rsidRPr="00677483">
        <w:rPr>
          <w:spacing w:val="-4"/>
          <w:lang w:val="fr-CH"/>
        </w:rPr>
        <w:t>Projets d’amendements au Règlement annexé à l’ADN pour entrée en vigueur le 1er janvier 2017</w:t>
      </w:r>
      <w:r w:rsidRPr="00677483">
        <w:rPr>
          <w:lang w:val="fr-CH"/>
        </w:rPr>
        <w:tab/>
      </w:r>
      <w:r w:rsidRPr="00677483">
        <w:rPr>
          <w:lang w:val="fr-CH"/>
        </w:rPr>
        <w:tab/>
        <w:t>19</w:t>
      </w:r>
    </w:p>
    <w:p w:rsidR="00677483" w:rsidRPr="00677483" w:rsidRDefault="00677483" w:rsidP="00677483">
      <w:pPr>
        <w:keepNext/>
        <w:keepLines/>
        <w:tabs>
          <w:tab w:val="right" w:pos="850"/>
          <w:tab w:val="left" w:pos="1134"/>
          <w:tab w:val="left" w:pos="1559"/>
          <w:tab w:val="left" w:pos="1984"/>
          <w:tab w:val="left" w:leader="dot" w:pos="8900"/>
          <w:tab w:val="right" w:pos="9638"/>
        </w:tabs>
        <w:spacing w:after="120"/>
        <w:ind w:left="1134" w:hanging="1134"/>
        <w:rPr>
          <w:lang w:val="fr-CH"/>
        </w:rPr>
      </w:pPr>
      <w:r w:rsidRPr="00677483">
        <w:rPr>
          <w:lang w:val="fr-CH"/>
        </w:rPr>
        <w:tab/>
        <w:t>II.</w:t>
      </w:r>
      <w:r w:rsidRPr="00677483">
        <w:rPr>
          <w:lang w:val="fr-CH"/>
        </w:rPr>
        <w:tab/>
        <w:t xml:space="preserve">Corrections au Règlement </w:t>
      </w:r>
      <w:r w:rsidRPr="00677483">
        <w:rPr>
          <w:spacing w:val="-4"/>
          <w:lang w:val="fr-CH"/>
        </w:rPr>
        <w:t>annexé</w:t>
      </w:r>
      <w:r w:rsidRPr="00677483">
        <w:rPr>
          <w:lang w:val="fr-CH"/>
        </w:rPr>
        <w:t xml:space="preserve"> à l'ADN – version allemande seulement</w:t>
      </w:r>
      <w:r w:rsidRPr="00677483">
        <w:rPr>
          <w:lang w:val="fr-CH"/>
        </w:rPr>
        <w:tab/>
      </w:r>
      <w:r w:rsidRPr="00677483">
        <w:rPr>
          <w:lang w:val="fr-CH"/>
        </w:rPr>
        <w:tab/>
        <w:t>21</w:t>
      </w:r>
    </w:p>
    <w:p w:rsidR="00BE7315" w:rsidRDefault="00191204" w:rsidP="00F24996">
      <w:pPr>
        <w:pStyle w:val="HChG"/>
        <w:rPr>
          <w:lang w:val="fr-CH"/>
        </w:rPr>
      </w:pPr>
      <w:r>
        <w:rPr>
          <w:lang w:val="fr-CH"/>
        </w:rPr>
        <w:br w:type="page"/>
      </w:r>
    </w:p>
    <w:p w:rsidR="00BE7315" w:rsidRDefault="00BE7315" w:rsidP="00BE7315">
      <w:pPr>
        <w:pStyle w:val="HChG"/>
        <w:rPr>
          <w:lang w:val="fr-FR"/>
        </w:rPr>
      </w:pPr>
      <w:r w:rsidRPr="00F301F5">
        <w:rPr>
          <w:lang w:val="fr-CH"/>
        </w:rPr>
        <w:lastRenderedPageBreak/>
        <w:tab/>
      </w:r>
      <w:bookmarkStart w:id="5" w:name="_Toc428948862"/>
      <w:r w:rsidRPr="00F301F5">
        <w:rPr>
          <w:lang w:val="fr-CH"/>
        </w:rPr>
        <w:t>I.</w:t>
      </w:r>
      <w:r w:rsidRPr="00F301F5">
        <w:rPr>
          <w:lang w:val="fr-CH"/>
        </w:rPr>
        <w:tab/>
        <w:t>Participation</w:t>
      </w:r>
      <w:bookmarkEnd w:id="5"/>
    </w:p>
    <w:p w:rsidR="00BE7315" w:rsidRDefault="00BE7315" w:rsidP="00BE7315">
      <w:pPr>
        <w:pStyle w:val="SingleTxtG"/>
        <w:rPr>
          <w:lang w:val="fr-CH"/>
        </w:rPr>
      </w:pPr>
      <w:r w:rsidRPr="00AA47CD">
        <w:rPr>
          <w:lang w:val="fr-CH"/>
        </w:rPr>
        <w:t>1.</w:t>
      </w:r>
      <w:r w:rsidRPr="00AA47CD">
        <w:rPr>
          <w:lang w:val="fr-CH"/>
        </w:rPr>
        <w:tab/>
        <w:t>La Réunion commune d’experts sur le Règlement annexé à l’Accord européen relatif au transport international des marchandises dangereuses par voies de navigation intérieures (ADN) (Comité de sécurité de l’ADN) a tenu sa vingt</w:t>
      </w:r>
      <w:r>
        <w:rPr>
          <w:lang w:val="fr-CH"/>
        </w:rPr>
        <w:t>-septième</w:t>
      </w:r>
      <w:r w:rsidRPr="00AA47CD">
        <w:rPr>
          <w:lang w:val="fr-CH"/>
        </w:rPr>
        <w:t xml:space="preserve"> session à Genève du 2</w:t>
      </w:r>
      <w:r>
        <w:rPr>
          <w:lang w:val="fr-CH"/>
        </w:rPr>
        <w:t>4</w:t>
      </w:r>
      <w:r w:rsidRPr="00AA47CD">
        <w:rPr>
          <w:lang w:val="fr-CH"/>
        </w:rPr>
        <w:t xml:space="preserve"> au </w:t>
      </w:r>
      <w:r>
        <w:rPr>
          <w:lang w:val="fr-CH"/>
        </w:rPr>
        <w:t xml:space="preserve">28 août 2015 sous la présidence de M. H. Rein (Allemagne) et la vice-présidence de M. B. </w:t>
      </w:r>
      <w:r w:rsidRPr="005779B6">
        <w:rPr>
          <w:lang w:val="fr-CH"/>
        </w:rPr>
        <w:t>Birklh</w:t>
      </w:r>
      <w:r>
        <w:rPr>
          <w:lang w:val="fr-CH"/>
        </w:rPr>
        <w:t>u</w:t>
      </w:r>
      <w:r w:rsidRPr="005779B6">
        <w:rPr>
          <w:lang w:val="fr-CH"/>
        </w:rPr>
        <w:t>ber</w:t>
      </w:r>
      <w:r>
        <w:rPr>
          <w:lang w:val="fr-CH"/>
        </w:rPr>
        <w:t xml:space="preserve"> (Autriche)</w:t>
      </w:r>
      <w:r w:rsidRPr="00AA47CD">
        <w:rPr>
          <w:lang w:val="fr-CH"/>
        </w:rPr>
        <w:t xml:space="preserve">. Des représentants des pays suivants ont pris part aux travaux de cette session: Allemagne, Autriche, </w:t>
      </w:r>
      <w:r>
        <w:rPr>
          <w:lang w:val="fr-CH"/>
        </w:rPr>
        <w:t>Belgique</w:t>
      </w:r>
      <w:r w:rsidRPr="00AA47CD">
        <w:rPr>
          <w:lang w:val="fr-CH"/>
        </w:rPr>
        <w:t xml:space="preserve">, Bulgarie, Croatie, France, </w:t>
      </w:r>
      <w:r>
        <w:rPr>
          <w:lang w:val="fr-CH"/>
        </w:rPr>
        <w:t xml:space="preserve">Fédération de Russie, </w:t>
      </w:r>
      <w:r w:rsidRPr="00AA47CD">
        <w:rPr>
          <w:lang w:val="fr-CH"/>
        </w:rPr>
        <w:t xml:space="preserve">Pays-Bas, Roumanie, </w:t>
      </w:r>
      <w:r w:rsidRPr="008F2ECC">
        <w:rPr>
          <w:lang w:val="fr-CH"/>
        </w:rPr>
        <w:t>Slovaquie</w:t>
      </w:r>
      <w:r>
        <w:rPr>
          <w:lang w:val="fr-CH"/>
        </w:rPr>
        <w:t xml:space="preserve"> et</w:t>
      </w:r>
      <w:r w:rsidRPr="00AA47CD">
        <w:rPr>
          <w:lang w:val="fr-CH"/>
        </w:rPr>
        <w:t xml:space="preserve"> </w:t>
      </w:r>
      <w:r>
        <w:rPr>
          <w:lang w:val="fr-CH"/>
        </w:rPr>
        <w:t>Suisse</w:t>
      </w:r>
      <w:r w:rsidRPr="00AA47CD">
        <w:rPr>
          <w:lang w:val="fr-CH"/>
        </w:rPr>
        <w:t>. Étaient représentées les organisations intergouvernementales suivantes: la Commission centrale po</w:t>
      </w:r>
      <w:r>
        <w:rPr>
          <w:lang w:val="fr-CH"/>
        </w:rPr>
        <w:t xml:space="preserve">ur la navigation du Rhin (CCNR), </w:t>
      </w:r>
      <w:r w:rsidRPr="00AA47CD">
        <w:rPr>
          <w:lang w:val="fr-CH"/>
        </w:rPr>
        <w:t>la Commission du Danube (CD)</w:t>
      </w:r>
      <w:r>
        <w:rPr>
          <w:lang w:val="fr-CH"/>
        </w:rPr>
        <w:t xml:space="preserve"> </w:t>
      </w:r>
      <w:r w:rsidRPr="00572350">
        <w:rPr>
          <w:lang w:val="fr-CH"/>
        </w:rPr>
        <w:t xml:space="preserve">et l’Union </w:t>
      </w:r>
      <w:r>
        <w:rPr>
          <w:lang w:val="fr-CH"/>
        </w:rPr>
        <w:t>e</w:t>
      </w:r>
      <w:r w:rsidRPr="00572350">
        <w:rPr>
          <w:lang w:val="fr-CH"/>
        </w:rPr>
        <w:t>uropéenne</w:t>
      </w:r>
      <w:r w:rsidRPr="00AA47CD">
        <w:rPr>
          <w:lang w:val="fr-CH"/>
        </w:rPr>
        <w:t>. Les organisations non gouvernementales suivantes étaient également représentées:</w:t>
      </w:r>
      <w:r>
        <w:rPr>
          <w:lang w:val="fr-CH"/>
        </w:rPr>
        <w:t xml:space="preserve"> </w:t>
      </w:r>
      <w:r>
        <w:rPr>
          <w:lang w:val="fr-FR"/>
        </w:rPr>
        <w:t xml:space="preserve">le </w:t>
      </w:r>
      <w:r w:rsidRPr="00781790">
        <w:rPr>
          <w:bCs/>
          <w:lang w:val="fr-CH"/>
        </w:rPr>
        <w:t>Comité</w:t>
      </w:r>
      <w:r w:rsidRPr="00781790">
        <w:rPr>
          <w:lang w:val="fr-CH"/>
        </w:rPr>
        <w:t xml:space="preserve"> International de </w:t>
      </w:r>
      <w:r w:rsidRPr="00781790">
        <w:rPr>
          <w:bCs/>
          <w:lang w:val="fr-CH"/>
        </w:rPr>
        <w:t>Prévention des Accidents du Travail</w:t>
      </w:r>
      <w:r w:rsidRPr="00781790">
        <w:rPr>
          <w:lang w:val="fr-CH"/>
        </w:rPr>
        <w:t xml:space="preserve"> de </w:t>
      </w:r>
      <w:r w:rsidRPr="00E71031">
        <w:rPr>
          <w:lang w:val="fr-CH"/>
        </w:rPr>
        <w:t>la Navigation Intérieure (</w:t>
      </w:r>
      <w:r w:rsidRPr="00E71031">
        <w:rPr>
          <w:bCs/>
          <w:lang w:val="fr-CH"/>
        </w:rPr>
        <w:t>CIPA</w:t>
      </w:r>
      <w:r w:rsidRPr="00E71031">
        <w:rPr>
          <w:lang w:val="fr-CH"/>
        </w:rPr>
        <w:t xml:space="preserve">), le Conseil européen de l’industrie chimique (CEFIC), la </w:t>
      </w:r>
      <w:r w:rsidRPr="0017759C">
        <w:rPr>
          <w:lang w:val="fr-CH"/>
        </w:rPr>
        <w:t>European Bulk Oil Traders' Association (EBOTA)</w:t>
      </w:r>
      <w:r w:rsidRPr="00E71031">
        <w:rPr>
          <w:lang w:val="fr-CH"/>
        </w:rPr>
        <w:t>, la European River-Sea-Transport Union (ERSTU), l</w:t>
      </w:r>
      <w:r w:rsidR="00C12459">
        <w:rPr>
          <w:lang w:val="fr-CH"/>
        </w:rPr>
        <w:t>a</w:t>
      </w:r>
      <w:r w:rsidRPr="00E71031">
        <w:rPr>
          <w:lang w:val="fr-CH"/>
        </w:rPr>
        <w:t xml:space="preserve"> </w:t>
      </w:r>
      <w:r w:rsidRPr="0017759C">
        <w:rPr>
          <w:bCs/>
          <w:lang w:val="fr-CH"/>
        </w:rPr>
        <w:t xml:space="preserve">Federation of European Tank Storage </w:t>
      </w:r>
      <w:r>
        <w:rPr>
          <w:bCs/>
          <w:lang w:val="fr-CH"/>
        </w:rPr>
        <w:t>A</w:t>
      </w:r>
      <w:r w:rsidRPr="0017759C">
        <w:rPr>
          <w:bCs/>
          <w:lang w:val="fr-CH"/>
        </w:rPr>
        <w:t>ssociations</w:t>
      </w:r>
      <w:r w:rsidRPr="00E71031">
        <w:rPr>
          <w:lang w:val="fr-CH"/>
        </w:rPr>
        <w:t xml:space="preserve"> (FETSA), FuelsEurope, l'Organisation Européenne des Bateliers (OEB), </w:t>
      </w:r>
      <w:r w:rsidRPr="00E71031">
        <w:rPr>
          <w:lang w:val="fr-FR"/>
        </w:rPr>
        <w:t xml:space="preserve">les Sociétés de classification recommandées ADN et </w:t>
      </w:r>
      <w:r w:rsidRPr="00E71031">
        <w:rPr>
          <w:lang w:val="fr-CH"/>
        </w:rPr>
        <w:t>l'Union européenne de navigation fluviale (UENF).</w:t>
      </w:r>
    </w:p>
    <w:p w:rsidR="00BE7315" w:rsidRPr="00C7790C" w:rsidRDefault="00BE7315" w:rsidP="00BE7315">
      <w:pPr>
        <w:pStyle w:val="HChG"/>
        <w:rPr>
          <w:lang w:val="fr-FR"/>
        </w:rPr>
      </w:pPr>
      <w:r w:rsidRPr="00C7790C">
        <w:rPr>
          <w:lang w:val="fr-FR"/>
        </w:rPr>
        <w:tab/>
      </w:r>
      <w:bookmarkStart w:id="6" w:name="_Toc428948863"/>
      <w:r w:rsidRPr="00C7790C">
        <w:rPr>
          <w:lang w:val="fr-FR"/>
        </w:rPr>
        <w:t>II.</w:t>
      </w:r>
      <w:r w:rsidRPr="00C7790C">
        <w:rPr>
          <w:lang w:val="fr-FR"/>
        </w:rPr>
        <w:tab/>
        <w:t>Adoption de</w:t>
      </w:r>
      <w:r w:rsidRPr="00675D50">
        <w:rPr>
          <w:lang w:val="fr-BE"/>
        </w:rPr>
        <w:t xml:space="preserve"> l’ordre</w:t>
      </w:r>
      <w:r w:rsidRPr="00C7790C">
        <w:rPr>
          <w:lang w:val="fr-FR"/>
        </w:rPr>
        <w:t xml:space="preserve"> du jour (point 1 de</w:t>
      </w:r>
      <w:r w:rsidRPr="00675D50">
        <w:rPr>
          <w:lang w:val="fr-BE"/>
        </w:rPr>
        <w:t xml:space="preserve"> l’ordre</w:t>
      </w:r>
      <w:r w:rsidRPr="00C7790C">
        <w:rPr>
          <w:lang w:val="fr-FR"/>
        </w:rPr>
        <w:t xml:space="preserve"> du jour)</w:t>
      </w:r>
      <w:bookmarkEnd w:id="6"/>
    </w:p>
    <w:p w:rsidR="00BE7315" w:rsidRPr="00C7790C" w:rsidRDefault="00BE7315" w:rsidP="003A358A">
      <w:pPr>
        <w:pStyle w:val="SingleTxtG"/>
        <w:ind w:left="3402" w:hanging="2268"/>
        <w:rPr>
          <w:lang w:val="fr-FR"/>
        </w:rPr>
      </w:pPr>
      <w:r w:rsidRPr="00C7790C">
        <w:rPr>
          <w:i/>
          <w:lang w:val="fr-FR"/>
        </w:rPr>
        <w:t>Documents</w:t>
      </w:r>
      <w:r w:rsidRPr="00C7790C">
        <w:rPr>
          <w:lang w:val="fr-FR"/>
        </w:rPr>
        <w:t>:</w:t>
      </w:r>
      <w:r w:rsidRPr="00C7790C">
        <w:rPr>
          <w:lang w:val="fr-FR"/>
        </w:rPr>
        <w:tab/>
      </w:r>
      <w:r w:rsidRPr="00C7790C">
        <w:rPr>
          <w:lang w:val="fr-FR"/>
        </w:rPr>
        <w:tab/>
        <w:t>ECE/TRANS/WP</w:t>
      </w:r>
      <w:r>
        <w:rPr>
          <w:lang w:val="fr-FR"/>
        </w:rPr>
        <w:t xml:space="preserve">.15/AC.2/55 </w:t>
      </w:r>
      <w:r w:rsidRPr="00C7790C">
        <w:rPr>
          <w:lang w:val="fr-FR"/>
        </w:rPr>
        <w:t>et Add.1</w:t>
      </w:r>
    </w:p>
    <w:p w:rsidR="00BE7315" w:rsidRPr="00C7790C" w:rsidRDefault="00BE7315" w:rsidP="00BE7315">
      <w:pPr>
        <w:pStyle w:val="SingleTxtG"/>
        <w:ind w:left="3402" w:hanging="2268"/>
        <w:rPr>
          <w:lang w:val="fr-FR"/>
        </w:rPr>
      </w:pPr>
      <w:r w:rsidRPr="00C7790C">
        <w:rPr>
          <w:i/>
          <w:lang w:val="fr-FR"/>
        </w:rPr>
        <w:t>Document informel</w:t>
      </w:r>
      <w:r w:rsidRPr="00C7790C">
        <w:rPr>
          <w:lang w:val="fr-FR"/>
        </w:rPr>
        <w:t>:</w:t>
      </w:r>
      <w:r w:rsidRPr="00C7790C">
        <w:rPr>
          <w:lang w:val="fr-FR"/>
        </w:rPr>
        <w:tab/>
        <w:t>INF.</w:t>
      </w:r>
      <w:r>
        <w:rPr>
          <w:lang w:val="fr-FR"/>
        </w:rPr>
        <w:t>1/Rev.2</w:t>
      </w:r>
      <w:r w:rsidRPr="00C7790C">
        <w:rPr>
          <w:lang w:val="fr-FR"/>
        </w:rPr>
        <w:t xml:space="preserve"> (Secrétariat)</w:t>
      </w:r>
    </w:p>
    <w:p w:rsidR="00BE7315" w:rsidRDefault="00BE7315" w:rsidP="00BE7315">
      <w:pPr>
        <w:pStyle w:val="SingleTxtG"/>
        <w:rPr>
          <w:lang w:val="fr-FR"/>
        </w:rPr>
      </w:pPr>
      <w:r>
        <w:rPr>
          <w:lang w:val="fr-FR"/>
        </w:rPr>
        <w:t>2</w:t>
      </w:r>
      <w:r w:rsidRPr="00C7790C">
        <w:rPr>
          <w:lang w:val="fr-FR"/>
        </w:rPr>
        <w:t>.</w:t>
      </w:r>
      <w:r w:rsidRPr="00C7790C">
        <w:rPr>
          <w:lang w:val="fr-FR"/>
        </w:rPr>
        <w:tab/>
        <w:t>Le Comité de sécurité a</w:t>
      </w:r>
      <w:r w:rsidRPr="00675D50">
        <w:rPr>
          <w:lang w:val="fr-BE"/>
        </w:rPr>
        <w:t xml:space="preserve"> adopté l’ordre</w:t>
      </w:r>
      <w:r w:rsidRPr="00C7790C">
        <w:rPr>
          <w:lang w:val="fr-FR"/>
        </w:rPr>
        <w:t xml:space="preserve"> du jour qui avait été établi par le secr</w:t>
      </w:r>
      <w:r>
        <w:rPr>
          <w:lang w:val="fr-FR"/>
        </w:rPr>
        <w:t>é</w:t>
      </w:r>
      <w:r w:rsidRPr="00C7790C">
        <w:rPr>
          <w:lang w:val="fr-FR"/>
        </w:rPr>
        <w:t>tariat, tel que modifié par le document informel INF.</w:t>
      </w:r>
      <w:r>
        <w:rPr>
          <w:lang w:val="fr-FR"/>
        </w:rPr>
        <w:t>1/Rev.2</w:t>
      </w:r>
      <w:r w:rsidRPr="00C7790C">
        <w:rPr>
          <w:lang w:val="fr-FR"/>
        </w:rPr>
        <w:t xml:space="preserve"> pour tenir comp</w:t>
      </w:r>
      <w:r>
        <w:rPr>
          <w:lang w:val="fr-FR"/>
        </w:rPr>
        <w:t>te des documents informels INF.1 à INF.</w:t>
      </w:r>
      <w:r>
        <w:rPr>
          <w:lang w:val="fr-CH"/>
        </w:rPr>
        <w:t>21</w:t>
      </w:r>
      <w:r w:rsidRPr="00C7790C">
        <w:rPr>
          <w:lang w:val="fr-FR"/>
        </w:rPr>
        <w:t>.</w:t>
      </w:r>
    </w:p>
    <w:p w:rsidR="00BE7315" w:rsidRDefault="00BE7315" w:rsidP="00BE7315">
      <w:pPr>
        <w:pStyle w:val="SingleTxtG"/>
        <w:rPr>
          <w:lang w:val="fr-FR"/>
        </w:rPr>
      </w:pPr>
      <w:r>
        <w:rPr>
          <w:lang w:val="fr-FR"/>
        </w:rPr>
        <w:t>3.</w:t>
      </w:r>
      <w:r>
        <w:rPr>
          <w:lang w:val="fr-FR"/>
        </w:rPr>
        <w:tab/>
        <w:t>En ce qui concerne certaines questions en suspens depuis la dernière session, telles que mentionnées dans les paragraphes ci-après du rapport ECE/TRANS/WP.15/AC.2/54, le Comité de sécurité a noté ce qui suit:</w:t>
      </w:r>
    </w:p>
    <w:p w:rsidR="00BE7315" w:rsidRPr="00482075" w:rsidRDefault="00BE7315" w:rsidP="00BE7315">
      <w:pPr>
        <w:pStyle w:val="SingleTxtG"/>
        <w:ind w:left="1418"/>
        <w:rPr>
          <w:lang w:val="fr-CH"/>
        </w:rPr>
      </w:pPr>
      <w:r>
        <w:rPr>
          <w:lang w:val="fr-FR"/>
        </w:rPr>
        <w:t xml:space="preserve">Paragraphe 7: </w:t>
      </w:r>
      <w:r>
        <w:rPr>
          <w:lang w:val="fr-FR"/>
        </w:rPr>
        <w:tab/>
        <w:t xml:space="preserve">Une réunion d'un groupe de travail informel sur l'utilisation de GNL comme carburant pour la propulsion des bateaux devrait être organisée par les Pays-Bas </w:t>
      </w:r>
      <w:r w:rsidRPr="00FC59FB">
        <w:rPr>
          <w:lang w:val="fr-FR"/>
        </w:rPr>
        <w:t>dès que les propositions législatives finales d</w:t>
      </w:r>
      <w:r w:rsidR="00D91EAF">
        <w:rPr>
          <w:lang w:val="fr-FR"/>
        </w:rPr>
        <w:t>e la</w:t>
      </w:r>
      <w:r w:rsidRPr="00FC59FB">
        <w:rPr>
          <w:lang w:val="fr-FR"/>
        </w:rPr>
        <w:t xml:space="preserve"> CCNR </w:t>
      </w:r>
      <w:r>
        <w:rPr>
          <w:lang w:val="fr-FR"/>
        </w:rPr>
        <w:t>s</w:t>
      </w:r>
      <w:r w:rsidR="00D91EAF">
        <w:rPr>
          <w:lang w:val="fr-FR"/>
        </w:rPr>
        <w:t>eront</w:t>
      </w:r>
      <w:r w:rsidRPr="00FC59FB">
        <w:rPr>
          <w:lang w:val="fr-FR"/>
        </w:rPr>
        <w:t xml:space="preserve"> disponibles</w:t>
      </w:r>
      <w:r w:rsidRPr="00482075">
        <w:rPr>
          <w:lang w:val="fr-CH"/>
        </w:rPr>
        <w:t xml:space="preserve">. </w:t>
      </w:r>
      <w:r>
        <w:rPr>
          <w:lang w:val="fr-FR"/>
        </w:rPr>
        <w:t xml:space="preserve"> Le rapport final devrait être soumis à la prochaine session;</w:t>
      </w:r>
    </w:p>
    <w:p w:rsidR="00BE7315" w:rsidRDefault="00BE7315" w:rsidP="00BE7315">
      <w:pPr>
        <w:pStyle w:val="SingleTxtG"/>
        <w:ind w:left="1418"/>
        <w:rPr>
          <w:lang w:val="fr-FR"/>
        </w:rPr>
      </w:pPr>
      <w:r>
        <w:rPr>
          <w:lang w:val="fr-FR"/>
        </w:rPr>
        <w:t xml:space="preserve">Paragraphe 8: </w:t>
      </w:r>
      <w:r>
        <w:rPr>
          <w:lang w:val="fr-FR"/>
        </w:rPr>
        <w:tab/>
        <w:t>Le représentant des Pays-Bas devrait vérifier s'il convenait de maintenir les autorisations spéciales relatives aux numéros ONU 2187 et 3298;</w:t>
      </w:r>
    </w:p>
    <w:p w:rsidR="00BE7315" w:rsidRDefault="00BE7315" w:rsidP="00BE7315">
      <w:pPr>
        <w:pStyle w:val="SingleTxtG"/>
        <w:ind w:left="1418"/>
        <w:rPr>
          <w:lang w:val="fr-FR"/>
        </w:rPr>
      </w:pPr>
      <w:r>
        <w:rPr>
          <w:lang w:val="fr-FR"/>
        </w:rPr>
        <w:t xml:space="preserve">Paragraphes 12 et 13: </w:t>
      </w:r>
      <w:r>
        <w:rPr>
          <w:lang w:val="fr-FR"/>
        </w:rPr>
        <w:tab/>
        <w:t>Il paraît nécessaire d'approfondir la question de la certification des qualifications de personnes chargées d'effectuer certaines tâches selon l'ADN. L'Allemagne, l'OEB et l'UENF reviendront sur la question en janvier 2016 en vue d'amendements éventuels pour l'ADN 2019;</w:t>
      </w:r>
    </w:p>
    <w:p w:rsidR="00BE7315" w:rsidRDefault="00BE7315" w:rsidP="00BE7315">
      <w:pPr>
        <w:pStyle w:val="SingleTxtG"/>
        <w:ind w:left="1418"/>
        <w:rPr>
          <w:lang w:val="fr-FR"/>
        </w:rPr>
      </w:pPr>
      <w:r>
        <w:rPr>
          <w:lang w:val="fr-FR"/>
        </w:rPr>
        <w:t>Paragraphes 15 et 16 :</w:t>
      </w:r>
      <w:r>
        <w:rPr>
          <w:lang w:val="fr-FR"/>
        </w:rPr>
        <w:tab/>
        <w:t>L'Allemagne devrait revenir sur la question des opérations de transbordement à la prochaine session;</w:t>
      </w:r>
    </w:p>
    <w:p w:rsidR="00BE7315" w:rsidRDefault="00BE7315" w:rsidP="00BE7315">
      <w:pPr>
        <w:pStyle w:val="SingleTxtG"/>
        <w:ind w:left="1418"/>
        <w:rPr>
          <w:lang w:val="fr-FR"/>
        </w:rPr>
      </w:pPr>
      <w:r>
        <w:rPr>
          <w:lang w:val="fr-FR"/>
        </w:rPr>
        <w:t>Paragraphe 23:</w:t>
      </w:r>
      <w:r>
        <w:rPr>
          <w:lang w:val="fr-FR"/>
        </w:rPr>
        <w:tab/>
        <w:t>Le document relatif au transport de charbon devrait être soumis par les Pays-Bas à la prochaine session;</w:t>
      </w:r>
    </w:p>
    <w:p w:rsidR="00BE7315" w:rsidRDefault="00BE7315" w:rsidP="00BE7315">
      <w:pPr>
        <w:pStyle w:val="SingleTxtG"/>
        <w:ind w:left="1418"/>
        <w:rPr>
          <w:lang w:val="fr-FR"/>
        </w:rPr>
      </w:pPr>
      <w:r>
        <w:rPr>
          <w:lang w:val="fr-FR"/>
        </w:rPr>
        <w:t>Paragraphes 40 et 41:</w:t>
      </w:r>
      <w:r>
        <w:rPr>
          <w:lang w:val="fr-FR"/>
        </w:rPr>
        <w:tab/>
        <w:t>La question soulevée au paragraphe 41 pourrait être discutée à la prochaine session;</w:t>
      </w:r>
    </w:p>
    <w:p w:rsidR="00BE7315" w:rsidRDefault="00BE7315" w:rsidP="00BE7315">
      <w:pPr>
        <w:pStyle w:val="SingleTxtG"/>
        <w:ind w:left="1418"/>
        <w:rPr>
          <w:lang w:val="fr-FR"/>
        </w:rPr>
      </w:pPr>
      <w:r>
        <w:rPr>
          <w:lang w:val="fr-FR"/>
        </w:rPr>
        <w:t>Paragraphe 45:</w:t>
      </w:r>
      <w:r>
        <w:rPr>
          <w:lang w:val="fr-FR"/>
        </w:rPr>
        <w:tab/>
        <w:t>Les travaux relatifs à la délivrance d'une nouvelle liste de matières après renouvellement du certificat d'agrément vont se poursuivre.</w:t>
      </w:r>
    </w:p>
    <w:p w:rsidR="00BE7315" w:rsidRPr="00C7790C" w:rsidRDefault="00BE7315" w:rsidP="00BE7315">
      <w:pPr>
        <w:pStyle w:val="HChG"/>
        <w:rPr>
          <w:lang w:val="fr-FR"/>
        </w:rPr>
      </w:pPr>
      <w:r>
        <w:rPr>
          <w:lang w:val="fr-FR"/>
        </w:rPr>
        <w:lastRenderedPageBreak/>
        <w:tab/>
      </w:r>
      <w:bookmarkStart w:id="7" w:name="_Toc428948864"/>
      <w:r>
        <w:rPr>
          <w:lang w:val="fr-FR"/>
        </w:rPr>
        <w:t>III</w:t>
      </w:r>
      <w:r w:rsidRPr="00C7790C">
        <w:rPr>
          <w:lang w:val="fr-FR"/>
        </w:rPr>
        <w:t>.</w:t>
      </w:r>
      <w:r w:rsidRPr="00C7790C">
        <w:rPr>
          <w:lang w:val="fr-FR"/>
        </w:rPr>
        <w:tab/>
      </w:r>
      <w:r>
        <w:rPr>
          <w:lang w:val="fr-FR"/>
        </w:rPr>
        <w:t>Questions découlant des travaux d'organes des Nations Unies et d'autres organisations (point 2 de l'ordre du jour)</w:t>
      </w:r>
      <w:bookmarkEnd w:id="7"/>
      <w:r w:rsidRPr="00C7790C">
        <w:rPr>
          <w:lang w:val="fr-FR"/>
        </w:rPr>
        <w:t xml:space="preserve"> </w:t>
      </w:r>
    </w:p>
    <w:p w:rsidR="00BE7315" w:rsidRDefault="00BE7315" w:rsidP="00BE7315">
      <w:pPr>
        <w:pStyle w:val="SingleTxtG"/>
        <w:rPr>
          <w:lang w:val="fr-FR"/>
        </w:rPr>
      </w:pPr>
      <w:r>
        <w:rPr>
          <w:lang w:val="fr-FR"/>
        </w:rPr>
        <w:t>4</w:t>
      </w:r>
      <w:r w:rsidRPr="004C68D7">
        <w:rPr>
          <w:lang w:val="fr-FR"/>
        </w:rPr>
        <w:t>.</w:t>
      </w:r>
      <w:r w:rsidRPr="004C68D7">
        <w:rPr>
          <w:lang w:val="fr-FR"/>
        </w:rPr>
        <w:tab/>
      </w:r>
      <w:r>
        <w:rPr>
          <w:lang w:val="fr-FR"/>
        </w:rPr>
        <w:t>Le Comité de sécurité a noté que le Comité des transports intérieurs de la CEE-ONU avait encouragé ses États membres à fournir des données pour étayer le projet pilote de base de données d'accidents mis au point dans le cadre des travaux de la Réunion commune RID/ADR/ADN en relation avec les déclarations d'évènements impliquant des marchandises dangereuses selon le 1.8.5 du Règlement annexé à l'ADN (voir ECE/TRANS/248, par. 116).</w:t>
      </w:r>
    </w:p>
    <w:p w:rsidR="00BE7315" w:rsidRPr="004C68D7" w:rsidRDefault="00BE7315" w:rsidP="00BE7315">
      <w:pPr>
        <w:pStyle w:val="SingleTxtG"/>
        <w:rPr>
          <w:lang w:val="fr-CH"/>
        </w:rPr>
      </w:pPr>
      <w:r>
        <w:rPr>
          <w:lang w:val="fr-FR"/>
        </w:rPr>
        <w:t>5.</w:t>
      </w:r>
      <w:r>
        <w:rPr>
          <w:lang w:val="fr-FR"/>
        </w:rPr>
        <w:tab/>
        <w:t xml:space="preserve">Le Comité de sécurité a noté que le secrétariat de la CEE-ONU procédait actuellement à une évaluation des impacts globaux et régionaux des règlements de la CEE-ONU et des </w:t>
      </w:r>
      <w:r w:rsidRPr="00F301F5">
        <w:rPr>
          <w:lang w:val="fr-CH"/>
        </w:rPr>
        <w:t>recommandations</w:t>
      </w:r>
      <w:r>
        <w:rPr>
          <w:lang w:val="fr-FR"/>
        </w:rPr>
        <w:t xml:space="preserve"> de l'ONU concernant le transport de marchandises dangereuses. Un questionnaire avait été transmis à cet effet à tous les participants aux travaux du Comité de sécurité qui ont dont été priés de le remplir au plus vite afin que les réponses puissent être analysées par un consultant courant du mois de septembre 2015.</w:t>
      </w:r>
    </w:p>
    <w:p w:rsidR="00BE7315" w:rsidRPr="00C7790C" w:rsidRDefault="00BE7315" w:rsidP="00BE7315">
      <w:pPr>
        <w:pStyle w:val="HChG"/>
        <w:rPr>
          <w:lang w:val="fr-FR"/>
        </w:rPr>
      </w:pPr>
      <w:r>
        <w:rPr>
          <w:lang w:val="fr-FR"/>
        </w:rPr>
        <w:tab/>
      </w:r>
      <w:bookmarkStart w:id="8" w:name="_Toc428948865"/>
      <w:r>
        <w:rPr>
          <w:lang w:val="fr-FR"/>
        </w:rPr>
        <w:t>I</w:t>
      </w:r>
      <w:r w:rsidRPr="00C7790C">
        <w:rPr>
          <w:lang w:val="fr-FR"/>
        </w:rPr>
        <w:t>V.</w:t>
      </w:r>
      <w:r>
        <w:rPr>
          <w:lang w:val="fr-FR"/>
        </w:rPr>
        <w:tab/>
        <w:t>Mise en œuvre de l'Accord européen relatif au transport international des marchandises dangereuses par voies de navigation intérieures (ADN)</w:t>
      </w:r>
      <w:r w:rsidRPr="00C7790C">
        <w:rPr>
          <w:lang w:val="fr-FR"/>
        </w:rPr>
        <w:t xml:space="preserve"> </w:t>
      </w:r>
      <w:r>
        <w:rPr>
          <w:lang w:val="fr-FR"/>
        </w:rPr>
        <w:t>(point 3 de l’ordre du jour)</w:t>
      </w:r>
      <w:bookmarkEnd w:id="8"/>
    </w:p>
    <w:p w:rsidR="00BE7315" w:rsidRDefault="00BE7315" w:rsidP="00BE7315">
      <w:pPr>
        <w:pStyle w:val="H1G"/>
        <w:rPr>
          <w:lang w:val="fr-FR"/>
        </w:rPr>
      </w:pPr>
      <w:r>
        <w:rPr>
          <w:lang w:val="fr-FR"/>
        </w:rPr>
        <w:tab/>
      </w:r>
      <w:bookmarkStart w:id="9" w:name="_Toc428948866"/>
      <w:r>
        <w:rPr>
          <w:lang w:val="fr-FR"/>
        </w:rPr>
        <w:t>A.</w:t>
      </w:r>
      <w:r>
        <w:rPr>
          <w:lang w:val="fr-FR"/>
        </w:rPr>
        <w:tab/>
        <w:t>Statut de l'ADN</w:t>
      </w:r>
      <w:bookmarkEnd w:id="9"/>
    </w:p>
    <w:p w:rsidR="00BE7315" w:rsidRDefault="00BE7315" w:rsidP="00BE7315">
      <w:pPr>
        <w:pStyle w:val="SingleTxtG"/>
        <w:spacing w:before="120"/>
        <w:rPr>
          <w:lang w:val="fr-FR"/>
        </w:rPr>
      </w:pPr>
      <w:r>
        <w:rPr>
          <w:lang w:val="fr-FR"/>
        </w:rPr>
        <w:t>6</w:t>
      </w:r>
      <w:r w:rsidRPr="00C7790C">
        <w:rPr>
          <w:lang w:val="fr-FR"/>
        </w:rPr>
        <w:t>.</w:t>
      </w:r>
      <w:r w:rsidRPr="00C7790C">
        <w:rPr>
          <w:lang w:val="fr-FR"/>
        </w:rPr>
        <w:tab/>
      </w:r>
      <w:r>
        <w:rPr>
          <w:lang w:val="fr-FR"/>
        </w:rPr>
        <w:t>Le Comité de sécurité a noté qu'aucun nouvel instrument d'adhésion n'avait été déposé et qu'en conséquence le nombre de Parties Contractantes restait dix-huit.</w:t>
      </w:r>
    </w:p>
    <w:p w:rsidR="00BE7315" w:rsidRPr="000D2C88" w:rsidRDefault="00BE7315" w:rsidP="00BE7315">
      <w:pPr>
        <w:pStyle w:val="H1G"/>
        <w:rPr>
          <w:lang w:val="fr-CH"/>
        </w:rPr>
      </w:pPr>
      <w:r>
        <w:rPr>
          <w:lang w:val="fr-CH"/>
        </w:rPr>
        <w:tab/>
      </w:r>
      <w:bookmarkStart w:id="10" w:name="_Toc428948867"/>
      <w:r w:rsidRPr="000D2C88">
        <w:rPr>
          <w:lang w:val="fr-CH"/>
        </w:rPr>
        <w:t xml:space="preserve">B. </w:t>
      </w:r>
      <w:r w:rsidRPr="000D2C88">
        <w:rPr>
          <w:lang w:val="fr-CH"/>
        </w:rPr>
        <w:tab/>
        <w:t>Autorisations spéciales, dérogations et équivalences</w:t>
      </w:r>
      <w:bookmarkEnd w:id="10"/>
    </w:p>
    <w:p w:rsidR="00BE7315" w:rsidRPr="000D2C88" w:rsidRDefault="00BE7315" w:rsidP="00BE7315">
      <w:pPr>
        <w:pStyle w:val="H23G"/>
        <w:rPr>
          <w:lang w:val="fr-CH"/>
        </w:rPr>
      </w:pPr>
      <w:r w:rsidRPr="000D2C88">
        <w:rPr>
          <w:lang w:val="fr-CH"/>
        </w:rPr>
        <w:tab/>
      </w:r>
      <w:bookmarkStart w:id="11" w:name="_Toc428948868"/>
      <w:r w:rsidRPr="000D2C88">
        <w:rPr>
          <w:lang w:val="fr-CH"/>
        </w:rPr>
        <w:t>1.</w:t>
      </w:r>
      <w:r w:rsidRPr="000D2C88">
        <w:rPr>
          <w:lang w:val="fr-CH"/>
        </w:rPr>
        <w:tab/>
        <w:t>Accords multilatéraux</w:t>
      </w:r>
      <w:bookmarkEnd w:id="11"/>
    </w:p>
    <w:p w:rsidR="00BE7315" w:rsidRPr="000D2C88" w:rsidRDefault="00BE7315" w:rsidP="00BE7315">
      <w:pPr>
        <w:pStyle w:val="SingleTxtG"/>
        <w:rPr>
          <w:lang w:val="fr-CH"/>
        </w:rPr>
      </w:pPr>
      <w:r>
        <w:rPr>
          <w:lang w:val="fr-CH"/>
        </w:rPr>
        <w:t>7</w:t>
      </w:r>
      <w:r w:rsidRPr="000D2C88">
        <w:rPr>
          <w:lang w:val="fr-CH"/>
        </w:rPr>
        <w:t>.</w:t>
      </w:r>
      <w:r w:rsidRPr="000D2C88">
        <w:rPr>
          <w:lang w:val="fr-CH"/>
        </w:rPr>
        <w:tab/>
        <w:t>Le Comité de sécurité a noté que trois accords multilatéraux (M013, M014 et M015) étaient entrés en vigueur depuis la dernière session. Certaines délégations ont demandé si la Belgique avait l'intention de signer les accords M014 et M015</w:t>
      </w:r>
      <w:r>
        <w:rPr>
          <w:lang w:val="fr-CH"/>
        </w:rPr>
        <w:t xml:space="preserve"> </w:t>
      </w:r>
      <w:r w:rsidRPr="000D2C88">
        <w:rPr>
          <w:lang w:val="fr-CH"/>
        </w:rPr>
        <w:t xml:space="preserve">relatifs à la preuve de stabilité suffisante à l'état intact qui leur paraissaient importants pour la flotte rhénane. Le représentant de la Belgique a indiqué que la compétence en matière d'ADN avait récemment été déléguée aux </w:t>
      </w:r>
      <w:r w:rsidR="00975A25">
        <w:rPr>
          <w:lang w:val="fr-CH"/>
        </w:rPr>
        <w:t xml:space="preserve">trois </w:t>
      </w:r>
      <w:r w:rsidRPr="000D2C88">
        <w:rPr>
          <w:lang w:val="fr-CH"/>
        </w:rPr>
        <w:t xml:space="preserve">régions </w:t>
      </w:r>
      <w:r w:rsidR="00DB7B13">
        <w:rPr>
          <w:lang w:val="fr-CH"/>
        </w:rPr>
        <w:t>de</w:t>
      </w:r>
      <w:r w:rsidRPr="000D2C88">
        <w:rPr>
          <w:lang w:val="fr-CH"/>
        </w:rPr>
        <w:t xml:space="preserve"> </w:t>
      </w:r>
      <w:r w:rsidR="00975A25">
        <w:rPr>
          <w:lang w:val="fr-CH"/>
        </w:rPr>
        <w:t>Belgique.</w:t>
      </w:r>
      <w:r w:rsidR="00975A25" w:rsidRPr="00975A25">
        <w:rPr>
          <w:rFonts w:ascii="Courier New" w:hAnsi="Courier New" w:cs="Courier New"/>
          <w:lang w:val="fr-FR" w:eastAsia="en-GB"/>
        </w:rPr>
        <w:t xml:space="preserve"> </w:t>
      </w:r>
      <w:r w:rsidR="00975A25" w:rsidRPr="00975A25">
        <w:rPr>
          <w:lang w:val="fr-FR"/>
        </w:rPr>
        <w:t xml:space="preserve">La procédure interne de la signature des accords multilatéraux par les </w:t>
      </w:r>
      <w:r w:rsidR="00975A25">
        <w:rPr>
          <w:lang w:val="fr-FR"/>
        </w:rPr>
        <w:t>trois</w:t>
      </w:r>
      <w:r w:rsidR="00975A25" w:rsidRPr="00975A25">
        <w:rPr>
          <w:lang w:val="fr-FR"/>
        </w:rPr>
        <w:t xml:space="preserve"> régions au nom de la Belgique </w:t>
      </w:r>
      <w:r w:rsidR="00DB7B13">
        <w:rPr>
          <w:lang w:val="fr-FR"/>
        </w:rPr>
        <w:t xml:space="preserve">est </w:t>
      </w:r>
      <w:r w:rsidR="00215013">
        <w:rPr>
          <w:lang w:val="fr-FR"/>
        </w:rPr>
        <w:t xml:space="preserve">actuellement </w:t>
      </w:r>
      <w:r w:rsidR="00DB7B13">
        <w:rPr>
          <w:lang w:val="fr-FR"/>
        </w:rPr>
        <w:t>en cours</w:t>
      </w:r>
      <w:r w:rsidR="00975A25" w:rsidRPr="00975A25">
        <w:rPr>
          <w:lang w:val="fr-FR"/>
        </w:rPr>
        <w:t>. Il est prévu que la</w:t>
      </w:r>
      <w:r w:rsidR="006854AE">
        <w:rPr>
          <w:lang w:val="fr-FR"/>
        </w:rPr>
        <w:t>dite</w:t>
      </w:r>
      <w:r w:rsidR="00975A25" w:rsidRPr="00975A25">
        <w:rPr>
          <w:lang w:val="fr-FR"/>
        </w:rPr>
        <w:t xml:space="preserve"> signature </w:t>
      </w:r>
      <w:r w:rsidR="006854AE">
        <w:rPr>
          <w:lang w:val="fr-FR"/>
        </w:rPr>
        <w:t>ait</w:t>
      </w:r>
      <w:r w:rsidR="00975A25" w:rsidRPr="00975A25">
        <w:rPr>
          <w:lang w:val="fr-FR"/>
        </w:rPr>
        <w:t xml:space="preserve"> lieu en </w:t>
      </w:r>
      <w:r w:rsidR="006854AE">
        <w:rPr>
          <w:lang w:val="fr-FR"/>
        </w:rPr>
        <w:t>s</w:t>
      </w:r>
      <w:r w:rsidR="00975A25" w:rsidRPr="00975A25">
        <w:rPr>
          <w:lang w:val="fr-FR"/>
        </w:rPr>
        <w:t>eptembre 2015.</w:t>
      </w:r>
      <w:r w:rsidR="00975A25">
        <w:rPr>
          <w:lang w:val="fr-FR"/>
        </w:rPr>
        <w:t xml:space="preserve"> </w:t>
      </w:r>
      <w:r w:rsidRPr="000D2C88">
        <w:rPr>
          <w:lang w:val="fr-CH"/>
        </w:rPr>
        <w:t>Il a été rappelé qu'en vertu du 1.8.4 du Règlement annexé à l'ADN, chaque Partie contractante doit communiquer au secrétariat de la CEE-ONU la liste des autorités et organismes désignés pour elle, qui sont compétents selon le droit national pour l'application de l'ADN.</w:t>
      </w:r>
    </w:p>
    <w:p w:rsidR="00BE7315" w:rsidRPr="000D2C88" w:rsidRDefault="00BE7315" w:rsidP="00BE7315">
      <w:pPr>
        <w:pStyle w:val="H23G"/>
        <w:rPr>
          <w:lang w:val="fr-CH"/>
        </w:rPr>
      </w:pPr>
      <w:r w:rsidRPr="000D2C88">
        <w:rPr>
          <w:lang w:val="fr-CH"/>
        </w:rPr>
        <w:tab/>
      </w:r>
      <w:bookmarkStart w:id="12" w:name="_Toc428948869"/>
      <w:r w:rsidRPr="000D2C88">
        <w:rPr>
          <w:lang w:val="fr-CH"/>
        </w:rPr>
        <w:t>2.</w:t>
      </w:r>
      <w:r w:rsidRPr="000D2C88">
        <w:rPr>
          <w:lang w:val="fr-CH"/>
        </w:rPr>
        <w:tab/>
        <w:t xml:space="preserve">Utilisation de GNL comme carburant pour le bateau-citerne </w:t>
      </w:r>
      <w:r w:rsidR="00DF2E7E">
        <w:rPr>
          <w:lang w:val="fr-CH"/>
        </w:rPr>
        <w:t>«</w:t>
      </w:r>
      <w:r w:rsidRPr="000D2C88">
        <w:rPr>
          <w:lang w:val="fr-CH"/>
        </w:rPr>
        <w:t>Argos-GL</w:t>
      </w:r>
      <w:r w:rsidR="00DF2E7E">
        <w:rPr>
          <w:lang w:val="fr-CH"/>
        </w:rPr>
        <w:t>»</w:t>
      </w:r>
      <w:bookmarkEnd w:id="12"/>
    </w:p>
    <w:p w:rsidR="00BE7315" w:rsidRPr="000D2C88" w:rsidRDefault="00BE7315" w:rsidP="00BE7315">
      <w:pPr>
        <w:pStyle w:val="SingleTxtG"/>
        <w:rPr>
          <w:lang w:val="fr-CH"/>
        </w:rPr>
      </w:pPr>
      <w:r w:rsidRPr="000D2C88">
        <w:rPr>
          <w:i/>
          <w:lang w:val="fr-FR"/>
        </w:rPr>
        <w:t>Document informel</w:t>
      </w:r>
      <w:r w:rsidRPr="000D2C88">
        <w:rPr>
          <w:lang w:val="fr-FR"/>
        </w:rPr>
        <w:t>:</w:t>
      </w:r>
      <w:r w:rsidRPr="000D2C88">
        <w:rPr>
          <w:lang w:val="fr-FR"/>
        </w:rPr>
        <w:tab/>
      </w:r>
      <w:r w:rsidRPr="000D2C88">
        <w:rPr>
          <w:lang w:val="fr-FR"/>
        </w:rPr>
        <w:tab/>
        <w:t>INF.4 (Pays-Bas)</w:t>
      </w:r>
    </w:p>
    <w:p w:rsidR="00BE7315" w:rsidRDefault="00BE7315" w:rsidP="00BE7315">
      <w:pPr>
        <w:pStyle w:val="SingleTxtG"/>
        <w:rPr>
          <w:lang w:val="fr-CH"/>
        </w:rPr>
      </w:pPr>
      <w:r>
        <w:rPr>
          <w:lang w:val="fr-CH"/>
        </w:rPr>
        <w:t>8</w:t>
      </w:r>
      <w:r w:rsidRPr="000D2C88">
        <w:rPr>
          <w:lang w:val="fr-CH"/>
        </w:rPr>
        <w:t>.</w:t>
      </w:r>
      <w:r w:rsidRPr="000D2C88">
        <w:rPr>
          <w:lang w:val="fr-CH"/>
        </w:rPr>
        <w:tab/>
        <w:t xml:space="preserve">Le Comité de sécurité a recommandé au Comité d'administration d'adopter une décision de dérogation pour le bateau </w:t>
      </w:r>
      <w:r w:rsidR="00DF2E7E">
        <w:rPr>
          <w:lang w:val="fr-CH"/>
        </w:rPr>
        <w:t>«</w:t>
      </w:r>
      <w:r w:rsidRPr="000D2C88">
        <w:rPr>
          <w:lang w:val="fr-CH"/>
        </w:rPr>
        <w:t>Argos-GL</w:t>
      </w:r>
      <w:r w:rsidR="00DF2E7E">
        <w:rPr>
          <w:lang w:val="fr-CH"/>
        </w:rPr>
        <w:t>»</w:t>
      </w:r>
      <w:r w:rsidRPr="000D2C88">
        <w:rPr>
          <w:lang w:val="fr-CH"/>
        </w:rPr>
        <w:t xml:space="preserve"> telle que présentée en annexe 1 du document informel INF.4.</w:t>
      </w:r>
    </w:p>
    <w:p w:rsidR="00BE7315" w:rsidRPr="000D2C88" w:rsidRDefault="00BE7315" w:rsidP="00BE7315">
      <w:pPr>
        <w:pStyle w:val="H23G"/>
        <w:rPr>
          <w:lang w:val="fr-CH"/>
        </w:rPr>
      </w:pPr>
      <w:r>
        <w:rPr>
          <w:lang w:val="fr-CH"/>
        </w:rPr>
        <w:lastRenderedPageBreak/>
        <w:tab/>
      </w:r>
      <w:bookmarkStart w:id="13" w:name="_Toc428948870"/>
      <w:r w:rsidRPr="000D2C88">
        <w:rPr>
          <w:lang w:val="fr-CH"/>
        </w:rPr>
        <w:t>3.</w:t>
      </w:r>
      <w:r w:rsidRPr="000D2C88">
        <w:rPr>
          <w:lang w:val="fr-CH"/>
        </w:rPr>
        <w:tab/>
        <w:t xml:space="preserve">Utilisation de citernes à membranes pour le transport de GNL sur le bateau-citerne </w:t>
      </w:r>
      <w:r w:rsidR="00DF2E7E">
        <w:rPr>
          <w:lang w:val="fr-CH"/>
        </w:rPr>
        <w:t>«</w:t>
      </w:r>
      <w:r w:rsidRPr="000D2C88">
        <w:rPr>
          <w:lang w:val="fr-CH"/>
        </w:rPr>
        <w:t>Argos-GL</w:t>
      </w:r>
      <w:r w:rsidR="00DF2E7E">
        <w:rPr>
          <w:lang w:val="fr-CH"/>
        </w:rPr>
        <w:t>»</w:t>
      </w:r>
      <w:bookmarkEnd w:id="13"/>
    </w:p>
    <w:p w:rsidR="00BE7315" w:rsidRPr="000D2C88" w:rsidRDefault="00BE7315" w:rsidP="00BE7315">
      <w:pPr>
        <w:pStyle w:val="SingleTxtG"/>
        <w:rPr>
          <w:lang w:val="fr-CH"/>
        </w:rPr>
      </w:pPr>
      <w:r w:rsidRPr="000D2C88">
        <w:rPr>
          <w:i/>
          <w:lang w:val="fr-CH"/>
        </w:rPr>
        <w:t>Documents informels:</w:t>
      </w:r>
      <w:r w:rsidRPr="000D2C88">
        <w:rPr>
          <w:lang w:val="fr-CH"/>
        </w:rPr>
        <w:tab/>
        <w:t>INF.6 et INF.6/Rev.1 (Pays-Bas)</w:t>
      </w:r>
    </w:p>
    <w:p w:rsidR="00BE7315" w:rsidRPr="000D2C88" w:rsidRDefault="00BE7315" w:rsidP="00BE7315">
      <w:pPr>
        <w:pStyle w:val="SingleTxtG"/>
        <w:rPr>
          <w:lang w:val="fr-CH"/>
        </w:rPr>
      </w:pPr>
      <w:r>
        <w:rPr>
          <w:lang w:val="fr-CH"/>
        </w:rPr>
        <w:t>9</w:t>
      </w:r>
      <w:r w:rsidRPr="000D2C88">
        <w:rPr>
          <w:lang w:val="fr-CH"/>
        </w:rPr>
        <w:t>.</w:t>
      </w:r>
      <w:r w:rsidRPr="000D2C88">
        <w:rPr>
          <w:lang w:val="fr-CH"/>
        </w:rPr>
        <w:tab/>
        <w:t>Cette demande de dérogation a fait l'objet de longs débats. Certaines délégations estimaient que la demande n'était pas complète d'une part parce qu'elle ne précisait pas clairement s'il s'agissait d'une demande de dérogation par rapport à des bateaux de type G ou par rapport aux bateaux de type C, d'autre part parce qu'elle ne mentionnait pas les mesures qui assurent l'équivalence en matière de sécurité. D'autres délégations appuyaient cette demande sans réserve, la technique des cuves à membrane ayant déjà fait ses preuves en matière de sécurité depuis de longues années en transport maritime, et ce pour des quantités transportées bien plus importantes.</w:t>
      </w:r>
    </w:p>
    <w:p w:rsidR="00BE7315" w:rsidRPr="000D2C88" w:rsidRDefault="00BE7315" w:rsidP="00BE7315">
      <w:pPr>
        <w:pStyle w:val="SingleTxtG"/>
        <w:rPr>
          <w:lang w:val="fr-CH"/>
        </w:rPr>
      </w:pPr>
      <w:r>
        <w:rPr>
          <w:lang w:val="fr-CH"/>
        </w:rPr>
        <w:t>10</w:t>
      </w:r>
      <w:r w:rsidRPr="000D2C88">
        <w:rPr>
          <w:lang w:val="fr-CH"/>
        </w:rPr>
        <w:t>.</w:t>
      </w:r>
      <w:r w:rsidRPr="000D2C88">
        <w:rPr>
          <w:lang w:val="fr-CH"/>
        </w:rPr>
        <w:tab/>
        <w:t>Finalement, le représentant des Pays-Bas a rédigé une nouvelle demande de dérogation (INF.6/Rev.1) pour tenir compte des remarques, qui a été acceptée par consensus avec quelques corrections éditoriales. Le Comité de sécurité recommande au Comité d'administration d'accepter cette dérogation.</w:t>
      </w:r>
    </w:p>
    <w:p w:rsidR="00BE7315" w:rsidRPr="000D2C88" w:rsidRDefault="00BE7315" w:rsidP="00BE7315">
      <w:pPr>
        <w:pStyle w:val="SingleTxtG"/>
        <w:rPr>
          <w:lang w:val="fr-CH"/>
        </w:rPr>
      </w:pPr>
      <w:r>
        <w:rPr>
          <w:lang w:val="fr-CH"/>
        </w:rPr>
        <w:t>11</w:t>
      </w:r>
      <w:r w:rsidRPr="000D2C88">
        <w:rPr>
          <w:lang w:val="fr-CH"/>
        </w:rPr>
        <w:t>.</w:t>
      </w:r>
      <w:r w:rsidRPr="000D2C88">
        <w:rPr>
          <w:lang w:val="fr-CH"/>
        </w:rPr>
        <w:tab/>
        <w:t xml:space="preserve">Il a été souligné que l'annexe </w:t>
      </w:r>
      <w:r>
        <w:rPr>
          <w:lang w:val="fr-CH"/>
        </w:rPr>
        <w:t>2</w:t>
      </w:r>
      <w:r w:rsidRPr="000D2C88">
        <w:rPr>
          <w:lang w:val="fr-CH"/>
        </w:rPr>
        <w:t xml:space="preserve"> du document INF.6 fait partie intégrante de la dérogation, mais qu'une erreur à l'étape 13 de la page 26/27 du rapport </w:t>
      </w:r>
      <w:r w:rsidR="00DF2E7E">
        <w:rPr>
          <w:lang w:val="fr-CH"/>
        </w:rPr>
        <w:t>«</w:t>
      </w:r>
      <w:r w:rsidRPr="000D2C88">
        <w:rPr>
          <w:lang w:val="fr-CH"/>
        </w:rPr>
        <w:t>Damen</w:t>
      </w:r>
      <w:r w:rsidR="00DF2E7E">
        <w:rPr>
          <w:lang w:val="fr-CH"/>
        </w:rPr>
        <w:t>»</w:t>
      </w:r>
      <w:r w:rsidRPr="000D2C88">
        <w:rPr>
          <w:lang w:val="fr-CH"/>
        </w:rPr>
        <w:t xml:space="preserve"> doit être corrigée (Remplacer </w:t>
      </w:r>
      <w:r w:rsidR="00DF2E7E">
        <w:rPr>
          <w:lang w:val="fr-CH"/>
        </w:rPr>
        <w:t>«</w:t>
      </w:r>
      <w:r w:rsidRPr="000D2C88">
        <w:rPr>
          <w:lang w:val="fr-CH"/>
        </w:rPr>
        <w:t>760 m</w:t>
      </w:r>
      <w:r w:rsidRPr="000D2C88">
        <w:rPr>
          <w:vertAlign w:val="superscript"/>
          <w:lang w:val="fr-CH"/>
        </w:rPr>
        <w:t>3</w:t>
      </w:r>
      <w:r w:rsidR="00DF2E7E">
        <w:rPr>
          <w:lang w:val="fr-CH"/>
        </w:rPr>
        <w:t>»</w:t>
      </w:r>
      <w:r w:rsidRPr="000D2C88">
        <w:rPr>
          <w:lang w:val="fr-CH"/>
        </w:rPr>
        <w:t xml:space="preserve"> par </w:t>
      </w:r>
      <w:r w:rsidR="00DF2E7E">
        <w:rPr>
          <w:lang w:val="fr-CH"/>
        </w:rPr>
        <w:t>«</w:t>
      </w:r>
      <w:r w:rsidRPr="000D2C88">
        <w:rPr>
          <w:lang w:val="fr-CH"/>
        </w:rPr>
        <w:t>935 m</w:t>
      </w:r>
      <w:r w:rsidRPr="000D2C88">
        <w:rPr>
          <w:vertAlign w:val="superscript"/>
          <w:lang w:val="fr-CH"/>
        </w:rPr>
        <w:t>3</w:t>
      </w:r>
      <w:r w:rsidR="00DF2E7E">
        <w:rPr>
          <w:lang w:val="fr-CH"/>
        </w:rPr>
        <w:t>»</w:t>
      </w:r>
      <w:r w:rsidRPr="000D2C88">
        <w:rPr>
          <w:lang w:val="fr-CH"/>
        </w:rPr>
        <w:t>).</w:t>
      </w:r>
    </w:p>
    <w:p w:rsidR="00BE7315" w:rsidRPr="000D2C88" w:rsidRDefault="00BE7315" w:rsidP="00BE7315">
      <w:pPr>
        <w:pStyle w:val="SingleTxtG"/>
        <w:rPr>
          <w:lang w:val="fr-CH"/>
        </w:rPr>
      </w:pPr>
      <w:r>
        <w:rPr>
          <w:lang w:val="fr-CH"/>
        </w:rPr>
        <w:t>12</w:t>
      </w:r>
      <w:r w:rsidRPr="000D2C88">
        <w:rPr>
          <w:lang w:val="fr-CH"/>
        </w:rPr>
        <w:t>.</w:t>
      </w:r>
      <w:r w:rsidRPr="000D2C88">
        <w:rPr>
          <w:lang w:val="fr-CH"/>
        </w:rPr>
        <w:tab/>
        <w:t>Le représentant des Pays-Bas a indiqué que les conditions prévoient que le bateau ne se déplace que dans la zone Amsterdam-Rotterdam-Anvers mais qu'il demandera éventuellement plus tard d'élargir la zone de navigation.</w:t>
      </w:r>
    </w:p>
    <w:p w:rsidR="00BE7315" w:rsidRDefault="00BE7315" w:rsidP="00BE7315">
      <w:pPr>
        <w:pStyle w:val="H1G"/>
        <w:rPr>
          <w:lang w:val="fr-FR"/>
        </w:rPr>
      </w:pPr>
      <w:r>
        <w:rPr>
          <w:lang w:val="fr-FR"/>
        </w:rPr>
        <w:tab/>
      </w:r>
      <w:bookmarkStart w:id="14" w:name="_Toc428948871"/>
      <w:r>
        <w:rPr>
          <w:lang w:val="fr-FR"/>
        </w:rPr>
        <w:t>C.</w:t>
      </w:r>
      <w:r>
        <w:rPr>
          <w:lang w:val="fr-FR"/>
        </w:rPr>
        <w:tab/>
        <w:t>Interprétations du Règlement annexé à l'ADN</w:t>
      </w:r>
      <w:bookmarkEnd w:id="14"/>
    </w:p>
    <w:p w:rsidR="00BE7315" w:rsidRDefault="00BE7315" w:rsidP="00BE7315">
      <w:pPr>
        <w:pStyle w:val="H23G"/>
        <w:rPr>
          <w:lang w:val="fr-FR"/>
        </w:rPr>
      </w:pPr>
      <w:r>
        <w:rPr>
          <w:lang w:val="fr-FR"/>
        </w:rPr>
        <w:tab/>
      </w:r>
      <w:bookmarkStart w:id="15" w:name="_Toc428948872"/>
      <w:r>
        <w:rPr>
          <w:lang w:val="fr-FR"/>
        </w:rPr>
        <w:t>1.</w:t>
      </w:r>
      <w:r>
        <w:rPr>
          <w:lang w:val="fr-FR"/>
        </w:rPr>
        <w:tab/>
        <w:t xml:space="preserve">Obligations du remplisseur et du déchargeur 1.4.3.3 </w:t>
      </w:r>
      <w:r w:rsidR="00C12459">
        <w:rPr>
          <w:lang w:val="fr-FR"/>
        </w:rPr>
        <w:t>s</w:t>
      </w:r>
      <w:r>
        <w:rPr>
          <w:lang w:val="fr-FR"/>
        </w:rPr>
        <w:t>) et 1.4.3.7.1 j)</w:t>
      </w:r>
      <w:bookmarkEnd w:id="15"/>
    </w:p>
    <w:p w:rsidR="00BE7315" w:rsidRPr="004869F9" w:rsidRDefault="00BE7315" w:rsidP="00BE7315">
      <w:pPr>
        <w:pStyle w:val="SingleTxtG"/>
        <w:rPr>
          <w:lang w:val="fr-FR"/>
        </w:rPr>
      </w:pPr>
      <w:r>
        <w:rPr>
          <w:i/>
          <w:lang w:val="fr-FR"/>
        </w:rPr>
        <w:t xml:space="preserve">Document: </w:t>
      </w:r>
      <w:r>
        <w:rPr>
          <w:i/>
          <w:lang w:val="fr-FR"/>
        </w:rPr>
        <w:tab/>
      </w:r>
      <w:r>
        <w:rPr>
          <w:i/>
          <w:lang w:val="fr-FR"/>
        </w:rPr>
        <w:tab/>
      </w:r>
      <w:r>
        <w:rPr>
          <w:i/>
          <w:lang w:val="fr-FR"/>
        </w:rPr>
        <w:tab/>
      </w:r>
      <w:r w:rsidRPr="004869F9">
        <w:rPr>
          <w:lang w:val="fr-FR"/>
        </w:rPr>
        <w:t>ECE/TRANSWP.15/AC.2/2015/11</w:t>
      </w:r>
      <w:r>
        <w:rPr>
          <w:lang w:val="fr-FR"/>
        </w:rPr>
        <w:t xml:space="preserve"> (Allemagne)</w:t>
      </w:r>
    </w:p>
    <w:p w:rsidR="00BE7315" w:rsidRDefault="00BE7315" w:rsidP="00BE7315">
      <w:pPr>
        <w:pStyle w:val="SingleTxtG"/>
        <w:rPr>
          <w:lang w:val="fr-FR"/>
        </w:rPr>
      </w:pPr>
      <w:r>
        <w:rPr>
          <w:i/>
          <w:lang w:val="fr-FR"/>
        </w:rPr>
        <w:t>Document informel</w:t>
      </w:r>
      <w:r w:rsidRPr="00C7790C">
        <w:rPr>
          <w:lang w:val="fr-FR"/>
        </w:rPr>
        <w:t>:</w:t>
      </w:r>
      <w:r w:rsidRPr="00C7790C">
        <w:rPr>
          <w:lang w:val="fr-FR"/>
        </w:rPr>
        <w:tab/>
      </w:r>
      <w:r w:rsidRPr="00C7790C">
        <w:rPr>
          <w:lang w:val="fr-FR"/>
        </w:rPr>
        <w:tab/>
      </w:r>
      <w:r>
        <w:rPr>
          <w:lang w:val="fr-FR"/>
        </w:rPr>
        <w:t>INF.10 (Allemagne)</w:t>
      </w:r>
    </w:p>
    <w:p w:rsidR="00BE7315" w:rsidRDefault="00BE7315" w:rsidP="00BE7315">
      <w:pPr>
        <w:pStyle w:val="SingleTxtG"/>
        <w:rPr>
          <w:lang w:val="fr-FR"/>
        </w:rPr>
      </w:pPr>
      <w:r>
        <w:rPr>
          <w:lang w:val="fr-FR"/>
        </w:rPr>
        <w:t>13.</w:t>
      </w:r>
      <w:r>
        <w:rPr>
          <w:lang w:val="fr-FR"/>
        </w:rPr>
        <w:tab/>
        <w:t>Le Comité de sécurité a reconnu que les sections contenant des dispositions sur les obligations du remplisseur et du déchargeur d'un bateau-citerne contiennent plusieurs incohérences qu'il faudrait traiter dans un document officiel à la prochaine session.</w:t>
      </w:r>
    </w:p>
    <w:p w:rsidR="00BE7315" w:rsidRPr="004869F9" w:rsidRDefault="00BE7315" w:rsidP="00BE7315">
      <w:pPr>
        <w:pStyle w:val="SingleTxtG"/>
        <w:rPr>
          <w:lang w:val="fr-CH"/>
        </w:rPr>
      </w:pPr>
      <w:r>
        <w:rPr>
          <w:lang w:val="fr-FR"/>
        </w:rPr>
        <w:t>14.</w:t>
      </w:r>
      <w:r>
        <w:rPr>
          <w:lang w:val="fr-FR"/>
        </w:rPr>
        <w:tab/>
        <w:t xml:space="preserve">L'Allemagne préparerait une proposition d'amendement sur la base du document informel INF.10 y inclus des </w:t>
      </w:r>
      <w:r w:rsidRPr="004869F9">
        <w:rPr>
          <w:lang w:val="fr-CH"/>
        </w:rPr>
        <w:t>modifica</w:t>
      </w:r>
      <w:r>
        <w:rPr>
          <w:lang w:val="fr-CH"/>
        </w:rPr>
        <w:t>tions de conséquences.</w:t>
      </w:r>
    </w:p>
    <w:p w:rsidR="00BE7315" w:rsidRPr="004869F9" w:rsidRDefault="00BE7315" w:rsidP="00BE7315">
      <w:pPr>
        <w:pStyle w:val="H23G"/>
        <w:rPr>
          <w:lang w:val="fr-CH"/>
        </w:rPr>
      </w:pPr>
      <w:r w:rsidRPr="004869F9">
        <w:rPr>
          <w:lang w:val="fr-CH"/>
        </w:rPr>
        <w:tab/>
      </w:r>
      <w:bookmarkStart w:id="16" w:name="_Toc428948873"/>
      <w:r w:rsidRPr="004869F9">
        <w:rPr>
          <w:lang w:val="fr-CH"/>
        </w:rPr>
        <w:t>2.</w:t>
      </w:r>
      <w:r w:rsidRPr="004869F9">
        <w:rPr>
          <w:lang w:val="fr-CH"/>
        </w:rPr>
        <w:tab/>
        <w:t xml:space="preserve">Exigences techniques applicables aux détecteurs de gaz inflammables et </w:t>
      </w:r>
      <w:r w:rsidRPr="0078602C">
        <w:rPr>
          <w:lang w:val="fr-CH"/>
        </w:rPr>
        <w:t>toximètres</w:t>
      </w:r>
      <w:r w:rsidRPr="004869F9">
        <w:rPr>
          <w:lang w:val="fr-CH"/>
        </w:rPr>
        <w:t>, 1.2.1</w:t>
      </w:r>
      <w:bookmarkEnd w:id="16"/>
    </w:p>
    <w:p w:rsidR="00BE7315" w:rsidRPr="004869F9" w:rsidRDefault="00BE7315" w:rsidP="00BE7315">
      <w:pPr>
        <w:pStyle w:val="SingleTxtG"/>
        <w:rPr>
          <w:lang w:val="fr-CH"/>
        </w:rPr>
      </w:pPr>
      <w:r w:rsidRPr="004869F9">
        <w:rPr>
          <w:i/>
          <w:lang w:val="fr-CH"/>
        </w:rPr>
        <w:t xml:space="preserve">Document: </w:t>
      </w:r>
      <w:r w:rsidRPr="004869F9">
        <w:rPr>
          <w:i/>
          <w:lang w:val="fr-CH"/>
        </w:rPr>
        <w:tab/>
      </w:r>
      <w:r w:rsidRPr="004869F9">
        <w:rPr>
          <w:i/>
          <w:lang w:val="fr-CH"/>
        </w:rPr>
        <w:tab/>
      </w:r>
      <w:r w:rsidRPr="004869F9">
        <w:rPr>
          <w:i/>
          <w:lang w:val="fr-CH"/>
        </w:rPr>
        <w:tab/>
      </w:r>
      <w:r w:rsidRPr="004869F9">
        <w:rPr>
          <w:lang w:val="fr-CH"/>
        </w:rPr>
        <w:t>ECE/TRANSWP.15/AC.2/2015/13 (Allemagne)</w:t>
      </w:r>
    </w:p>
    <w:p w:rsidR="00BE7315" w:rsidRDefault="00BE7315" w:rsidP="00BE7315">
      <w:pPr>
        <w:pStyle w:val="SingleTxtG"/>
        <w:rPr>
          <w:lang w:val="fr-CH"/>
        </w:rPr>
      </w:pPr>
      <w:r>
        <w:rPr>
          <w:lang w:val="fr-CH"/>
        </w:rPr>
        <w:t>15</w:t>
      </w:r>
      <w:r w:rsidRPr="004869F9">
        <w:rPr>
          <w:lang w:val="fr-CH"/>
        </w:rPr>
        <w:t>.</w:t>
      </w:r>
      <w:r w:rsidRPr="004869F9">
        <w:rPr>
          <w:lang w:val="fr-CH"/>
        </w:rPr>
        <w:tab/>
        <w:t>Le Comité de sécurité était d'avis qu'il convenait d'utiliser les norm</w:t>
      </w:r>
      <w:r>
        <w:rPr>
          <w:lang w:val="fr-CH"/>
        </w:rPr>
        <w:t>e</w:t>
      </w:r>
      <w:r w:rsidRPr="004869F9">
        <w:rPr>
          <w:lang w:val="fr-CH"/>
        </w:rPr>
        <w:t>s disponibles, m</w:t>
      </w:r>
      <w:r>
        <w:rPr>
          <w:lang w:val="fr-CH"/>
        </w:rPr>
        <w:t>ê</w:t>
      </w:r>
      <w:r w:rsidRPr="004869F9">
        <w:rPr>
          <w:lang w:val="fr-CH"/>
        </w:rPr>
        <w:t xml:space="preserve">me celles </w:t>
      </w:r>
      <w:r>
        <w:rPr>
          <w:lang w:val="fr-CH"/>
        </w:rPr>
        <w:t>utilisée</w:t>
      </w:r>
      <w:r w:rsidRPr="004869F9">
        <w:rPr>
          <w:lang w:val="fr-CH"/>
        </w:rPr>
        <w:t xml:space="preserve">s </w:t>
      </w:r>
      <w:r>
        <w:rPr>
          <w:lang w:val="fr-CH"/>
        </w:rPr>
        <w:t xml:space="preserve">pour le transport maritime, auxquelles des références pourraient être introduites. La question de savoir si l'utilisation de ces normes devraient être rendue obligatoire pour les appareils portatifs pourrait être discutée ultérieurement. Le groupe de travail informel </w:t>
      </w:r>
      <w:r w:rsidR="00444917">
        <w:rPr>
          <w:lang w:val="fr-CH"/>
        </w:rPr>
        <w:t xml:space="preserve">sur la protection contre les explosions à bord des bateaux-citernes </w:t>
      </w:r>
      <w:r>
        <w:rPr>
          <w:lang w:val="fr-CH"/>
        </w:rPr>
        <w:t>a été prié d'étudier la question, d'identifier des normes applicables et d'évaluer l'impact de</w:t>
      </w:r>
      <w:r w:rsidR="00444917">
        <w:rPr>
          <w:lang w:val="fr-CH"/>
        </w:rPr>
        <w:t>s</w:t>
      </w:r>
      <w:r>
        <w:rPr>
          <w:lang w:val="fr-CH"/>
        </w:rPr>
        <w:t xml:space="preserve"> références à ces normes.</w:t>
      </w:r>
    </w:p>
    <w:p w:rsidR="00BE7315" w:rsidRDefault="00BE7315" w:rsidP="0076383B">
      <w:pPr>
        <w:pStyle w:val="H23G"/>
        <w:rPr>
          <w:lang w:val="fr-FR"/>
        </w:rPr>
      </w:pPr>
      <w:r>
        <w:rPr>
          <w:lang w:val="fr-FR"/>
        </w:rPr>
        <w:lastRenderedPageBreak/>
        <w:tab/>
      </w:r>
      <w:bookmarkStart w:id="17" w:name="_Toc428948874"/>
      <w:r>
        <w:rPr>
          <w:lang w:val="fr-FR"/>
        </w:rPr>
        <w:t>3.</w:t>
      </w:r>
      <w:r>
        <w:rPr>
          <w:lang w:val="fr-FR"/>
        </w:rPr>
        <w:tab/>
        <w:t>Interprétations nationales aux Pays-Bas</w:t>
      </w:r>
      <w:bookmarkEnd w:id="17"/>
    </w:p>
    <w:p w:rsidR="00BE7315" w:rsidRDefault="00BE7315" w:rsidP="0076383B">
      <w:pPr>
        <w:pStyle w:val="SingleTxtG"/>
        <w:keepNext/>
        <w:keepLines/>
        <w:spacing w:after="0"/>
        <w:rPr>
          <w:lang w:val="fr-FR"/>
        </w:rPr>
      </w:pPr>
      <w:r>
        <w:rPr>
          <w:i/>
          <w:lang w:val="fr-FR"/>
        </w:rPr>
        <w:t xml:space="preserve">Documents: </w:t>
      </w:r>
      <w:r>
        <w:rPr>
          <w:i/>
          <w:lang w:val="fr-FR"/>
        </w:rPr>
        <w:tab/>
      </w:r>
      <w:r>
        <w:rPr>
          <w:i/>
          <w:lang w:val="fr-FR"/>
        </w:rPr>
        <w:tab/>
      </w:r>
      <w:r>
        <w:rPr>
          <w:i/>
          <w:lang w:val="fr-FR"/>
        </w:rPr>
        <w:tab/>
      </w:r>
      <w:r>
        <w:rPr>
          <w:lang w:val="fr-FR"/>
        </w:rPr>
        <w:t>ECE/TRANSWP.15/AC.2/2015/18 (Pay</w:t>
      </w:r>
      <w:r w:rsidR="00D91EAF">
        <w:rPr>
          <w:lang w:val="fr-FR"/>
        </w:rPr>
        <w:t>s</w:t>
      </w:r>
      <w:r>
        <w:rPr>
          <w:lang w:val="fr-FR"/>
        </w:rPr>
        <w:t>-Bas)</w:t>
      </w:r>
    </w:p>
    <w:p w:rsidR="00BE7315" w:rsidRPr="008A79AE" w:rsidRDefault="00BE7315" w:rsidP="0076383B">
      <w:pPr>
        <w:pStyle w:val="SingleTxtG"/>
        <w:keepNext/>
        <w:keepLines/>
        <w:rPr>
          <w:lang w:val="fr-FR"/>
        </w:rPr>
      </w:pPr>
      <w:r>
        <w:rPr>
          <w:i/>
          <w:lang w:val="fr-FR"/>
        </w:rPr>
        <w:tab/>
      </w:r>
      <w:r>
        <w:rPr>
          <w:i/>
          <w:lang w:val="fr-FR"/>
        </w:rPr>
        <w:tab/>
      </w:r>
      <w:r>
        <w:rPr>
          <w:i/>
          <w:lang w:val="fr-FR"/>
        </w:rPr>
        <w:tab/>
      </w:r>
      <w:r>
        <w:rPr>
          <w:i/>
          <w:lang w:val="fr-FR"/>
        </w:rPr>
        <w:tab/>
      </w:r>
      <w:r>
        <w:rPr>
          <w:lang w:val="fr-FR"/>
        </w:rPr>
        <w:t>ECE/TRANSWP.15/AC.2/2015/32 (Allemagne)</w:t>
      </w:r>
    </w:p>
    <w:p w:rsidR="00BE7315" w:rsidRDefault="00BE7315" w:rsidP="0076383B">
      <w:pPr>
        <w:pStyle w:val="SingleTxtG"/>
        <w:keepNext/>
        <w:keepLines/>
        <w:rPr>
          <w:lang w:val="fr-FR"/>
        </w:rPr>
      </w:pPr>
      <w:r>
        <w:rPr>
          <w:lang w:val="fr-FR"/>
        </w:rPr>
        <w:t>16.</w:t>
      </w:r>
      <w:r>
        <w:rPr>
          <w:lang w:val="fr-FR"/>
        </w:rPr>
        <w:tab/>
        <w:t>Le Comité de sécurité a accepté l'interprétation des Pays-Bas concernant le 7.2.4.25.5 (Conduites de retour de vapeur). Il a été également mentionné que le processus de dégazage devrait concerner à la fois les tuyauteries et les installations à terre. L'interprétation n'est pas applicable dans le cas des bateaux qui disposent d'un certificat de dégazage ou des bateaux ouverts.</w:t>
      </w:r>
    </w:p>
    <w:p w:rsidR="00BE7315" w:rsidRDefault="00BE7315" w:rsidP="00BE7315">
      <w:pPr>
        <w:pStyle w:val="SingleTxtG"/>
        <w:rPr>
          <w:lang w:val="fr-FR"/>
        </w:rPr>
      </w:pPr>
      <w:r>
        <w:rPr>
          <w:lang w:val="fr-FR"/>
        </w:rPr>
        <w:t>17.</w:t>
      </w:r>
      <w:r>
        <w:rPr>
          <w:lang w:val="fr-FR"/>
        </w:rPr>
        <w:tab/>
        <w:t>Le Comité de sécurité a estimé que les interprétations devraient en principe être reflétées dans le texte du Règlement par le biais d'amendements, et les représentants de la France et des Pays-Bas soumettront une proposition à cet effet dans ce cas précis.</w:t>
      </w:r>
    </w:p>
    <w:p w:rsidR="00BE7315" w:rsidRDefault="00BE7315" w:rsidP="00BE7315">
      <w:pPr>
        <w:pStyle w:val="SingleTxtG"/>
        <w:rPr>
          <w:lang w:val="fr-FR"/>
        </w:rPr>
      </w:pPr>
      <w:r>
        <w:rPr>
          <w:lang w:val="fr-FR"/>
        </w:rPr>
        <w:t>18.</w:t>
      </w:r>
      <w:r>
        <w:rPr>
          <w:lang w:val="fr-FR"/>
        </w:rPr>
        <w:tab/>
        <w:t>L'interprétation relative à la surveillance des opérations de chargement et de déchargement (8.6.3, question 10) a également été adoptée, mais dans ce cas le Comité de sécurité a estimé qu'il n'y avait pas lieu de modifier le texte du Règlement. La modification du 1.4.3.3 proposé par l'Allemagne en rapport avec la surveillance, a été adoptée (voir annexe I).</w:t>
      </w:r>
    </w:p>
    <w:p w:rsidR="00BE7315" w:rsidRDefault="00BE7315" w:rsidP="00BE7315">
      <w:pPr>
        <w:pStyle w:val="SingleTxtG"/>
        <w:rPr>
          <w:lang w:val="fr-FR"/>
        </w:rPr>
      </w:pPr>
      <w:r>
        <w:rPr>
          <w:lang w:val="fr-FR"/>
        </w:rPr>
        <w:t>19.</w:t>
      </w:r>
      <w:r>
        <w:rPr>
          <w:lang w:val="fr-FR"/>
        </w:rPr>
        <w:tab/>
        <w:t>Les interprétations des Pays-Bas relatives aux soupapes de dépression et de surpression n'ont pas été entérinées par le Comité de sécurité. Les Pays-Bas retireront ces interprétations nationales et soumettront une proposition d'amendement aux textes actuels concernés à la prochaine session.</w:t>
      </w:r>
    </w:p>
    <w:p w:rsidR="00BE7315" w:rsidRDefault="00BE7315" w:rsidP="00BE7315">
      <w:pPr>
        <w:pStyle w:val="H23G"/>
        <w:rPr>
          <w:lang w:val="fr-FR"/>
        </w:rPr>
      </w:pPr>
      <w:r>
        <w:rPr>
          <w:lang w:val="fr-FR"/>
        </w:rPr>
        <w:tab/>
      </w:r>
      <w:bookmarkStart w:id="18" w:name="_Toc428948875"/>
      <w:r>
        <w:rPr>
          <w:lang w:val="fr-FR"/>
        </w:rPr>
        <w:t>4.</w:t>
      </w:r>
      <w:r>
        <w:rPr>
          <w:lang w:val="fr-FR"/>
        </w:rPr>
        <w:tab/>
        <w:t>Cofferdams aménagés dans les bateaux-citernes de type G</w:t>
      </w:r>
      <w:bookmarkEnd w:id="18"/>
    </w:p>
    <w:p w:rsidR="00BE7315" w:rsidRDefault="00BE7315" w:rsidP="00BE7315">
      <w:pPr>
        <w:pStyle w:val="SingleTxtG"/>
        <w:ind w:left="3402" w:hanging="2268"/>
        <w:rPr>
          <w:lang w:val="fr-FR"/>
        </w:rPr>
      </w:pPr>
      <w:r>
        <w:rPr>
          <w:i/>
          <w:lang w:val="fr-FR"/>
        </w:rPr>
        <w:t xml:space="preserve">Document: </w:t>
      </w:r>
      <w:r>
        <w:rPr>
          <w:i/>
          <w:lang w:val="fr-FR"/>
        </w:rPr>
        <w:tab/>
      </w:r>
      <w:r>
        <w:rPr>
          <w:i/>
          <w:lang w:val="fr-FR"/>
        </w:rPr>
        <w:tab/>
      </w:r>
      <w:r>
        <w:rPr>
          <w:lang w:val="fr-FR"/>
        </w:rPr>
        <w:t>ECE/TRANSWP.15/AC.2/2015/27 (Sociétés de classification recommandées ADN)</w:t>
      </w:r>
    </w:p>
    <w:p w:rsidR="00BE7315" w:rsidRDefault="00BE7315" w:rsidP="00BE7315">
      <w:pPr>
        <w:pStyle w:val="SingleTxtG"/>
        <w:rPr>
          <w:lang w:val="fr-FR"/>
        </w:rPr>
      </w:pPr>
      <w:r>
        <w:rPr>
          <w:lang w:val="fr-FR"/>
        </w:rPr>
        <w:t>20.</w:t>
      </w:r>
      <w:r>
        <w:rPr>
          <w:lang w:val="fr-FR"/>
        </w:rPr>
        <w:tab/>
        <w:t>Le Comité de sécurité était d'avis que les interprétations ignorant la prescription de cloison de la classe A-60 sur les bateaux de type G n'étaient pas acceptables. Comme les cofferdams constituent une protection contre le feu, les Sociétés de classification recommandées ADN ont été invitées à soumettre éventuellement une proposition d'amendements qui établirait une équivalence entre cofferdams et cloisons de classe A-60 sur les bateaux de type G.</w:t>
      </w:r>
    </w:p>
    <w:p w:rsidR="00BE7315" w:rsidRDefault="00BE7315" w:rsidP="00BE7315">
      <w:pPr>
        <w:pStyle w:val="H23G"/>
        <w:rPr>
          <w:lang w:val="fr-FR"/>
        </w:rPr>
      </w:pPr>
      <w:r>
        <w:rPr>
          <w:lang w:val="fr-FR"/>
        </w:rPr>
        <w:tab/>
      </w:r>
      <w:bookmarkStart w:id="19" w:name="_Toc428948876"/>
      <w:r>
        <w:rPr>
          <w:lang w:val="fr-FR"/>
        </w:rPr>
        <w:t>5.</w:t>
      </w:r>
      <w:r>
        <w:rPr>
          <w:lang w:val="fr-FR"/>
        </w:rPr>
        <w:tab/>
        <w:t>Interprétation du paragraphe 1.6.7.4.1</w:t>
      </w:r>
      <w:bookmarkEnd w:id="19"/>
    </w:p>
    <w:p w:rsidR="00BE7315" w:rsidRDefault="00BE7315" w:rsidP="00BE7315">
      <w:pPr>
        <w:pStyle w:val="SingleTxtG"/>
        <w:rPr>
          <w:lang w:val="fr-FR"/>
        </w:rPr>
      </w:pPr>
      <w:r>
        <w:rPr>
          <w:i/>
          <w:lang w:val="fr-FR"/>
        </w:rPr>
        <w:t xml:space="preserve">Document: </w:t>
      </w:r>
      <w:r>
        <w:rPr>
          <w:i/>
          <w:lang w:val="fr-FR"/>
        </w:rPr>
        <w:tab/>
      </w:r>
      <w:r>
        <w:rPr>
          <w:i/>
          <w:lang w:val="fr-FR"/>
        </w:rPr>
        <w:tab/>
      </w:r>
      <w:r>
        <w:rPr>
          <w:i/>
          <w:lang w:val="fr-FR"/>
        </w:rPr>
        <w:tab/>
      </w:r>
      <w:r>
        <w:rPr>
          <w:lang w:val="fr-FR"/>
        </w:rPr>
        <w:t>ECE/TRANSWP.15/AC.2/2015/30 (Pays-Bas)</w:t>
      </w:r>
    </w:p>
    <w:p w:rsidR="00BE7315" w:rsidRDefault="00BE7315" w:rsidP="00BE7315">
      <w:pPr>
        <w:pStyle w:val="SingleTxtG"/>
        <w:rPr>
          <w:lang w:val="fr-FR"/>
        </w:rPr>
      </w:pPr>
      <w:r>
        <w:rPr>
          <w:lang w:val="fr-FR"/>
        </w:rPr>
        <w:t>21.</w:t>
      </w:r>
      <w:r>
        <w:rPr>
          <w:lang w:val="fr-FR"/>
        </w:rPr>
        <w:tab/>
        <w:t>Certaines délégations étaient opposées à l'interprétation proposée par les Pays-Bas. Elles ne partageaient pas notamment l'argumentation du paragraphe 5 selon laquelle les huiles de chauffe lourdes n'étaient pas soumises à l'ADN avant le 1</w:t>
      </w:r>
      <w:r w:rsidRPr="00BC3A01">
        <w:rPr>
          <w:vertAlign w:val="superscript"/>
          <w:lang w:val="fr-FR"/>
        </w:rPr>
        <w:t>er</w:t>
      </w:r>
      <w:r>
        <w:rPr>
          <w:lang w:val="fr-FR"/>
        </w:rPr>
        <w:t xml:space="preserve"> janvier 2013. En effet, même si les huiles de chauffe lourdes n'étaient pas nommément citées au tableau C, le numéro ONU 3082 y figurait en tant qu'entrée générique et il convenait donc, avant le 1</w:t>
      </w:r>
      <w:r w:rsidRPr="00E0235D">
        <w:rPr>
          <w:vertAlign w:val="superscript"/>
          <w:lang w:val="fr-FR"/>
        </w:rPr>
        <w:t>er</w:t>
      </w:r>
      <w:r>
        <w:rPr>
          <w:lang w:val="fr-FR"/>
        </w:rPr>
        <w:t> janvier 2013, d'appliquer le diagramme de décision du 3.2.3.3 pour le classement des huiles de chauffe lourdes.</w:t>
      </w:r>
    </w:p>
    <w:p w:rsidR="00BE7315" w:rsidRDefault="00BE7315" w:rsidP="00BE7315">
      <w:pPr>
        <w:pStyle w:val="H23G"/>
        <w:rPr>
          <w:lang w:val="fr-FR"/>
        </w:rPr>
      </w:pPr>
      <w:r>
        <w:rPr>
          <w:lang w:val="fr-FR"/>
        </w:rPr>
        <w:tab/>
      </w:r>
      <w:bookmarkStart w:id="20" w:name="_Toc428948877"/>
      <w:r>
        <w:rPr>
          <w:lang w:val="fr-FR"/>
        </w:rPr>
        <w:t>6.</w:t>
      </w:r>
      <w:r>
        <w:rPr>
          <w:lang w:val="fr-FR"/>
        </w:rPr>
        <w:tab/>
        <w:t>Logiciels de calcul de stabilité</w:t>
      </w:r>
      <w:bookmarkEnd w:id="20"/>
    </w:p>
    <w:p w:rsidR="00BE7315" w:rsidRDefault="00BE7315" w:rsidP="00BE7315">
      <w:pPr>
        <w:pStyle w:val="SingleTxtG"/>
        <w:ind w:left="3402" w:hanging="2268"/>
        <w:rPr>
          <w:lang w:val="fr-FR"/>
        </w:rPr>
      </w:pPr>
      <w:r w:rsidRPr="00E0235D">
        <w:rPr>
          <w:i/>
          <w:lang w:val="fr-FR"/>
        </w:rPr>
        <w:t>Document</w:t>
      </w:r>
      <w:r w:rsidR="003A358A">
        <w:rPr>
          <w:i/>
          <w:lang w:val="fr-FR"/>
        </w:rPr>
        <w:t>s</w:t>
      </w:r>
      <w:r w:rsidRPr="00E0235D">
        <w:rPr>
          <w:i/>
          <w:lang w:val="fr-FR"/>
        </w:rPr>
        <w:t xml:space="preserve"> informel</w:t>
      </w:r>
      <w:r w:rsidR="003A358A">
        <w:rPr>
          <w:i/>
          <w:lang w:val="fr-FR"/>
        </w:rPr>
        <w:t>s</w:t>
      </w:r>
      <w:r>
        <w:rPr>
          <w:lang w:val="fr-FR"/>
        </w:rPr>
        <w:t>:</w:t>
      </w:r>
      <w:r>
        <w:rPr>
          <w:lang w:val="fr-FR"/>
        </w:rPr>
        <w:tab/>
      </w:r>
      <w:r>
        <w:rPr>
          <w:lang w:val="fr-FR"/>
        </w:rPr>
        <w:tab/>
        <w:t>INF.18 et INF.18/Rev.1 (Sociétés de classification recommandées ADN)</w:t>
      </w:r>
    </w:p>
    <w:p w:rsidR="00BE7315" w:rsidRDefault="00BE7315" w:rsidP="00BE7315">
      <w:pPr>
        <w:pStyle w:val="SingleTxtG"/>
        <w:rPr>
          <w:lang w:val="fr-FR"/>
        </w:rPr>
      </w:pPr>
      <w:r>
        <w:rPr>
          <w:lang w:val="fr-FR"/>
        </w:rPr>
        <w:t>22.</w:t>
      </w:r>
      <w:r>
        <w:rPr>
          <w:lang w:val="fr-FR"/>
        </w:rPr>
        <w:tab/>
        <w:t>Le Comité de sécurité a validé l'interprétation proposée au paragraphe 9 pour les cols de cygne à diamètre limité.</w:t>
      </w:r>
    </w:p>
    <w:p w:rsidR="00BE7315" w:rsidRDefault="00BE7315" w:rsidP="00BE7315">
      <w:pPr>
        <w:pStyle w:val="SingleTxtG"/>
        <w:rPr>
          <w:lang w:val="fr-FR"/>
        </w:rPr>
      </w:pPr>
      <w:r>
        <w:rPr>
          <w:lang w:val="fr-FR"/>
        </w:rPr>
        <w:lastRenderedPageBreak/>
        <w:t>23.</w:t>
      </w:r>
      <w:r>
        <w:rPr>
          <w:lang w:val="fr-FR"/>
        </w:rPr>
        <w:tab/>
        <w:t xml:space="preserve">Le Comité de sécurité a également validé l'interprétation proposée au paragraphe 22 pour les dispositifs de fermeture automatiques à boule flottante sous réserve toutefois que ces dispositifs soient soumis à une inspection périodique tous les deux ans et demi par la société de classification concernée. </w:t>
      </w:r>
      <w:r w:rsidRPr="000D2C88">
        <w:rPr>
          <w:lang w:val="fr-CH"/>
        </w:rPr>
        <w:t>Il a également modifié le paragraphe 25 conformément au document informel INF.18/Rev.1</w:t>
      </w:r>
      <w:r>
        <w:rPr>
          <w:lang w:val="fr-CH"/>
        </w:rPr>
        <w:t>.</w:t>
      </w:r>
    </w:p>
    <w:p w:rsidR="00BE7315" w:rsidRDefault="00BE7315" w:rsidP="00BE7315">
      <w:pPr>
        <w:pStyle w:val="H1G"/>
        <w:rPr>
          <w:lang w:val="fr-FR"/>
        </w:rPr>
      </w:pPr>
      <w:r>
        <w:rPr>
          <w:lang w:val="fr-FR"/>
        </w:rPr>
        <w:tab/>
      </w:r>
      <w:bookmarkStart w:id="21" w:name="_Toc428948878"/>
      <w:r>
        <w:rPr>
          <w:lang w:val="fr-FR"/>
        </w:rPr>
        <w:t>D.</w:t>
      </w:r>
      <w:r>
        <w:rPr>
          <w:lang w:val="fr-FR"/>
        </w:rPr>
        <w:tab/>
        <w:t>Formation des experts</w:t>
      </w:r>
      <w:bookmarkEnd w:id="21"/>
    </w:p>
    <w:p w:rsidR="00BE7315" w:rsidRDefault="00BE7315" w:rsidP="00BE7315">
      <w:pPr>
        <w:pStyle w:val="H23G"/>
        <w:rPr>
          <w:lang w:val="fr-FR"/>
        </w:rPr>
      </w:pPr>
      <w:r>
        <w:rPr>
          <w:lang w:val="fr-FR"/>
        </w:rPr>
        <w:tab/>
      </w:r>
      <w:bookmarkStart w:id="22" w:name="_Toc428948879"/>
      <w:r>
        <w:rPr>
          <w:lang w:val="fr-FR"/>
        </w:rPr>
        <w:t>1.</w:t>
      </w:r>
      <w:r>
        <w:rPr>
          <w:lang w:val="fr-FR"/>
        </w:rPr>
        <w:tab/>
        <w:t>Compte rendu de la quatorzième réunion du groupe de travail informel sur la formation des experts</w:t>
      </w:r>
      <w:bookmarkEnd w:id="22"/>
    </w:p>
    <w:p w:rsidR="00BE7315" w:rsidRDefault="00BE7315" w:rsidP="00BE7315">
      <w:pPr>
        <w:pStyle w:val="SingleTxtG"/>
        <w:rPr>
          <w:lang w:val="fr-FR"/>
        </w:rPr>
      </w:pPr>
      <w:r>
        <w:rPr>
          <w:i/>
          <w:lang w:val="fr-FR"/>
        </w:rPr>
        <w:t xml:space="preserve">Document: </w:t>
      </w:r>
      <w:r>
        <w:rPr>
          <w:i/>
          <w:lang w:val="fr-FR"/>
        </w:rPr>
        <w:tab/>
      </w:r>
      <w:r>
        <w:rPr>
          <w:i/>
          <w:lang w:val="fr-FR"/>
        </w:rPr>
        <w:tab/>
      </w:r>
      <w:r>
        <w:rPr>
          <w:i/>
          <w:lang w:val="fr-FR"/>
        </w:rPr>
        <w:tab/>
      </w:r>
      <w:r>
        <w:rPr>
          <w:lang w:val="fr-FR"/>
        </w:rPr>
        <w:t>ECE/TRANSWP.15/AC.2/2015/31 (CCNR)</w:t>
      </w:r>
    </w:p>
    <w:p w:rsidR="00BE7315" w:rsidRDefault="00BE7315" w:rsidP="00BE7315">
      <w:pPr>
        <w:pStyle w:val="SingleTxtG"/>
        <w:rPr>
          <w:lang w:val="fr-FR"/>
        </w:rPr>
      </w:pPr>
      <w:r>
        <w:rPr>
          <w:lang w:val="fr-FR"/>
        </w:rPr>
        <w:t>24.</w:t>
      </w:r>
      <w:r>
        <w:rPr>
          <w:lang w:val="fr-FR"/>
        </w:rPr>
        <w:tab/>
        <w:t>Le Comité de sécurité a pris note a</w:t>
      </w:r>
      <w:r w:rsidR="00444917">
        <w:rPr>
          <w:lang w:val="fr-FR"/>
        </w:rPr>
        <w:t>vec satisfaction du rapport du g</w:t>
      </w:r>
      <w:r>
        <w:rPr>
          <w:lang w:val="fr-FR"/>
        </w:rPr>
        <w:t>roupe de travail informel et de l'état d'avancement de ses travaux.</w:t>
      </w:r>
    </w:p>
    <w:p w:rsidR="00BE7315" w:rsidRDefault="00BE7315" w:rsidP="00BE7315">
      <w:pPr>
        <w:pStyle w:val="SingleTxtG"/>
        <w:rPr>
          <w:lang w:val="fr-FR"/>
        </w:rPr>
      </w:pPr>
      <w:r>
        <w:rPr>
          <w:lang w:val="fr-FR"/>
        </w:rPr>
        <w:t>25.</w:t>
      </w:r>
      <w:r>
        <w:rPr>
          <w:lang w:val="fr-FR"/>
        </w:rPr>
        <w:tab/>
        <w:t xml:space="preserve">Le Comité de sécurité a invité les diverses délégations à continuer à échanger des informations sur leurs critères de reconnaissance de formations. </w:t>
      </w:r>
    </w:p>
    <w:p w:rsidR="00BE7315" w:rsidRDefault="00BE7315" w:rsidP="00BE7315">
      <w:pPr>
        <w:pStyle w:val="SingleTxtG"/>
        <w:rPr>
          <w:lang w:val="fr-FR"/>
        </w:rPr>
      </w:pPr>
      <w:r>
        <w:rPr>
          <w:lang w:val="fr-FR"/>
        </w:rPr>
        <w:t>26.</w:t>
      </w:r>
      <w:r>
        <w:rPr>
          <w:lang w:val="fr-FR"/>
        </w:rPr>
        <w:tab/>
        <w:t>Les discussions sur la forme de l'attestation devraient se poursuivre. Il n'y avait pas d'opposition à l'introduction d'un format carte de crédit, mais certaines délégations estimaient que les risques de falsification étaient moindres dans le cadre de la navigation intérieure que dans celui du transport routier, et certaines délégations souhaitaient continuer à permettre la délivrance de certificats dans la forme actuelle.</w:t>
      </w:r>
    </w:p>
    <w:p w:rsidR="00BE7315" w:rsidRDefault="00BE7315" w:rsidP="00BE7315">
      <w:pPr>
        <w:pStyle w:val="SingleTxtG"/>
        <w:rPr>
          <w:lang w:val="fr-FR"/>
        </w:rPr>
      </w:pPr>
      <w:r>
        <w:rPr>
          <w:lang w:val="fr-FR"/>
        </w:rPr>
        <w:t>27.</w:t>
      </w:r>
      <w:r>
        <w:rPr>
          <w:lang w:val="fr-FR"/>
        </w:rPr>
        <w:tab/>
        <w:t>Le Comité de sécurité a entériné la conclusion du paragraphe 31, à savoir que les formations dispensées dans un État partie contractante à l'ADN autre que celui d'examen devraient être reconnues par l'État où se tient l'examen.</w:t>
      </w:r>
    </w:p>
    <w:p w:rsidR="00BE7315" w:rsidRDefault="00BE7315" w:rsidP="00BE7315">
      <w:pPr>
        <w:pStyle w:val="SingleTxtG"/>
        <w:rPr>
          <w:lang w:val="fr-FR"/>
        </w:rPr>
      </w:pPr>
      <w:r>
        <w:rPr>
          <w:lang w:val="fr-FR"/>
        </w:rPr>
        <w:t>28.</w:t>
      </w:r>
      <w:r>
        <w:rPr>
          <w:lang w:val="fr-FR"/>
        </w:rPr>
        <w:tab/>
        <w:t>Les autres points mentionnés dans le rapport feront éventuellement et si besoin est l'objet de nouvelles discussions au sein du groupe.</w:t>
      </w:r>
    </w:p>
    <w:p w:rsidR="00BE7315" w:rsidRDefault="00BE7315" w:rsidP="00BE7315">
      <w:pPr>
        <w:pStyle w:val="H23G"/>
        <w:rPr>
          <w:lang w:val="fr-FR"/>
        </w:rPr>
      </w:pPr>
      <w:r>
        <w:rPr>
          <w:lang w:val="fr-FR"/>
        </w:rPr>
        <w:tab/>
      </w:r>
      <w:bookmarkStart w:id="23" w:name="_Toc428948880"/>
      <w:r>
        <w:rPr>
          <w:lang w:val="fr-FR"/>
        </w:rPr>
        <w:t>2.</w:t>
      </w:r>
      <w:r>
        <w:rPr>
          <w:lang w:val="fr-FR"/>
        </w:rPr>
        <w:tab/>
        <w:t>Programme de travail du Groupe de travail informel sur la formation</w:t>
      </w:r>
      <w:bookmarkEnd w:id="23"/>
    </w:p>
    <w:p w:rsidR="00BE7315" w:rsidRDefault="00BE7315" w:rsidP="00BE7315">
      <w:pPr>
        <w:pStyle w:val="SingleTxtG"/>
        <w:rPr>
          <w:lang w:val="fr-FR"/>
        </w:rPr>
      </w:pPr>
      <w:r w:rsidRPr="00894E8E">
        <w:rPr>
          <w:i/>
          <w:lang w:val="fr-FR"/>
        </w:rPr>
        <w:t xml:space="preserve">Document: </w:t>
      </w:r>
      <w:r w:rsidRPr="00894E8E">
        <w:rPr>
          <w:i/>
          <w:lang w:val="fr-FR"/>
        </w:rPr>
        <w:tab/>
      </w:r>
      <w:r w:rsidRPr="00894E8E">
        <w:rPr>
          <w:i/>
          <w:lang w:val="fr-FR"/>
        </w:rPr>
        <w:tab/>
      </w:r>
      <w:r w:rsidRPr="00894E8E">
        <w:rPr>
          <w:i/>
          <w:lang w:val="fr-FR"/>
        </w:rPr>
        <w:tab/>
      </w:r>
      <w:r w:rsidRPr="00894E8E">
        <w:rPr>
          <w:lang w:val="fr-FR"/>
        </w:rPr>
        <w:t>ECE/TRANSWP.15/AC.2/2015/</w:t>
      </w:r>
      <w:r>
        <w:rPr>
          <w:lang w:val="fr-FR"/>
        </w:rPr>
        <w:t>9</w:t>
      </w:r>
      <w:r w:rsidRPr="00894E8E">
        <w:rPr>
          <w:lang w:val="fr-FR"/>
        </w:rPr>
        <w:t xml:space="preserve"> (CCNR)</w:t>
      </w:r>
    </w:p>
    <w:p w:rsidR="00BE7315" w:rsidRDefault="00BE7315" w:rsidP="00BE7315">
      <w:pPr>
        <w:pStyle w:val="SingleTxtG"/>
        <w:rPr>
          <w:lang w:val="fr-FR"/>
        </w:rPr>
      </w:pPr>
      <w:r>
        <w:rPr>
          <w:lang w:val="fr-FR"/>
        </w:rPr>
        <w:t>29.</w:t>
      </w:r>
      <w:r>
        <w:rPr>
          <w:lang w:val="fr-FR"/>
        </w:rPr>
        <w:tab/>
        <w:t>Le Comité de sécurité a adopté le programme de travail du groupe de travail informel sur la formation.</w:t>
      </w:r>
    </w:p>
    <w:p w:rsidR="00BE7315" w:rsidRDefault="00BE7315" w:rsidP="00BE7315">
      <w:pPr>
        <w:pStyle w:val="SingleTxtG"/>
        <w:rPr>
          <w:lang w:val="fr-FR"/>
        </w:rPr>
      </w:pPr>
      <w:r>
        <w:rPr>
          <w:lang w:val="fr-FR"/>
        </w:rPr>
        <w:t>30.</w:t>
      </w:r>
      <w:r>
        <w:rPr>
          <w:lang w:val="fr-FR"/>
        </w:rPr>
        <w:tab/>
        <w:t>Le Comité de sécurité a noté que la prochaine session du groupe devrait avoir lieu à Strasbourg les 14 et 15 mars 2016.</w:t>
      </w:r>
    </w:p>
    <w:p w:rsidR="00BE7315" w:rsidRDefault="00BE7315" w:rsidP="00BE7315">
      <w:pPr>
        <w:pStyle w:val="H23G"/>
        <w:rPr>
          <w:lang w:val="fr-FR"/>
        </w:rPr>
      </w:pPr>
      <w:r>
        <w:rPr>
          <w:lang w:val="fr-FR"/>
        </w:rPr>
        <w:tab/>
      </w:r>
      <w:bookmarkStart w:id="24" w:name="_Toc428948881"/>
      <w:r>
        <w:rPr>
          <w:lang w:val="fr-FR"/>
        </w:rPr>
        <w:t>3.</w:t>
      </w:r>
      <w:r>
        <w:rPr>
          <w:lang w:val="fr-FR"/>
        </w:rPr>
        <w:tab/>
        <w:t>Statistiques relatives aux examens</w:t>
      </w:r>
      <w:bookmarkEnd w:id="24"/>
    </w:p>
    <w:p w:rsidR="00BE7315" w:rsidRDefault="00BE7315" w:rsidP="00BE7315">
      <w:pPr>
        <w:pStyle w:val="SingleTxtG"/>
        <w:spacing w:after="0"/>
        <w:rPr>
          <w:lang w:val="fr-FR"/>
        </w:rPr>
      </w:pPr>
      <w:r w:rsidRPr="00E0235D">
        <w:rPr>
          <w:i/>
          <w:lang w:val="fr-FR"/>
        </w:rPr>
        <w:t>Document</w:t>
      </w:r>
      <w:r>
        <w:rPr>
          <w:i/>
          <w:lang w:val="fr-FR"/>
        </w:rPr>
        <w:t>s</w:t>
      </w:r>
      <w:r w:rsidRPr="00E0235D">
        <w:rPr>
          <w:i/>
          <w:lang w:val="fr-FR"/>
        </w:rPr>
        <w:t xml:space="preserve"> informel</w:t>
      </w:r>
      <w:r>
        <w:rPr>
          <w:i/>
          <w:lang w:val="fr-FR"/>
        </w:rPr>
        <w:t>s</w:t>
      </w:r>
      <w:r>
        <w:rPr>
          <w:lang w:val="fr-FR"/>
        </w:rPr>
        <w:t>:</w:t>
      </w:r>
      <w:r>
        <w:rPr>
          <w:lang w:val="fr-FR"/>
        </w:rPr>
        <w:tab/>
        <w:t>INF.2 (Bulgarie)</w:t>
      </w:r>
    </w:p>
    <w:p w:rsidR="00BE7315" w:rsidRPr="00894E8E" w:rsidRDefault="00BE7315" w:rsidP="00BE7315">
      <w:pPr>
        <w:pStyle w:val="SingleTxtG"/>
        <w:spacing w:after="0"/>
        <w:rPr>
          <w:lang w:val="fr-FR"/>
        </w:rPr>
      </w:pPr>
      <w:r>
        <w:rPr>
          <w:i/>
          <w:lang w:val="fr-FR"/>
        </w:rPr>
        <w:tab/>
      </w:r>
      <w:r>
        <w:rPr>
          <w:i/>
          <w:lang w:val="fr-FR"/>
        </w:rPr>
        <w:tab/>
      </w:r>
      <w:r>
        <w:rPr>
          <w:i/>
          <w:lang w:val="fr-FR"/>
        </w:rPr>
        <w:tab/>
      </w:r>
      <w:r>
        <w:rPr>
          <w:i/>
          <w:lang w:val="fr-FR"/>
        </w:rPr>
        <w:tab/>
      </w:r>
      <w:r w:rsidRPr="00894E8E">
        <w:rPr>
          <w:lang w:val="fr-FR"/>
        </w:rPr>
        <w:t>INF.5 (Pays-Bas)</w:t>
      </w:r>
    </w:p>
    <w:p w:rsidR="00BE7315" w:rsidRPr="00894E8E" w:rsidRDefault="00BE7315" w:rsidP="00BE7315">
      <w:pPr>
        <w:pStyle w:val="SingleTxtG"/>
        <w:spacing w:after="0"/>
        <w:rPr>
          <w:lang w:val="fr-FR"/>
        </w:rPr>
      </w:pPr>
      <w:r w:rsidRPr="00894E8E">
        <w:rPr>
          <w:lang w:val="fr-FR"/>
        </w:rPr>
        <w:tab/>
      </w:r>
      <w:r w:rsidRPr="00894E8E">
        <w:rPr>
          <w:lang w:val="fr-FR"/>
        </w:rPr>
        <w:tab/>
      </w:r>
      <w:r w:rsidRPr="00894E8E">
        <w:rPr>
          <w:lang w:val="fr-FR"/>
        </w:rPr>
        <w:tab/>
      </w:r>
      <w:r w:rsidRPr="00894E8E">
        <w:rPr>
          <w:lang w:val="fr-FR"/>
        </w:rPr>
        <w:tab/>
        <w:t>INF.15 (Belgique)</w:t>
      </w:r>
    </w:p>
    <w:p w:rsidR="00BE7315" w:rsidRDefault="00BE7315" w:rsidP="00BE7315">
      <w:pPr>
        <w:pStyle w:val="SingleTxtG"/>
        <w:rPr>
          <w:lang w:val="fr-FR"/>
        </w:rPr>
      </w:pPr>
      <w:r w:rsidRPr="00894E8E">
        <w:rPr>
          <w:lang w:val="fr-FR"/>
        </w:rPr>
        <w:tab/>
      </w:r>
      <w:r w:rsidRPr="00894E8E">
        <w:rPr>
          <w:lang w:val="fr-FR"/>
        </w:rPr>
        <w:tab/>
      </w:r>
      <w:r w:rsidRPr="00894E8E">
        <w:rPr>
          <w:lang w:val="fr-FR"/>
        </w:rPr>
        <w:tab/>
      </w:r>
      <w:r w:rsidRPr="00894E8E">
        <w:rPr>
          <w:lang w:val="fr-FR"/>
        </w:rPr>
        <w:tab/>
        <w:t>INF.16 (</w:t>
      </w:r>
      <w:r>
        <w:rPr>
          <w:lang w:val="fr-FR"/>
        </w:rPr>
        <w:t>France)</w:t>
      </w:r>
    </w:p>
    <w:p w:rsidR="00BE7315" w:rsidRDefault="00BE7315" w:rsidP="00BE7315">
      <w:pPr>
        <w:pStyle w:val="SingleTxtG"/>
        <w:rPr>
          <w:lang w:val="fr-FR"/>
        </w:rPr>
      </w:pPr>
      <w:r>
        <w:rPr>
          <w:lang w:val="fr-FR"/>
        </w:rPr>
        <w:t>31.</w:t>
      </w:r>
      <w:r>
        <w:rPr>
          <w:lang w:val="fr-FR"/>
        </w:rPr>
        <w:tab/>
        <w:t>Le Comité de sécurité a pris note avec intérêt des informations fournies et a prié les délégations de continuer à fournir des informations sur les statistiques de résultats aux examens.</w:t>
      </w:r>
    </w:p>
    <w:p w:rsidR="00BE7315" w:rsidRDefault="00BE7315" w:rsidP="0076383B">
      <w:pPr>
        <w:pStyle w:val="H1G"/>
        <w:rPr>
          <w:lang w:val="fr-FR"/>
        </w:rPr>
      </w:pPr>
      <w:r>
        <w:rPr>
          <w:lang w:val="fr-FR"/>
        </w:rPr>
        <w:lastRenderedPageBreak/>
        <w:tab/>
      </w:r>
      <w:bookmarkStart w:id="25" w:name="_Toc428948882"/>
      <w:r>
        <w:rPr>
          <w:lang w:val="fr-FR"/>
        </w:rPr>
        <w:t>E.</w:t>
      </w:r>
      <w:r>
        <w:rPr>
          <w:lang w:val="fr-FR"/>
        </w:rPr>
        <w:tab/>
        <w:t>Questions relatives aux sociétés de classification</w:t>
      </w:r>
      <w:bookmarkEnd w:id="25"/>
    </w:p>
    <w:p w:rsidR="00BE7315" w:rsidRDefault="00BE7315" w:rsidP="0076383B">
      <w:pPr>
        <w:pStyle w:val="H23G"/>
        <w:rPr>
          <w:lang w:val="fr-FR"/>
        </w:rPr>
      </w:pPr>
      <w:r>
        <w:rPr>
          <w:lang w:val="fr-FR"/>
        </w:rPr>
        <w:tab/>
      </w:r>
      <w:bookmarkStart w:id="26" w:name="_Toc428948883"/>
      <w:r>
        <w:rPr>
          <w:lang w:val="fr-FR"/>
        </w:rPr>
        <w:t>1.</w:t>
      </w:r>
      <w:r>
        <w:rPr>
          <w:lang w:val="fr-FR"/>
        </w:rPr>
        <w:tab/>
        <w:t>Rapport sur la neuvième réunion des Sociétés de classification recommandées ADN</w:t>
      </w:r>
      <w:bookmarkEnd w:id="26"/>
    </w:p>
    <w:p w:rsidR="00BE7315" w:rsidRDefault="00BE7315" w:rsidP="0076383B">
      <w:pPr>
        <w:pStyle w:val="SingleTxtG"/>
        <w:keepNext/>
        <w:keepLines/>
        <w:rPr>
          <w:lang w:val="fr-FR"/>
        </w:rPr>
      </w:pPr>
      <w:r w:rsidRPr="00E0235D">
        <w:rPr>
          <w:i/>
          <w:lang w:val="fr-FR"/>
        </w:rPr>
        <w:t>Document informel</w:t>
      </w:r>
      <w:r>
        <w:rPr>
          <w:lang w:val="fr-FR"/>
        </w:rPr>
        <w:t>:</w:t>
      </w:r>
      <w:r>
        <w:rPr>
          <w:lang w:val="fr-FR"/>
        </w:rPr>
        <w:tab/>
      </w:r>
      <w:r>
        <w:rPr>
          <w:lang w:val="fr-FR"/>
        </w:rPr>
        <w:tab/>
        <w:t>INF.3 (</w:t>
      </w:r>
      <w:r w:rsidRPr="00894E8E">
        <w:rPr>
          <w:lang w:val="fr-FR"/>
        </w:rPr>
        <w:t>Sociétés de classification recommandées ADN</w:t>
      </w:r>
      <w:r>
        <w:rPr>
          <w:lang w:val="fr-FR"/>
        </w:rPr>
        <w:t>)</w:t>
      </w:r>
    </w:p>
    <w:p w:rsidR="00BE7315" w:rsidRDefault="00BE7315" w:rsidP="0076383B">
      <w:pPr>
        <w:pStyle w:val="SingleTxtG"/>
        <w:keepNext/>
        <w:keepLines/>
        <w:rPr>
          <w:lang w:val="fr-FR"/>
        </w:rPr>
      </w:pPr>
      <w:r w:rsidRPr="00482075">
        <w:rPr>
          <w:lang w:val="fr-CH"/>
        </w:rPr>
        <w:t>32.</w:t>
      </w:r>
      <w:r w:rsidRPr="00482075">
        <w:rPr>
          <w:lang w:val="fr-CH"/>
        </w:rPr>
        <w:tab/>
        <w:t>Le Comité de sécurité a pris note du rapport</w:t>
      </w:r>
      <w:r w:rsidRPr="00FC59FB">
        <w:rPr>
          <w:rFonts w:ascii="Courier New" w:hAnsi="Courier New" w:cs="Courier New"/>
          <w:lang w:val="fr-FR" w:eastAsia="en-GB"/>
        </w:rPr>
        <w:t xml:space="preserve"> </w:t>
      </w:r>
      <w:r w:rsidRPr="00F537BE">
        <w:rPr>
          <w:lang w:val="fr-FR"/>
        </w:rPr>
        <w:t xml:space="preserve">et </w:t>
      </w:r>
      <w:r>
        <w:rPr>
          <w:lang w:val="fr-FR"/>
        </w:rPr>
        <w:t>a</w:t>
      </w:r>
      <w:r w:rsidRPr="00F537BE">
        <w:rPr>
          <w:lang w:val="fr-FR"/>
        </w:rPr>
        <w:t xml:space="preserve"> </w:t>
      </w:r>
      <w:r>
        <w:rPr>
          <w:lang w:val="fr-FR"/>
        </w:rPr>
        <w:t xml:space="preserve">invité les sociétés de classification </w:t>
      </w:r>
      <w:r w:rsidR="00D91EAF">
        <w:rPr>
          <w:lang w:val="fr-FR"/>
        </w:rPr>
        <w:t>à</w:t>
      </w:r>
      <w:r>
        <w:rPr>
          <w:lang w:val="fr-FR"/>
        </w:rPr>
        <w:t xml:space="preserve"> finir leur travail </w:t>
      </w:r>
      <w:r w:rsidRPr="00F537BE">
        <w:rPr>
          <w:lang w:val="fr-FR"/>
        </w:rPr>
        <w:t xml:space="preserve">en ce qui concerne le numéro 2. (1) et 2. (2) </w:t>
      </w:r>
      <w:r>
        <w:rPr>
          <w:lang w:val="fr-FR"/>
        </w:rPr>
        <w:t xml:space="preserve">du rapport </w:t>
      </w:r>
      <w:r w:rsidR="00D91EAF">
        <w:rPr>
          <w:lang w:val="fr-FR"/>
        </w:rPr>
        <w:t>dès que</w:t>
      </w:r>
      <w:r>
        <w:rPr>
          <w:lang w:val="fr-FR"/>
        </w:rPr>
        <w:t xml:space="preserve"> p</w:t>
      </w:r>
      <w:r w:rsidRPr="00F537BE">
        <w:rPr>
          <w:lang w:val="fr-FR"/>
        </w:rPr>
        <w:t>ossible</w:t>
      </w:r>
      <w:r w:rsidRPr="00482075">
        <w:rPr>
          <w:lang w:val="fr-CH"/>
        </w:rPr>
        <w:t xml:space="preserve">. </w:t>
      </w:r>
      <w:r>
        <w:rPr>
          <w:lang w:val="fr-FR"/>
        </w:rPr>
        <w:t>Les questions nécessitant une décision du Comité ont été présentées dans des documents séparés.</w:t>
      </w:r>
    </w:p>
    <w:p w:rsidR="00BE7315" w:rsidRDefault="00BE7315" w:rsidP="00BE7315">
      <w:pPr>
        <w:pStyle w:val="H23G"/>
        <w:rPr>
          <w:lang w:val="fr-FR"/>
        </w:rPr>
      </w:pPr>
      <w:r>
        <w:rPr>
          <w:lang w:val="fr-FR"/>
        </w:rPr>
        <w:tab/>
      </w:r>
      <w:bookmarkStart w:id="27" w:name="_Toc428948884"/>
      <w:r>
        <w:rPr>
          <w:lang w:val="fr-FR"/>
        </w:rPr>
        <w:t>2.</w:t>
      </w:r>
      <w:r>
        <w:rPr>
          <w:lang w:val="fr-FR"/>
        </w:rPr>
        <w:tab/>
      </w:r>
      <w:r w:rsidR="00444917">
        <w:rPr>
          <w:lang w:val="fr-FR"/>
        </w:rPr>
        <w:t xml:space="preserve">Certification selon la norme EN </w:t>
      </w:r>
      <w:r>
        <w:rPr>
          <w:lang w:val="fr-FR"/>
        </w:rPr>
        <w:t>ISO/IEC 17020:2012</w:t>
      </w:r>
      <w:bookmarkEnd w:id="27"/>
    </w:p>
    <w:p w:rsidR="00BE7315" w:rsidRDefault="00BE7315" w:rsidP="00BE7315">
      <w:pPr>
        <w:pStyle w:val="SingleTxtG"/>
        <w:spacing w:after="0"/>
        <w:rPr>
          <w:lang w:val="fr-FR"/>
        </w:rPr>
      </w:pPr>
      <w:r w:rsidRPr="00E0235D">
        <w:rPr>
          <w:i/>
          <w:lang w:val="fr-FR"/>
        </w:rPr>
        <w:t>Document</w:t>
      </w:r>
      <w:r>
        <w:rPr>
          <w:i/>
          <w:lang w:val="fr-FR"/>
        </w:rPr>
        <w:t>s</w:t>
      </w:r>
      <w:r w:rsidRPr="00E0235D">
        <w:rPr>
          <w:i/>
          <w:lang w:val="fr-FR"/>
        </w:rPr>
        <w:t xml:space="preserve"> informel</w:t>
      </w:r>
      <w:r>
        <w:rPr>
          <w:i/>
          <w:lang w:val="fr-FR"/>
        </w:rPr>
        <w:t>s</w:t>
      </w:r>
      <w:r>
        <w:rPr>
          <w:lang w:val="fr-FR"/>
        </w:rPr>
        <w:t>:</w:t>
      </w:r>
      <w:r>
        <w:rPr>
          <w:lang w:val="fr-FR"/>
        </w:rPr>
        <w:tab/>
        <w:t>INF.7 (</w:t>
      </w:r>
      <w:r w:rsidRPr="00894E8E">
        <w:rPr>
          <w:lang w:val="fr-FR"/>
        </w:rPr>
        <w:t>Sociétés de classification recommandées ADN</w:t>
      </w:r>
      <w:r>
        <w:rPr>
          <w:lang w:val="fr-FR"/>
        </w:rPr>
        <w:t>)</w:t>
      </w:r>
    </w:p>
    <w:p w:rsidR="00BE7315" w:rsidRPr="00E22A10" w:rsidRDefault="00BE7315" w:rsidP="00BE7315">
      <w:pPr>
        <w:pStyle w:val="SingleTxtG"/>
      </w:pPr>
      <w:r>
        <w:rPr>
          <w:i/>
          <w:lang w:val="fr-FR"/>
        </w:rPr>
        <w:tab/>
      </w:r>
      <w:r>
        <w:rPr>
          <w:i/>
          <w:lang w:val="fr-FR"/>
        </w:rPr>
        <w:tab/>
      </w:r>
      <w:r>
        <w:rPr>
          <w:i/>
          <w:lang w:val="fr-FR"/>
        </w:rPr>
        <w:tab/>
      </w:r>
      <w:r>
        <w:rPr>
          <w:i/>
          <w:lang w:val="fr-FR"/>
        </w:rPr>
        <w:tab/>
      </w:r>
      <w:r w:rsidRPr="00E22A10">
        <w:t>INF.21 (Russian Maritime Register of Shipping)</w:t>
      </w:r>
    </w:p>
    <w:p w:rsidR="00BE7315" w:rsidRDefault="00BE7315" w:rsidP="00BE7315">
      <w:pPr>
        <w:pStyle w:val="SingleTxtG"/>
        <w:rPr>
          <w:lang w:val="fr-FR"/>
        </w:rPr>
      </w:pPr>
      <w:r>
        <w:rPr>
          <w:lang w:val="fr-FR"/>
        </w:rPr>
        <w:t>33.</w:t>
      </w:r>
      <w:r>
        <w:rPr>
          <w:lang w:val="fr-FR"/>
        </w:rPr>
        <w:tab/>
        <w:t xml:space="preserve"> Le Comité de sécurité a examiné les documents fournis par Bureau Veritas, Lloyd's Register of Shipping, Russian Maritime Register of Shipping et le Shipping Register of Ukraine pour attester de leur certifi</w:t>
      </w:r>
      <w:r w:rsidR="00444917">
        <w:rPr>
          <w:lang w:val="fr-FR"/>
        </w:rPr>
        <w:t xml:space="preserve">cation selon la norme EN </w:t>
      </w:r>
      <w:r>
        <w:rPr>
          <w:lang w:val="fr-FR"/>
        </w:rPr>
        <w:t>ISO/IEC 17020: 2012.</w:t>
      </w:r>
    </w:p>
    <w:p w:rsidR="00BE7315" w:rsidRPr="00894E8E" w:rsidRDefault="00BE7315" w:rsidP="001F3E7C">
      <w:pPr>
        <w:pStyle w:val="SingleTxtG"/>
        <w:rPr>
          <w:lang w:val="fr-FR"/>
        </w:rPr>
      </w:pPr>
      <w:r>
        <w:rPr>
          <w:lang w:val="fr-FR"/>
        </w:rPr>
        <w:t>34.</w:t>
      </w:r>
      <w:r>
        <w:rPr>
          <w:lang w:val="fr-FR"/>
        </w:rPr>
        <w:tab/>
        <w:t>Ces documents ont fait l'objet de longues discussions, par exemple: pour savoir si des certifications faisant référence au système de qualité de l'IACS pour des navires maritimes pouvant être acceptées, la certification du Lloyd's Register of Shipping ne précise pa</w:t>
      </w:r>
      <w:r w:rsidR="00444917">
        <w:rPr>
          <w:lang w:val="fr-FR"/>
        </w:rPr>
        <w:t xml:space="preserve">s quelle version de la norme EN </w:t>
      </w:r>
      <w:r>
        <w:rPr>
          <w:lang w:val="fr-FR"/>
        </w:rPr>
        <w:t>ISO/IEC 17020 a été prise en compte, et il ne ressort pas clairement de la certification si elle concerne la Société de classification dans son ensemble, y compris ses filiales étrangères travaillant dans le domaine de l'ADN; la certification relative au Bureau Veritas ne concerne que sa filiale belge.</w:t>
      </w:r>
      <w:r w:rsidR="00444917">
        <w:rPr>
          <w:lang w:val="fr-FR"/>
        </w:rPr>
        <w:t xml:space="preserve"> Dans ce contexte, il a également été rappelé qu'une société de classification doit avoir des experts dans au moins deux pays parties contractantes.</w:t>
      </w:r>
    </w:p>
    <w:p w:rsidR="00BE7315" w:rsidRPr="000D2C88" w:rsidRDefault="00BE7315" w:rsidP="001F3E7C">
      <w:pPr>
        <w:pStyle w:val="SingleTxtG"/>
        <w:rPr>
          <w:lang w:val="fr-FR"/>
        </w:rPr>
      </w:pPr>
      <w:r>
        <w:rPr>
          <w:lang w:val="fr-FR"/>
        </w:rPr>
        <w:t>35</w:t>
      </w:r>
      <w:r w:rsidRPr="000D2C88">
        <w:rPr>
          <w:lang w:val="fr-FR"/>
        </w:rPr>
        <w:t>.</w:t>
      </w:r>
      <w:r w:rsidRPr="000D2C88">
        <w:rPr>
          <w:lang w:val="fr-FR"/>
        </w:rPr>
        <w:tab/>
        <w:t>En conclusion, le Comité de sécurité a demandé aux sociétés de classification concernées de soumettre de nouveaux certificats d'accréditation ou renseignements complémentaires pour la prochaine session comme suit:</w:t>
      </w:r>
    </w:p>
    <w:p w:rsidR="00BE7315" w:rsidRPr="000D2C88" w:rsidRDefault="00BE7315" w:rsidP="001F3E7C">
      <w:pPr>
        <w:pStyle w:val="Bullet1G"/>
        <w:rPr>
          <w:lang w:val="fr-FR"/>
        </w:rPr>
      </w:pPr>
      <w:r w:rsidRPr="000D2C88">
        <w:rPr>
          <w:lang w:val="fr-FR"/>
        </w:rPr>
        <w:t>Bureau Veritas: Certificat valide pour l'ensemble de la société de classification, et pas seulement pour sa filiale belge;</w:t>
      </w:r>
    </w:p>
    <w:p w:rsidR="00BE7315" w:rsidRPr="000D2C88" w:rsidRDefault="00BE7315" w:rsidP="001F3E7C">
      <w:pPr>
        <w:pStyle w:val="Bullet1G"/>
        <w:rPr>
          <w:lang w:val="fr-FR"/>
        </w:rPr>
      </w:pPr>
      <w:r w:rsidRPr="000D2C88">
        <w:rPr>
          <w:lang w:val="fr-FR"/>
        </w:rPr>
        <w:t>Lloyds Register of Shipping: Certificat précisant la version de la norme ISO/IEC 17020 prise en compte et confirmant que la certification couvre les activités dans le domaine de la navigation intérieure, pas seulement maritime;</w:t>
      </w:r>
    </w:p>
    <w:p w:rsidR="00BE7315" w:rsidRPr="000D2C88" w:rsidRDefault="00BE7315" w:rsidP="001F3E7C">
      <w:pPr>
        <w:pStyle w:val="Bullet1G"/>
        <w:rPr>
          <w:lang w:val="fr-FR"/>
        </w:rPr>
      </w:pPr>
      <w:r w:rsidRPr="000D2C88">
        <w:rPr>
          <w:lang w:val="fr-FR"/>
        </w:rPr>
        <w:t>Russian Maritime Register of Shipping: Certificat précisant que les activités dans le domaine de la navigation intérieure sont couvertes; preuve que l'organisme SAI Global est un institut d'accréditation reconnu par le Gouvernement de la Fédération de Russie.</w:t>
      </w:r>
    </w:p>
    <w:p w:rsidR="00BE7315" w:rsidRPr="000D2C88" w:rsidRDefault="00BE7315" w:rsidP="001F3E7C">
      <w:pPr>
        <w:pStyle w:val="SingleTxtG"/>
        <w:rPr>
          <w:lang w:val="fr-CH"/>
        </w:rPr>
      </w:pPr>
      <w:r w:rsidRPr="000D2C88">
        <w:rPr>
          <w:lang w:val="fr-CH"/>
        </w:rPr>
        <w:t>3</w:t>
      </w:r>
      <w:r>
        <w:rPr>
          <w:lang w:val="fr-CH"/>
        </w:rPr>
        <w:t>6</w:t>
      </w:r>
      <w:r w:rsidRPr="000D2C88">
        <w:rPr>
          <w:lang w:val="fr-CH"/>
        </w:rPr>
        <w:t>.</w:t>
      </w:r>
      <w:r w:rsidRPr="000D2C88">
        <w:rPr>
          <w:lang w:val="fr-CH"/>
        </w:rPr>
        <w:tab/>
        <w:t>Les sociétés de classification recommandées ADN qui n'ont pas encore fourni de certificat sont priées de le faire avant la prochaine session.</w:t>
      </w:r>
    </w:p>
    <w:p w:rsidR="00BE7315" w:rsidRPr="000D2C88" w:rsidRDefault="00BE7315" w:rsidP="0005714C">
      <w:pPr>
        <w:pStyle w:val="H23G"/>
        <w:rPr>
          <w:lang w:val="fr-CH"/>
        </w:rPr>
      </w:pPr>
      <w:r w:rsidRPr="000D2C88">
        <w:rPr>
          <w:lang w:val="fr-CH"/>
        </w:rPr>
        <w:tab/>
      </w:r>
      <w:bookmarkStart w:id="28" w:name="_Toc428948885"/>
      <w:r w:rsidRPr="000D2C88">
        <w:rPr>
          <w:lang w:val="fr-CH"/>
        </w:rPr>
        <w:t>3.</w:t>
      </w:r>
      <w:r w:rsidRPr="000D2C88">
        <w:rPr>
          <w:lang w:val="fr-CH"/>
        </w:rPr>
        <w:tab/>
        <w:t>Registro Italiano Navale (RINA)</w:t>
      </w:r>
      <w:bookmarkEnd w:id="28"/>
    </w:p>
    <w:p w:rsidR="00BE7315" w:rsidRPr="000D2C88" w:rsidRDefault="00BE7315" w:rsidP="0005714C">
      <w:pPr>
        <w:pStyle w:val="SingleTxtG"/>
        <w:ind w:left="3402" w:hanging="2268"/>
        <w:rPr>
          <w:lang w:val="fr-CH"/>
        </w:rPr>
      </w:pPr>
      <w:r w:rsidRPr="000D2C88">
        <w:rPr>
          <w:i/>
          <w:lang w:val="fr-CH"/>
        </w:rPr>
        <w:t>Document informel</w:t>
      </w:r>
      <w:r w:rsidRPr="000D2C88">
        <w:rPr>
          <w:lang w:val="fr-CH"/>
        </w:rPr>
        <w:t>:</w:t>
      </w:r>
      <w:r w:rsidRPr="000D2C88">
        <w:rPr>
          <w:lang w:val="fr-CH"/>
        </w:rPr>
        <w:tab/>
      </w:r>
      <w:r w:rsidRPr="000D2C88">
        <w:rPr>
          <w:lang w:val="fr-CH"/>
        </w:rPr>
        <w:tab/>
        <w:t xml:space="preserve">INF.3 </w:t>
      </w:r>
      <w:r>
        <w:rPr>
          <w:lang w:val="fr-CH"/>
        </w:rPr>
        <w:t xml:space="preserve">(Allemagne) </w:t>
      </w:r>
      <w:r w:rsidRPr="000D2C88">
        <w:rPr>
          <w:lang w:val="fr-CH"/>
        </w:rPr>
        <w:t>de la 15</w:t>
      </w:r>
      <w:r w:rsidRPr="000D2C88">
        <w:rPr>
          <w:vertAlign w:val="superscript"/>
          <w:lang w:val="fr-CH"/>
        </w:rPr>
        <w:t>ème</w:t>
      </w:r>
      <w:r w:rsidRPr="000D2C88">
        <w:rPr>
          <w:lang w:val="fr-CH"/>
        </w:rPr>
        <w:t xml:space="preserve"> session du Comité d'administration</w:t>
      </w:r>
    </w:p>
    <w:p w:rsidR="00BE7315" w:rsidRPr="000D2C88" w:rsidRDefault="00BE7315" w:rsidP="0005714C">
      <w:pPr>
        <w:pStyle w:val="SingleTxtG"/>
        <w:rPr>
          <w:lang w:val="fr-CH"/>
        </w:rPr>
      </w:pPr>
      <w:r w:rsidRPr="000D2C88">
        <w:rPr>
          <w:lang w:val="fr-CH"/>
        </w:rPr>
        <w:t>3</w:t>
      </w:r>
      <w:r>
        <w:rPr>
          <w:lang w:val="fr-CH"/>
        </w:rPr>
        <w:t>7</w:t>
      </w:r>
      <w:r w:rsidRPr="000D2C88">
        <w:rPr>
          <w:lang w:val="fr-CH"/>
        </w:rPr>
        <w:t>.</w:t>
      </w:r>
      <w:r w:rsidRPr="000D2C88">
        <w:rPr>
          <w:lang w:val="fr-CH"/>
        </w:rPr>
        <w:tab/>
        <w:t xml:space="preserve">Le Comité de sécurité a noté que l'Allemagne avait agréé la branche allemande du RINA en vertu du 1.15.2.4 du Règlement annexe </w:t>
      </w:r>
      <w:r>
        <w:rPr>
          <w:lang w:val="fr-CH"/>
        </w:rPr>
        <w:t>à l'ADN.</w:t>
      </w:r>
    </w:p>
    <w:p w:rsidR="00BE7315" w:rsidRPr="000D2C88" w:rsidRDefault="00BE7315" w:rsidP="00C12459">
      <w:pPr>
        <w:pStyle w:val="HChG"/>
        <w:rPr>
          <w:lang w:val="fr-CH"/>
        </w:rPr>
      </w:pPr>
      <w:r w:rsidRPr="000D2C88">
        <w:rPr>
          <w:lang w:val="fr-CH"/>
        </w:rPr>
        <w:lastRenderedPageBreak/>
        <w:tab/>
      </w:r>
      <w:bookmarkStart w:id="29" w:name="_Toc428948886"/>
      <w:r w:rsidRPr="000D2C88">
        <w:rPr>
          <w:lang w:val="fr-CH"/>
        </w:rPr>
        <w:t>V</w:t>
      </w:r>
      <w:r w:rsidR="00C12459">
        <w:rPr>
          <w:lang w:val="fr-CH"/>
        </w:rPr>
        <w:t>.</w:t>
      </w:r>
      <w:r w:rsidRPr="000D2C88">
        <w:rPr>
          <w:lang w:val="fr-CH"/>
        </w:rPr>
        <w:t xml:space="preserve"> </w:t>
      </w:r>
      <w:r w:rsidRPr="000D2C88">
        <w:rPr>
          <w:lang w:val="fr-CH"/>
        </w:rPr>
        <w:tab/>
        <w:t>Propositions d'amendements au Règlement annexé à l'ADN (point 4 de l'ordre du jour)</w:t>
      </w:r>
      <w:bookmarkEnd w:id="29"/>
    </w:p>
    <w:p w:rsidR="00BE7315" w:rsidRPr="000D2C88" w:rsidRDefault="00BE7315" w:rsidP="0005714C">
      <w:pPr>
        <w:pStyle w:val="H1G"/>
        <w:rPr>
          <w:lang w:val="fr-CH"/>
        </w:rPr>
      </w:pPr>
      <w:r w:rsidRPr="000D2C88">
        <w:rPr>
          <w:lang w:val="fr-CH"/>
        </w:rPr>
        <w:tab/>
      </w:r>
      <w:bookmarkStart w:id="30" w:name="_Toc428948887"/>
      <w:r w:rsidRPr="000D2C88">
        <w:rPr>
          <w:lang w:val="fr-CH"/>
        </w:rPr>
        <w:t xml:space="preserve">A. </w:t>
      </w:r>
      <w:r w:rsidRPr="000D2C88">
        <w:rPr>
          <w:lang w:val="fr-CH"/>
        </w:rPr>
        <w:tab/>
        <w:t>Travaux de la Réunion commune RID/ADR/ADN</w:t>
      </w:r>
      <w:bookmarkEnd w:id="30"/>
    </w:p>
    <w:p w:rsidR="00BE7315" w:rsidRPr="000D2C88" w:rsidRDefault="00BE7315" w:rsidP="0005714C">
      <w:pPr>
        <w:pStyle w:val="SingleTxtG"/>
        <w:ind w:left="3402" w:hanging="2268"/>
        <w:rPr>
          <w:lang w:val="fr-CH"/>
        </w:rPr>
      </w:pPr>
      <w:r w:rsidRPr="000D2C88">
        <w:rPr>
          <w:i/>
          <w:lang w:val="fr-CH"/>
        </w:rPr>
        <w:t>Document</w:t>
      </w:r>
      <w:r w:rsidR="003A358A">
        <w:rPr>
          <w:i/>
          <w:lang w:val="fr-CH"/>
        </w:rPr>
        <w:t>s</w:t>
      </w:r>
      <w:r w:rsidRPr="000D2C88">
        <w:rPr>
          <w:i/>
          <w:lang w:val="fr-CH"/>
        </w:rPr>
        <w:t>:</w:t>
      </w:r>
      <w:r w:rsidRPr="000D2C88">
        <w:rPr>
          <w:lang w:val="fr-CH"/>
        </w:rPr>
        <w:t xml:space="preserve"> </w:t>
      </w:r>
      <w:r w:rsidRPr="000D2C88">
        <w:rPr>
          <w:lang w:val="fr-CH"/>
        </w:rPr>
        <w:tab/>
      </w:r>
      <w:r w:rsidRPr="000D2C88">
        <w:rPr>
          <w:lang w:val="fr-CH"/>
        </w:rPr>
        <w:tab/>
        <w:t>ECE/TRANS/WP.15/AC.1/138 (Rapport de la Réunion commune RID/ADR/ADN sur sa session de printemps 2015)</w:t>
      </w:r>
    </w:p>
    <w:p w:rsidR="00BE7315" w:rsidRPr="000D2C88" w:rsidRDefault="00BE7315" w:rsidP="0005714C">
      <w:pPr>
        <w:spacing w:after="120"/>
        <w:ind w:left="3402" w:right="1134"/>
        <w:jc w:val="both"/>
        <w:rPr>
          <w:lang w:val="fr-CH"/>
        </w:rPr>
      </w:pPr>
      <w:r w:rsidRPr="000D2C88">
        <w:rPr>
          <w:lang w:val="fr-CH"/>
        </w:rPr>
        <w:t xml:space="preserve">ECE/TRANS/WP.15/228 (Rapport du Groupe de travail des transports de marchandises dangereuses sur </w:t>
      </w:r>
      <w:r w:rsidRPr="00F301F5">
        <w:rPr>
          <w:rStyle w:val="SingleTxtGChar"/>
          <w:lang w:val="fr-CH"/>
        </w:rPr>
        <w:t>s</w:t>
      </w:r>
      <w:r w:rsidRPr="000D2C88">
        <w:rPr>
          <w:lang w:val="fr-CH"/>
        </w:rPr>
        <w:t>a quatre-vingt-dix-huitième session)</w:t>
      </w:r>
    </w:p>
    <w:p w:rsidR="00BE7315" w:rsidRPr="000D2C88" w:rsidRDefault="00BE7315" w:rsidP="0005714C">
      <w:pPr>
        <w:pStyle w:val="SingleTxtG"/>
        <w:rPr>
          <w:lang w:val="fr-CH"/>
        </w:rPr>
      </w:pPr>
      <w:r w:rsidRPr="000D2C88">
        <w:rPr>
          <w:lang w:val="fr-CH"/>
        </w:rPr>
        <w:t>3</w:t>
      </w:r>
      <w:r>
        <w:rPr>
          <w:lang w:val="fr-CH"/>
        </w:rPr>
        <w:t>8</w:t>
      </w:r>
      <w:r w:rsidRPr="000D2C88">
        <w:rPr>
          <w:lang w:val="fr-CH"/>
        </w:rPr>
        <w:t>.</w:t>
      </w:r>
      <w:r w:rsidRPr="000D2C88">
        <w:rPr>
          <w:lang w:val="fr-CH"/>
        </w:rPr>
        <w:tab/>
        <w:t>Le secrétariat a été prié de consolider dans un seul document tous les amendements adoptés par la Réunion commune et par le Groupe WP.15 en 2014 et 2015 qui devraient être également reflétés dans le Règlement annexé à l'ADN et qui n'ont pas déjà été adoptés, pour examen à la prochaine session.</w:t>
      </w:r>
    </w:p>
    <w:p w:rsidR="00BE7315" w:rsidRPr="000D2C88" w:rsidRDefault="00BE7315" w:rsidP="0005714C">
      <w:pPr>
        <w:pStyle w:val="H1G"/>
        <w:rPr>
          <w:lang w:val="fr-CH"/>
        </w:rPr>
      </w:pPr>
      <w:r w:rsidRPr="000D2C88">
        <w:rPr>
          <w:lang w:val="fr-CH"/>
        </w:rPr>
        <w:tab/>
      </w:r>
      <w:bookmarkStart w:id="31" w:name="_Toc428948888"/>
      <w:r w:rsidRPr="000D2C88">
        <w:rPr>
          <w:lang w:val="fr-CH"/>
        </w:rPr>
        <w:t>B.</w:t>
      </w:r>
      <w:r w:rsidRPr="000D2C88">
        <w:rPr>
          <w:lang w:val="fr-CH"/>
        </w:rPr>
        <w:tab/>
        <w:t>Autres propositions</w:t>
      </w:r>
      <w:bookmarkEnd w:id="31"/>
    </w:p>
    <w:p w:rsidR="00BE7315" w:rsidRPr="000D2C88" w:rsidRDefault="00BE7315" w:rsidP="0005714C">
      <w:pPr>
        <w:pStyle w:val="H23G"/>
        <w:rPr>
          <w:lang w:val="fr-CH"/>
        </w:rPr>
      </w:pPr>
      <w:r w:rsidRPr="000D2C88">
        <w:rPr>
          <w:lang w:val="fr-CH"/>
        </w:rPr>
        <w:tab/>
      </w:r>
      <w:bookmarkStart w:id="32" w:name="_Toc428948889"/>
      <w:r w:rsidRPr="000D2C88">
        <w:rPr>
          <w:lang w:val="fr-CH"/>
        </w:rPr>
        <w:t>1.</w:t>
      </w:r>
      <w:r w:rsidRPr="000D2C88">
        <w:rPr>
          <w:lang w:val="fr-CH"/>
        </w:rPr>
        <w:tab/>
        <w:t>Prescriptions relatives aux réservoirs sous pression, armatures et tuyauteries pressurisées dans les installations d'extinction d'incendie</w:t>
      </w:r>
      <w:bookmarkEnd w:id="32"/>
    </w:p>
    <w:p w:rsidR="00BE7315" w:rsidRPr="000D2C88" w:rsidRDefault="00BE7315" w:rsidP="0005714C">
      <w:pPr>
        <w:pStyle w:val="SingleTxtG"/>
        <w:rPr>
          <w:lang w:val="fr-CH"/>
        </w:rPr>
      </w:pPr>
      <w:r w:rsidRPr="000D2C88">
        <w:rPr>
          <w:i/>
          <w:lang w:val="fr-CH"/>
        </w:rPr>
        <w:t>Document:</w:t>
      </w:r>
      <w:r w:rsidRPr="000D2C88">
        <w:rPr>
          <w:lang w:val="fr-CH"/>
        </w:rPr>
        <w:t xml:space="preserve"> </w:t>
      </w:r>
      <w:r w:rsidRPr="000D2C88">
        <w:rPr>
          <w:lang w:val="fr-CH"/>
        </w:rPr>
        <w:tab/>
      </w:r>
      <w:r w:rsidRPr="000D2C88">
        <w:rPr>
          <w:lang w:val="fr-CH"/>
        </w:rPr>
        <w:tab/>
        <w:t>ECE/TRANS/WP.15/AC.2/2015/8 (Allemagne)</w:t>
      </w:r>
    </w:p>
    <w:p w:rsidR="00BE7315" w:rsidRPr="000D2C88" w:rsidRDefault="00BE7315" w:rsidP="0005714C">
      <w:pPr>
        <w:pStyle w:val="SingleTxtG"/>
        <w:rPr>
          <w:lang w:val="fr-CH"/>
        </w:rPr>
      </w:pPr>
      <w:r w:rsidRPr="000D2C88">
        <w:rPr>
          <w:lang w:val="fr-CH"/>
        </w:rPr>
        <w:t>3</w:t>
      </w:r>
      <w:r>
        <w:rPr>
          <w:lang w:val="fr-CH"/>
        </w:rPr>
        <w:t>9</w:t>
      </w:r>
      <w:r w:rsidRPr="000D2C88">
        <w:rPr>
          <w:lang w:val="fr-CH"/>
        </w:rPr>
        <w:t>.</w:t>
      </w:r>
      <w:r w:rsidRPr="000D2C88">
        <w:rPr>
          <w:lang w:val="fr-CH"/>
        </w:rPr>
        <w:tab/>
        <w:t>Les propositions d'amendements ont été adoptées avec quelques modifications (voir annexe</w:t>
      </w:r>
      <w:r>
        <w:rPr>
          <w:lang w:val="fr-CH"/>
        </w:rPr>
        <w:t xml:space="preserve"> I</w:t>
      </w:r>
      <w:r w:rsidRPr="000D2C88">
        <w:rPr>
          <w:lang w:val="fr-CH"/>
        </w:rPr>
        <w:t>).</w:t>
      </w:r>
    </w:p>
    <w:p w:rsidR="00BE7315" w:rsidRPr="000D2C88" w:rsidRDefault="00BE7315" w:rsidP="0005714C">
      <w:pPr>
        <w:pStyle w:val="H23G"/>
        <w:rPr>
          <w:lang w:val="fr-CH"/>
        </w:rPr>
      </w:pPr>
      <w:r w:rsidRPr="000D2C88">
        <w:rPr>
          <w:lang w:val="fr-CH"/>
        </w:rPr>
        <w:tab/>
      </w:r>
      <w:bookmarkStart w:id="33" w:name="_Toc428948890"/>
      <w:r w:rsidRPr="000D2C88">
        <w:rPr>
          <w:lang w:val="fr-CH"/>
        </w:rPr>
        <w:t>2.</w:t>
      </w:r>
      <w:r w:rsidRPr="000D2C88">
        <w:rPr>
          <w:lang w:val="fr-CH"/>
        </w:rPr>
        <w:tab/>
        <w:t>Tableau 7.2.4.77 – Moyens d'évacuation possibles en cas d'urgence</w:t>
      </w:r>
      <w:bookmarkEnd w:id="33"/>
    </w:p>
    <w:p w:rsidR="00BE7315" w:rsidRPr="000D2C88" w:rsidRDefault="00BE7315" w:rsidP="0005714C">
      <w:pPr>
        <w:pStyle w:val="SingleTxtG"/>
        <w:rPr>
          <w:lang w:val="fr-CH"/>
        </w:rPr>
      </w:pPr>
      <w:r w:rsidRPr="000D2C88">
        <w:rPr>
          <w:i/>
          <w:lang w:val="fr-CH"/>
        </w:rPr>
        <w:t>Document:</w:t>
      </w:r>
      <w:r w:rsidRPr="000D2C88">
        <w:rPr>
          <w:lang w:val="fr-CH"/>
        </w:rPr>
        <w:t xml:space="preserve"> </w:t>
      </w:r>
      <w:r w:rsidRPr="000D2C88">
        <w:rPr>
          <w:lang w:val="fr-CH"/>
        </w:rPr>
        <w:tab/>
      </w:r>
      <w:r w:rsidRPr="000D2C88">
        <w:rPr>
          <w:lang w:val="fr-CH"/>
        </w:rPr>
        <w:tab/>
        <w:t>ECE/TRANS/WP.15/AC.2/2015/10 (Allemagne)</w:t>
      </w:r>
    </w:p>
    <w:p w:rsidR="00BE7315" w:rsidRPr="000D2C88" w:rsidRDefault="00BE7315" w:rsidP="0005714C">
      <w:pPr>
        <w:pStyle w:val="SingleTxtG"/>
        <w:rPr>
          <w:lang w:val="fr-CH"/>
        </w:rPr>
      </w:pPr>
      <w:r>
        <w:rPr>
          <w:lang w:val="fr-CH"/>
        </w:rPr>
        <w:t>40</w:t>
      </w:r>
      <w:r w:rsidRPr="000D2C88">
        <w:rPr>
          <w:lang w:val="fr-CH"/>
        </w:rPr>
        <w:t>.</w:t>
      </w:r>
      <w:r w:rsidRPr="000D2C88">
        <w:rPr>
          <w:lang w:val="fr-CH"/>
        </w:rPr>
        <w:tab/>
        <w:t>La proposition d'amendement au tableau a été adoptée (voir annexe</w:t>
      </w:r>
      <w:r>
        <w:rPr>
          <w:lang w:val="fr-CH"/>
        </w:rPr>
        <w:t xml:space="preserve"> I</w:t>
      </w:r>
      <w:r w:rsidRPr="000D2C88">
        <w:rPr>
          <w:lang w:val="fr-CH"/>
        </w:rPr>
        <w:t>).</w:t>
      </w:r>
    </w:p>
    <w:p w:rsidR="00BE7315" w:rsidRPr="000D2C88" w:rsidRDefault="00BE7315" w:rsidP="0005714C">
      <w:pPr>
        <w:pStyle w:val="H23G"/>
        <w:rPr>
          <w:lang w:val="fr-CH"/>
        </w:rPr>
      </w:pPr>
      <w:r w:rsidRPr="000D2C88">
        <w:rPr>
          <w:lang w:val="fr-CH"/>
        </w:rPr>
        <w:tab/>
      </w:r>
      <w:bookmarkStart w:id="34" w:name="_Toc428948891"/>
      <w:r w:rsidRPr="000D2C88">
        <w:rPr>
          <w:lang w:val="fr-CH"/>
        </w:rPr>
        <w:t>3.</w:t>
      </w:r>
      <w:r w:rsidRPr="000D2C88">
        <w:rPr>
          <w:lang w:val="fr-CH"/>
        </w:rPr>
        <w:tab/>
        <w:t>Prescription transitoire ad 9.3.X.51.3</w:t>
      </w:r>
      <w:r w:rsidR="00F301F5">
        <w:rPr>
          <w:lang w:val="fr-CH"/>
        </w:rPr>
        <w:t xml:space="preserve"> </w:t>
      </w:r>
      <w:r w:rsidRPr="000D2C88">
        <w:rPr>
          <w:lang w:val="fr-CH"/>
        </w:rPr>
        <w:t>(classe de température et groupe d'explosion)</w:t>
      </w:r>
      <w:bookmarkEnd w:id="34"/>
    </w:p>
    <w:p w:rsidR="00BE7315" w:rsidRPr="000D2C88" w:rsidRDefault="00BE7315" w:rsidP="0005714C">
      <w:pPr>
        <w:pStyle w:val="SingleTxtG"/>
        <w:rPr>
          <w:lang w:val="fr-CH"/>
        </w:rPr>
      </w:pPr>
      <w:r w:rsidRPr="000D2C88">
        <w:rPr>
          <w:i/>
          <w:lang w:val="fr-CH"/>
        </w:rPr>
        <w:t>Document:</w:t>
      </w:r>
      <w:r w:rsidRPr="000D2C88">
        <w:rPr>
          <w:lang w:val="fr-CH"/>
        </w:rPr>
        <w:t xml:space="preserve"> </w:t>
      </w:r>
      <w:r w:rsidRPr="000D2C88">
        <w:rPr>
          <w:lang w:val="fr-CH"/>
        </w:rPr>
        <w:tab/>
      </w:r>
      <w:r w:rsidRPr="000D2C88">
        <w:rPr>
          <w:lang w:val="fr-CH"/>
        </w:rPr>
        <w:tab/>
        <w:t>ECE/TRANS/WP.15/AC.2/2015/12 (Allemagne)</w:t>
      </w:r>
    </w:p>
    <w:p w:rsidR="00BE7315" w:rsidRPr="000D2C88" w:rsidRDefault="00BE7315" w:rsidP="0005714C">
      <w:pPr>
        <w:pStyle w:val="SingleTxtG"/>
        <w:rPr>
          <w:lang w:val="fr-CH"/>
        </w:rPr>
      </w:pPr>
      <w:r>
        <w:rPr>
          <w:lang w:val="fr-CH"/>
        </w:rPr>
        <w:t>41</w:t>
      </w:r>
      <w:r w:rsidRPr="000D2C88">
        <w:rPr>
          <w:lang w:val="fr-CH"/>
        </w:rPr>
        <w:t>.</w:t>
      </w:r>
      <w:r w:rsidRPr="000D2C88">
        <w:rPr>
          <w:lang w:val="fr-CH"/>
        </w:rPr>
        <w:tab/>
        <w:t xml:space="preserve">Plusieurs délégations ont estimé qu'avancer la fin de période transitoire au </w:t>
      </w:r>
      <w:r>
        <w:rPr>
          <w:lang w:val="fr-CH"/>
        </w:rPr>
        <w:br/>
      </w:r>
      <w:r w:rsidRPr="000D2C88">
        <w:rPr>
          <w:lang w:val="fr-CH"/>
        </w:rPr>
        <w:t>31 décembre 2018 au lieu du 31 décembre 2034 aurait des répercussion</w:t>
      </w:r>
      <w:r w:rsidR="00C12459">
        <w:rPr>
          <w:lang w:val="fr-CH"/>
        </w:rPr>
        <w:t>s</w:t>
      </w:r>
      <w:r w:rsidRPr="000D2C88">
        <w:rPr>
          <w:lang w:val="fr-CH"/>
        </w:rPr>
        <w:t xml:space="preserve"> économiques bien plus importantes que celle indiquées dans la proposition sachant que cela concernait tous les types de bateaux y compris les petits bateaux avitailleurs de type N.</w:t>
      </w:r>
    </w:p>
    <w:p w:rsidR="00BE7315" w:rsidRPr="000D2C88" w:rsidRDefault="00BE7315" w:rsidP="0005714C">
      <w:pPr>
        <w:pStyle w:val="SingleTxtG"/>
        <w:rPr>
          <w:lang w:val="fr-CH"/>
        </w:rPr>
      </w:pPr>
      <w:r>
        <w:rPr>
          <w:lang w:val="fr-CH"/>
        </w:rPr>
        <w:t>42</w:t>
      </w:r>
      <w:r w:rsidRPr="000D2C88">
        <w:rPr>
          <w:lang w:val="fr-CH"/>
        </w:rPr>
        <w:t>.</w:t>
      </w:r>
      <w:r w:rsidRPr="000D2C88">
        <w:rPr>
          <w:lang w:val="fr-CH"/>
        </w:rPr>
        <w:tab/>
        <w:t>Comme il semblait par ailleurs difficile d'évaluer la situation du point de vue technique puisque les bateaux concernés avaient été construits suivant des prescriptions applicables avant 1996, le Président a suggéré que la profession et les sociétés de classification fournissent des informations à ce sujet avant qu'une décision ne soit prise.</w:t>
      </w:r>
    </w:p>
    <w:p w:rsidR="00BE7315" w:rsidRPr="000D2C88" w:rsidRDefault="00BE7315" w:rsidP="0005714C">
      <w:pPr>
        <w:pStyle w:val="H23G"/>
        <w:rPr>
          <w:lang w:val="fr-CH"/>
        </w:rPr>
      </w:pPr>
      <w:r w:rsidRPr="000D2C88">
        <w:rPr>
          <w:lang w:val="fr-CH"/>
        </w:rPr>
        <w:tab/>
      </w:r>
      <w:bookmarkStart w:id="35" w:name="_Toc428948892"/>
      <w:r w:rsidRPr="000D2C88">
        <w:rPr>
          <w:lang w:val="fr-CH"/>
        </w:rPr>
        <w:t>4.</w:t>
      </w:r>
      <w:r w:rsidRPr="000D2C88">
        <w:rPr>
          <w:lang w:val="fr-CH"/>
        </w:rPr>
        <w:tab/>
        <w:t>Exemple de types de certificat de formation</w:t>
      </w:r>
      <w:bookmarkEnd w:id="35"/>
      <w:r w:rsidRPr="000D2C88">
        <w:rPr>
          <w:lang w:val="fr-CH"/>
        </w:rPr>
        <w:t xml:space="preserve"> </w:t>
      </w:r>
    </w:p>
    <w:p w:rsidR="00BE7315" w:rsidRPr="000D2C88" w:rsidRDefault="00BE7315" w:rsidP="0005714C">
      <w:pPr>
        <w:pStyle w:val="SingleTxtG"/>
        <w:rPr>
          <w:lang w:val="fr-CH"/>
        </w:rPr>
      </w:pPr>
      <w:r w:rsidRPr="000D2C88">
        <w:rPr>
          <w:i/>
          <w:lang w:val="fr-CH"/>
        </w:rPr>
        <w:t>Document:</w:t>
      </w:r>
      <w:r w:rsidRPr="000D2C88">
        <w:rPr>
          <w:lang w:val="fr-CH"/>
        </w:rPr>
        <w:t xml:space="preserve"> </w:t>
      </w:r>
      <w:r w:rsidRPr="000D2C88">
        <w:rPr>
          <w:lang w:val="fr-CH"/>
        </w:rPr>
        <w:tab/>
      </w:r>
      <w:r w:rsidRPr="000D2C88">
        <w:rPr>
          <w:lang w:val="fr-CH"/>
        </w:rPr>
        <w:tab/>
        <w:t>ECE/TRANS/WP.15/AC.2/2015/14 (Allemagne)</w:t>
      </w:r>
    </w:p>
    <w:p w:rsidR="00BE7315" w:rsidRPr="000D2C88" w:rsidRDefault="00BE7315" w:rsidP="0005714C">
      <w:pPr>
        <w:pStyle w:val="SingleTxtG"/>
        <w:rPr>
          <w:lang w:val="fr-CH"/>
        </w:rPr>
      </w:pPr>
      <w:r>
        <w:rPr>
          <w:lang w:val="fr-CH"/>
        </w:rPr>
        <w:t>43</w:t>
      </w:r>
      <w:r w:rsidRPr="000D2C88">
        <w:rPr>
          <w:lang w:val="fr-CH"/>
        </w:rPr>
        <w:t>.</w:t>
      </w:r>
      <w:r w:rsidRPr="000D2C88">
        <w:rPr>
          <w:lang w:val="fr-CH"/>
        </w:rPr>
        <w:tab/>
        <w:t>Le Comité de sécurité a adopté la proposition visant à demander aux Parties contractantes de communiquer des exemplaires des certificats délivrés afin qu'ils soient publiés sur le site web de la CEE-ONU à l'instar de ce qui est fait pour les certificats ADR (voir annexe</w:t>
      </w:r>
      <w:r>
        <w:rPr>
          <w:lang w:val="fr-CH"/>
        </w:rPr>
        <w:t xml:space="preserve"> I</w:t>
      </w:r>
      <w:r w:rsidRPr="000D2C88">
        <w:rPr>
          <w:lang w:val="fr-CH"/>
        </w:rPr>
        <w:t>).</w:t>
      </w:r>
    </w:p>
    <w:p w:rsidR="00BE7315" w:rsidRPr="000D2C88" w:rsidRDefault="00BE7315" w:rsidP="0005714C">
      <w:pPr>
        <w:pStyle w:val="H23G"/>
        <w:rPr>
          <w:lang w:val="fr-CH"/>
        </w:rPr>
      </w:pPr>
      <w:r w:rsidRPr="000D2C88">
        <w:rPr>
          <w:lang w:val="fr-CH"/>
        </w:rPr>
        <w:lastRenderedPageBreak/>
        <w:tab/>
      </w:r>
      <w:bookmarkStart w:id="36" w:name="_Toc428948893"/>
      <w:r w:rsidRPr="000D2C88">
        <w:rPr>
          <w:lang w:val="fr-CH"/>
        </w:rPr>
        <w:t>5.</w:t>
      </w:r>
      <w:r w:rsidRPr="000D2C88">
        <w:rPr>
          <w:lang w:val="fr-CH"/>
        </w:rPr>
        <w:tab/>
        <w:t>Corrections au texte allemand des 9.3.2.22.4 et 9.3.3.22.4</w:t>
      </w:r>
      <w:bookmarkEnd w:id="36"/>
    </w:p>
    <w:p w:rsidR="00BE7315" w:rsidRPr="000D2C88" w:rsidRDefault="00BE7315" w:rsidP="0005714C">
      <w:pPr>
        <w:pStyle w:val="SingleTxtG"/>
        <w:rPr>
          <w:lang w:val="fr-CH"/>
        </w:rPr>
      </w:pPr>
      <w:r w:rsidRPr="000D2C88">
        <w:rPr>
          <w:i/>
          <w:lang w:val="fr-CH"/>
        </w:rPr>
        <w:t>Document:</w:t>
      </w:r>
      <w:r w:rsidRPr="000D2C88">
        <w:rPr>
          <w:lang w:val="fr-CH"/>
        </w:rPr>
        <w:t xml:space="preserve"> </w:t>
      </w:r>
      <w:r w:rsidRPr="000D2C88">
        <w:rPr>
          <w:lang w:val="fr-CH"/>
        </w:rPr>
        <w:tab/>
      </w:r>
      <w:r w:rsidRPr="000D2C88">
        <w:rPr>
          <w:lang w:val="fr-CH"/>
        </w:rPr>
        <w:tab/>
        <w:t>ECE/TRANS/WP.15/AC.2/2015/15 (Allemagne)</w:t>
      </w:r>
    </w:p>
    <w:p w:rsidR="00BE7315" w:rsidRPr="000D2C88" w:rsidRDefault="00BE7315" w:rsidP="0005714C">
      <w:pPr>
        <w:pStyle w:val="SingleTxtG"/>
        <w:rPr>
          <w:lang w:val="fr-CH"/>
        </w:rPr>
      </w:pPr>
      <w:r w:rsidRPr="000D2C88">
        <w:rPr>
          <w:lang w:val="fr-CH"/>
        </w:rPr>
        <w:t>4</w:t>
      </w:r>
      <w:r>
        <w:rPr>
          <w:lang w:val="fr-CH"/>
        </w:rPr>
        <w:t>4</w:t>
      </w:r>
      <w:r w:rsidRPr="000D2C88">
        <w:rPr>
          <w:lang w:val="fr-CH"/>
        </w:rPr>
        <w:t>.</w:t>
      </w:r>
      <w:r w:rsidRPr="000D2C88">
        <w:rPr>
          <w:lang w:val="fr-CH"/>
        </w:rPr>
        <w:tab/>
        <w:t>Le Comité de sécurité a noté que des erreurs avaient été introduites dans la version allemande 2015 de l'ADN et a demandé au secrétariat de la CCNR de les rectifier immédiatement afin d'assurer la concordance avec les autres versions linguistiques</w:t>
      </w:r>
      <w:r w:rsidR="00597000">
        <w:rPr>
          <w:lang w:val="fr-CH"/>
        </w:rPr>
        <w:t xml:space="preserve"> </w:t>
      </w:r>
      <w:r w:rsidR="00597000" w:rsidRPr="000D2C88">
        <w:rPr>
          <w:lang w:val="fr-CH"/>
        </w:rPr>
        <w:t xml:space="preserve">(voir </w:t>
      </w:r>
      <w:r w:rsidR="00597000">
        <w:rPr>
          <w:lang w:val="fr-CH"/>
        </w:rPr>
        <w:br/>
      </w:r>
      <w:r w:rsidR="00597000" w:rsidRPr="000D2C88">
        <w:rPr>
          <w:lang w:val="fr-CH"/>
        </w:rPr>
        <w:t>annexe</w:t>
      </w:r>
      <w:r w:rsidR="00597000">
        <w:rPr>
          <w:lang w:val="fr-CH"/>
        </w:rPr>
        <w:t xml:space="preserve"> II</w:t>
      </w:r>
      <w:r w:rsidR="00597000" w:rsidRPr="000D2C88">
        <w:rPr>
          <w:lang w:val="fr-CH"/>
        </w:rPr>
        <w:t>)</w:t>
      </w:r>
      <w:r w:rsidRPr="000D2C88">
        <w:rPr>
          <w:lang w:val="fr-CH"/>
        </w:rPr>
        <w:t>.</w:t>
      </w:r>
    </w:p>
    <w:p w:rsidR="00BE7315" w:rsidRPr="000D2C88" w:rsidRDefault="00BE7315" w:rsidP="0005714C">
      <w:pPr>
        <w:pStyle w:val="SingleTxtG"/>
        <w:rPr>
          <w:lang w:val="fr-CH"/>
        </w:rPr>
      </w:pPr>
      <w:r w:rsidRPr="000D2C88">
        <w:rPr>
          <w:lang w:val="fr-CH"/>
        </w:rPr>
        <w:t>4</w:t>
      </w:r>
      <w:r>
        <w:rPr>
          <w:lang w:val="fr-CH"/>
        </w:rPr>
        <w:t>5</w:t>
      </w:r>
      <w:r w:rsidRPr="000D2C88">
        <w:rPr>
          <w:lang w:val="fr-CH"/>
        </w:rPr>
        <w:t>.</w:t>
      </w:r>
      <w:r w:rsidRPr="000D2C88">
        <w:rPr>
          <w:lang w:val="fr-CH"/>
        </w:rPr>
        <w:tab/>
        <w:t>Suite à une intervention de l'UENF, le Président a indiqué que si la profession souhaite utiliser des arrête-flammes plus simples que ceux actuellement exigée, elle devrait soumettre une proposition officielle avec les justifications nécessaires.</w:t>
      </w:r>
    </w:p>
    <w:p w:rsidR="00BE7315" w:rsidRPr="000D2C88" w:rsidRDefault="00BE7315" w:rsidP="0005714C">
      <w:pPr>
        <w:pStyle w:val="H23G"/>
        <w:rPr>
          <w:lang w:val="fr-CH"/>
        </w:rPr>
      </w:pPr>
      <w:r>
        <w:rPr>
          <w:lang w:val="fr-CH"/>
        </w:rPr>
        <w:tab/>
      </w:r>
      <w:bookmarkStart w:id="37" w:name="_Toc428948894"/>
      <w:r w:rsidRPr="000D2C88">
        <w:rPr>
          <w:lang w:val="fr-CH"/>
        </w:rPr>
        <w:t>6.</w:t>
      </w:r>
      <w:r w:rsidRPr="000D2C88">
        <w:rPr>
          <w:lang w:val="fr-CH"/>
        </w:rPr>
        <w:tab/>
        <w:t>Indications concernant l'installation d'</w:t>
      </w:r>
      <w:r w:rsidRPr="000D2C88">
        <w:rPr>
          <w:bCs/>
          <w:lang w:val="fr-CH"/>
        </w:rPr>
        <w:t xml:space="preserve">inertisation </w:t>
      </w:r>
      <w:r w:rsidRPr="000D2C88">
        <w:rPr>
          <w:lang w:val="fr-CH"/>
        </w:rPr>
        <w:t>aux 8.6.1.3 et 8.6.1.4</w:t>
      </w:r>
      <w:bookmarkEnd w:id="37"/>
    </w:p>
    <w:p w:rsidR="00BE7315" w:rsidRPr="000D2C88" w:rsidRDefault="00BE7315" w:rsidP="0005714C">
      <w:pPr>
        <w:pStyle w:val="SingleTxtG"/>
        <w:rPr>
          <w:lang w:val="fr-CH"/>
        </w:rPr>
      </w:pPr>
      <w:r w:rsidRPr="000D2C88">
        <w:rPr>
          <w:i/>
          <w:lang w:val="fr-CH"/>
        </w:rPr>
        <w:t>Document:</w:t>
      </w:r>
      <w:r w:rsidRPr="000D2C88">
        <w:rPr>
          <w:lang w:val="fr-CH"/>
        </w:rPr>
        <w:t xml:space="preserve"> </w:t>
      </w:r>
      <w:r w:rsidRPr="000D2C88">
        <w:rPr>
          <w:lang w:val="fr-CH"/>
        </w:rPr>
        <w:tab/>
      </w:r>
      <w:r w:rsidRPr="000D2C88">
        <w:rPr>
          <w:lang w:val="fr-CH"/>
        </w:rPr>
        <w:tab/>
        <w:t>ECE/TRANS/WP.15/AC.2/2015/16 (Allemagne)</w:t>
      </w:r>
    </w:p>
    <w:p w:rsidR="00BE7315" w:rsidRPr="000D2C88" w:rsidRDefault="00BE7315" w:rsidP="0005714C">
      <w:pPr>
        <w:pStyle w:val="SingleTxtG"/>
        <w:rPr>
          <w:lang w:val="fr-CH"/>
        </w:rPr>
      </w:pPr>
      <w:r w:rsidRPr="000D2C88">
        <w:rPr>
          <w:lang w:val="fr-CH"/>
        </w:rPr>
        <w:t>4</w:t>
      </w:r>
      <w:r>
        <w:rPr>
          <w:lang w:val="fr-CH"/>
        </w:rPr>
        <w:t>6</w:t>
      </w:r>
      <w:r w:rsidRPr="000D2C88">
        <w:rPr>
          <w:lang w:val="fr-CH"/>
        </w:rPr>
        <w:t>.</w:t>
      </w:r>
      <w:r w:rsidRPr="000D2C88">
        <w:rPr>
          <w:lang w:val="fr-CH"/>
        </w:rPr>
        <w:tab/>
        <w:t xml:space="preserve">La proposition de modification aux certificats d'agrément a été adoptée (voir </w:t>
      </w:r>
      <w:r w:rsidR="00F301F5">
        <w:rPr>
          <w:lang w:val="fr-CH"/>
        </w:rPr>
        <w:br/>
      </w:r>
      <w:r w:rsidRPr="000D2C88">
        <w:rPr>
          <w:lang w:val="fr-CH"/>
        </w:rPr>
        <w:t>annexe</w:t>
      </w:r>
      <w:r>
        <w:rPr>
          <w:lang w:val="fr-CH"/>
        </w:rPr>
        <w:t xml:space="preserve"> I</w:t>
      </w:r>
      <w:r w:rsidRPr="000D2C88">
        <w:rPr>
          <w:lang w:val="fr-CH"/>
        </w:rPr>
        <w:t>).</w:t>
      </w:r>
    </w:p>
    <w:p w:rsidR="00BE7315" w:rsidRPr="000D2C88" w:rsidRDefault="00BE7315" w:rsidP="0005714C">
      <w:pPr>
        <w:pStyle w:val="H23G"/>
        <w:rPr>
          <w:lang w:val="fr-CH"/>
        </w:rPr>
      </w:pPr>
      <w:r w:rsidRPr="000D2C88">
        <w:rPr>
          <w:lang w:val="fr-CH"/>
        </w:rPr>
        <w:tab/>
      </w:r>
      <w:bookmarkStart w:id="38" w:name="_Toc428948895"/>
      <w:r w:rsidRPr="000D2C88">
        <w:rPr>
          <w:lang w:val="fr-CH"/>
        </w:rPr>
        <w:t>7.</w:t>
      </w:r>
      <w:r w:rsidRPr="000D2C88">
        <w:rPr>
          <w:lang w:val="fr-CH"/>
        </w:rPr>
        <w:tab/>
        <w:t>Définition de gaz naturel liquéfié (GNL)</w:t>
      </w:r>
      <w:r w:rsidR="00F301F5">
        <w:rPr>
          <w:lang w:val="fr-CH"/>
        </w:rPr>
        <w:t xml:space="preserve"> </w:t>
      </w:r>
      <w:r w:rsidRPr="000D2C88">
        <w:rPr>
          <w:lang w:val="fr-CH"/>
        </w:rPr>
        <w:t>(version allemande)</w:t>
      </w:r>
      <w:bookmarkEnd w:id="38"/>
    </w:p>
    <w:p w:rsidR="00BE7315" w:rsidRPr="000D2C88" w:rsidRDefault="00BE7315" w:rsidP="0005714C">
      <w:pPr>
        <w:pStyle w:val="SingleTxtG"/>
        <w:rPr>
          <w:lang w:val="fr-CH"/>
        </w:rPr>
      </w:pPr>
      <w:r w:rsidRPr="000D2C88">
        <w:rPr>
          <w:i/>
          <w:lang w:val="fr-CH"/>
        </w:rPr>
        <w:t>Document:</w:t>
      </w:r>
      <w:r w:rsidRPr="000D2C88">
        <w:rPr>
          <w:lang w:val="fr-CH"/>
        </w:rPr>
        <w:t xml:space="preserve"> </w:t>
      </w:r>
      <w:r w:rsidRPr="000D2C88">
        <w:rPr>
          <w:lang w:val="fr-CH"/>
        </w:rPr>
        <w:tab/>
      </w:r>
      <w:r w:rsidRPr="000D2C88">
        <w:rPr>
          <w:lang w:val="fr-CH"/>
        </w:rPr>
        <w:tab/>
      </w:r>
      <w:r w:rsidRPr="000D2C88">
        <w:rPr>
          <w:lang w:val="fr-CH"/>
        </w:rPr>
        <w:tab/>
        <w:t>ECE/TRANS/WP.15/AC.2/2015/17 (Allemagne)</w:t>
      </w:r>
    </w:p>
    <w:p w:rsidR="00BE7315" w:rsidRPr="000D2C88" w:rsidRDefault="00BE7315" w:rsidP="0005714C">
      <w:pPr>
        <w:pStyle w:val="SingleTxtG"/>
        <w:rPr>
          <w:lang w:val="fr-CH"/>
        </w:rPr>
      </w:pPr>
      <w:r w:rsidRPr="000D2C88">
        <w:rPr>
          <w:lang w:val="fr-CH"/>
        </w:rPr>
        <w:t>4</w:t>
      </w:r>
      <w:r>
        <w:rPr>
          <w:lang w:val="fr-CH"/>
        </w:rPr>
        <w:t>7</w:t>
      </w:r>
      <w:r w:rsidRPr="000D2C88">
        <w:rPr>
          <w:lang w:val="fr-CH"/>
        </w:rPr>
        <w:t>.</w:t>
      </w:r>
      <w:r w:rsidRPr="000D2C88">
        <w:rPr>
          <w:lang w:val="fr-CH"/>
        </w:rPr>
        <w:tab/>
        <w:t>La proposition de modification à la version allemande a été adoptée (voir annexe</w:t>
      </w:r>
      <w:r>
        <w:rPr>
          <w:lang w:val="fr-CH"/>
        </w:rPr>
        <w:t xml:space="preserve"> II</w:t>
      </w:r>
      <w:r w:rsidRPr="000D2C88">
        <w:rPr>
          <w:lang w:val="fr-CH"/>
        </w:rPr>
        <w:t>).</w:t>
      </w:r>
    </w:p>
    <w:p w:rsidR="00BE7315" w:rsidRPr="000D2C88" w:rsidRDefault="00BE7315" w:rsidP="0005714C">
      <w:pPr>
        <w:pStyle w:val="H23G"/>
        <w:rPr>
          <w:lang w:val="fr-CH"/>
        </w:rPr>
      </w:pPr>
      <w:r w:rsidRPr="000D2C88">
        <w:rPr>
          <w:lang w:val="fr-CH"/>
        </w:rPr>
        <w:tab/>
      </w:r>
      <w:bookmarkStart w:id="39" w:name="_Toc428948896"/>
      <w:r w:rsidRPr="000D2C88">
        <w:rPr>
          <w:lang w:val="fr-CH"/>
        </w:rPr>
        <w:t>8.</w:t>
      </w:r>
      <w:r w:rsidRPr="000D2C88">
        <w:rPr>
          <w:lang w:val="fr-CH"/>
        </w:rPr>
        <w:tab/>
        <w:t xml:space="preserve">Dérogation à la prescription du 7.2.4.25.5 selon laquelle les mélanges gaz-air survenant lors du chargement d'huiles de chauffe lourdes doivent être </w:t>
      </w:r>
      <w:r>
        <w:rPr>
          <w:lang w:val="fr-CH"/>
        </w:rPr>
        <w:br/>
      </w:r>
      <w:r w:rsidRPr="000D2C88">
        <w:rPr>
          <w:lang w:val="fr-CH"/>
        </w:rPr>
        <w:t>renvoyées à terre</w:t>
      </w:r>
      <w:bookmarkEnd w:id="39"/>
    </w:p>
    <w:p w:rsidR="00BE7315" w:rsidRPr="000D2C88" w:rsidRDefault="00BE7315" w:rsidP="0005714C">
      <w:pPr>
        <w:pStyle w:val="SingleTxtG"/>
        <w:rPr>
          <w:lang w:val="fr-CH"/>
        </w:rPr>
      </w:pPr>
      <w:r w:rsidRPr="000D2C88">
        <w:rPr>
          <w:i/>
          <w:lang w:val="fr-CH"/>
        </w:rPr>
        <w:t>Document:</w:t>
      </w:r>
      <w:r w:rsidRPr="000D2C88">
        <w:rPr>
          <w:lang w:val="fr-CH"/>
        </w:rPr>
        <w:t xml:space="preserve"> </w:t>
      </w:r>
      <w:r w:rsidRPr="000D2C88">
        <w:rPr>
          <w:lang w:val="fr-CH"/>
        </w:rPr>
        <w:tab/>
      </w:r>
      <w:r w:rsidRPr="000D2C88">
        <w:rPr>
          <w:lang w:val="fr-CH"/>
        </w:rPr>
        <w:tab/>
      </w:r>
      <w:r w:rsidRPr="000D2C88">
        <w:rPr>
          <w:lang w:val="fr-CH"/>
        </w:rPr>
        <w:tab/>
        <w:t>ECE/TRANS/WP.15/AC.2/2015/20 (FuelsEurope)</w:t>
      </w:r>
    </w:p>
    <w:p w:rsidR="00BE7315" w:rsidRPr="000D2C88" w:rsidRDefault="00BE7315" w:rsidP="0005714C">
      <w:pPr>
        <w:pStyle w:val="SingleTxtG"/>
        <w:rPr>
          <w:lang w:val="fr-CH"/>
        </w:rPr>
      </w:pPr>
      <w:r w:rsidRPr="000D2C88">
        <w:rPr>
          <w:i/>
          <w:lang w:val="fr-CH"/>
        </w:rPr>
        <w:t>Document informel:</w:t>
      </w:r>
      <w:r w:rsidRPr="000D2C88">
        <w:rPr>
          <w:lang w:val="fr-CH"/>
        </w:rPr>
        <w:t xml:space="preserve"> </w:t>
      </w:r>
      <w:r w:rsidRPr="000D2C88">
        <w:rPr>
          <w:lang w:val="fr-CH"/>
        </w:rPr>
        <w:tab/>
      </w:r>
      <w:r w:rsidRPr="000D2C88">
        <w:rPr>
          <w:lang w:val="fr-CH"/>
        </w:rPr>
        <w:tab/>
        <w:t>INF.20 (FuelsEurope)</w:t>
      </w:r>
    </w:p>
    <w:p w:rsidR="00BE7315" w:rsidRPr="000D2C88" w:rsidRDefault="00BE7315" w:rsidP="0005714C">
      <w:pPr>
        <w:pStyle w:val="SingleTxtG"/>
        <w:rPr>
          <w:lang w:val="fr-CH"/>
        </w:rPr>
      </w:pPr>
      <w:r w:rsidRPr="000D2C88">
        <w:rPr>
          <w:lang w:val="fr-CH"/>
        </w:rPr>
        <w:t>4</w:t>
      </w:r>
      <w:r>
        <w:rPr>
          <w:lang w:val="fr-CH"/>
        </w:rPr>
        <w:t>8</w:t>
      </w:r>
      <w:r w:rsidRPr="000D2C88">
        <w:rPr>
          <w:lang w:val="fr-CH"/>
        </w:rPr>
        <w:t>.</w:t>
      </w:r>
      <w:r w:rsidRPr="000D2C88">
        <w:rPr>
          <w:lang w:val="fr-CH"/>
        </w:rPr>
        <w:tab/>
        <w:t>Le représentant des Pays-Bas a indiqué que ses experts techniques n'avaient pas été en mesure de vérifier le rapport de CONCAWE transmis par FuelsEurope dans le document informel INF.20 et qu'il n'était donc pas en mesure d'accepter la proposition.</w:t>
      </w:r>
    </w:p>
    <w:p w:rsidR="00BE7315" w:rsidRPr="000D2C88" w:rsidRDefault="00BE7315" w:rsidP="0005714C">
      <w:pPr>
        <w:pStyle w:val="SingleTxtG"/>
        <w:rPr>
          <w:lang w:val="fr-CH"/>
        </w:rPr>
      </w:pPr>
      <w:r w:rsidRPr="000D2C88">
        <w:rPr>
          <w:lang w:val="fr-CH"/>
        </w:rPr>
        <w:t>4</w:t>
      </w:r>
      <w:r>
        <w:rPr>
          <w:lang w:val="fr-CH"/>
        </w:rPr>
        <w:t>9</w:t>
      </w:r>
      <w:r w:rsidRPr="000D2C88">
        <w:rPr>
          <w:lang w:val="fr-CH"/>
        </w:rPr>
        <w:t>.</w:t>
      </w:r>
      <w:r w:rsidRPr="000D2C88">
        <w:rPr>
          <w:lang w:val="fr-CH"/>
        </w:rPr>
        <w:tab/>
        <w:t>Le Président a regretté cette situation car suite aux débats de la dernière session, toutes les délégations intéressées avaient eu la possibilité de consulter FuelsEurope sur les questions techniques et de fournir des commentaires sur la première mouture du rapport.</w:t>
      </w:r>
    </w:p>
    <w:p w:rsidR="00BE7315" w:rsidRPr="000D2C88" w:rsidRDefault="00BE7315" w:rsidP="0005714C">
      <w:pPr>
        <w:pStyle w:val="SingleTxtG"/>
        <w:rPr>
          <w:lang w:val="fr-CH"/>
        </w:rPr>
      </w:pPr>
      <w:r>
        <w:rPr>
          <w:lang w:val="fr-CH"/>
        </w:rPr>
        <w:t>50</w:t>
      </w:r>
      <w:r w:rsidRPr="000D2C88">
        <w:rPr>
          <w:lang w:val="fr-CH"/>
        </w:rPr>
        <w:t>.</w:t>
      </w:r>
      <w:r w:rsidRPr="000D2C88">
        <w:rPr>
          <w:lang w:val="fr-CH"/>
        </w:rPr>
        <w:tab/>
        <w:t>Il a été relevé que si la dérogation proposée n'était pas acceptée en janvier prochain, il faudrait au moins un an pour équiper les ports d'installations de renvoi à terre des mélanges gaz-air émis par les huiles de chauffe lourdes lors du chargement.</w:t>
      </w:r>
    </w:p>
    <w:p w:rsidR="00BE7315" w:rsidRPr="000D2C88" w:rsidRDefault="00BE7315" w:rsidP="0005714C">
      <w:pPr>
        <w:pStyle w:val="SingleTxtG"/>
        <w:rPr>
          <w:lang w:val="fr-CH"/>
        </w:rPr>
      </w:pPr>
      <w:r>
        <w:rPr>
          <w:lang w:val="fr-CH"/>
        </w:rPr>
        <w:t>51</w:t>
      </w:r>
      <w:r w:rsidRPr="000D2C88">
        <w:rPr>
          <w:lang w:val="fr-CH"/>
        </w:rPr>
        <w:t>.</w:t>
      </w:r>
      <w:r w:rsidRPr="000D2C88">
        <w:rPr>
          <w:lang w:val="fr-CH"/>
        </w:rPr>
        <w:tab/>
        <w:t xml:space="preserve">Il a finalement été décidé: </w:t>
      </w:r>
    </w:p>
    <w:p w:rsidR="00BE7315" w:rsidRPr="000D2C88" w:rsidRDefault="00BE7315" w:rsidP="0005714C">
      <w:pPr>
        <w:pStyle w:val="SingleTxtG"/>
        <w:ind w:firstLine="567"/>
        <w:rPr>
          <w:lang w:val="fr-CH"/>
        </w:rPr>
      </w:pPr>
      <w:r w:rsidRPr="000D2C88">
        <w:rPr>
          <w:lang w:val="fr-CH"/>
        </w:rPr>
        <w:t xml:space="preserve">a) </w:t>
      </w:r>
      <w:r w:rsidRPr="000D2C88">
        <w:rPr>
          <w:lang w:val="fr-CH"/>
        </w:rPr>
        <w:tab/>
        <w:t>de demander à toutes les délégations qui auraient des doutes quant à la validité technique du rapport de CONCAWE sur l'analyse de risque de consulter FuelsEurope pour vérifier les informations leur causant problème;</w:t>
      </w:r>
    </w:p>
    <w:p w:rsidR="00BE7315" w:rsidRPr="000D2C88" w:rsidRDefault="00BE7315" w:rsidP="0005714C">
      <w:pPr>
        <w:pStyle w:val="SingleTxtG"/>
        <w:rPr>
          <w:lang w:val="fr-CH"/>
        </w:rPr>
      </w:pPr>
      <w:r w:rsidRPr="000D2C88">
        <w:rPr>
          <w:lang w:val="fr-CH"/>
        </w:rPr>
        <w:tab/>
        <w:t>b)</w:t>
      </w:r>
      <w:r w:rsidRPr="000D2C88">
        <w:rPr>
          <w:lang w:val="fr-CH"/>
        </w:rPr>
        <w:tab/>
        <w:t xml:space="preserve">de demander à FuelsEurope de soumettre une proposition </w:t>
      </w:r>
      <w:r>
        <w:rPr>
          <w:lang w:val="fr-CH"/>
        </w:rPr>
        <w:t>finale à la prochaine session</w:t>
      </w:r>
      <w:r w:rsidRPr="000D2C88">
        <w:rPr>
          <w:lang w:val="fr-CH"/>
        </w:rPr>
        <w:t>.</w:t>
      </w:r>
    </w:p>
    <w:p w:rsidR="00BE7315" w:rsidRPr="000D2C88" w:rsidRDefault="00BE7315" w:rsidP="0005714C">
      <w:pPr>
        <w:pStyle w:val="H23G"/>
        <w:rPr>
          <w:lang w:val="fr-CH"/>
        </w:rPr>
      </w:pPr>
      <w:r w:rsidRPr="000D2C88">
        <w:rPr>
          <w:lang w:val="fr-CH"/>
        </w:rPr>
        <w:tab/>
      </w:r>
      <w:bookmarkStart w:id="40" w:name="_Toc428948897"/>
      <w:r w:rsidRPr="000D2C88">
        <w:rPr>
          <w:lang w:val="fr-CH"/>
        </w:rPr>
        <w:t>9.</w:t>
      </w:r>
      <w:r w:rsidRPr="000D2C88">
        <w:rPr>
          <w:lang w:val="fr-CH"/>
        </w:rPr>
        <w:tab/>
        <w:t>Signal avertisseur au 9.1.0.40.2.3</w:t>
      </w:r>
      <w:bookmarkEnd w:id="40"/>
    </w:p>
    <w:p w:rsidR="00BE7315" w:rsidRPr="000D2C88" w:rsidRDefault="00BE7315" w:rsidP="0005714C">
      <w:pPr>
        <w:pStyle w:val="SingleTxtG"/>
        <w:rPr>
          <w:lang w:val="fr-CH"/>
        </w:rPr>
      </w:pPr>
      <w:r w:rsidRPr="000D2C88">
        <w:rPr>
          <w:i/>
          <w:lang w:val="fr-CH"/>
        </w:rPr>
        <w:t>Document:</w:t>
      </w:r>
      <w:r w:rsidRPr="000D2C88">
        <w:rPr>
          <w:lang w:val="fr-CH"/>
        </w:rPr>
        <w:t xml:space="preserve"> </w:t>
      </w:r>
      <w:r w:rsidRPr="000D2C88">
        <w:rPr>
          <w:lang w:val="fr-CH"/>
        </w:rPr>
        <w:tab/>
      </w:r>
      <w:r w:rsidRPr="000D2C88">
        <w:rPr>
          <w:lang w:val="fr-CH"/>
        </w:rPr>
        <w:tab/>
      </w:r>
      <w:r w:rsidRPr="000D2C88">
        <w:rPr>
          <w:lang w:val="fr-CH"/>
        </w:rPr>
        <w:tab/>
        <w:t>ECE/TRANS/WP.15/AC.2/2015/21 (Belgique)</w:t>
      </w:r>
    </w:p>
    <w:p w:rsidR="00BE7315" w:rsidRPr="000D2C88" w:rsidRDefault="00BE7315" w:rsidP="0005714C">
      <w:pPr>
        <w:pStyle w:val="SingleTxtG"/>
        <w:rPr>
          <w:lang w:val="fr-CH"/>
        </w:rPr>
      </w:pPr>
      <w:r>
        <w:rPr>
          <w:lang w:val="fr-CH"/>
        </w:rPr>
        <w:t>52</w:t>
      </w:r>
      <w:r w:rsidRPr="000D2C88">
        <w:rPr>
          <w:lang w:val="fr-CH"/>
        </w:rPr>
        <w:t>.</w:t>
      </w:r>
      <w:r w:rsidRPr="000D2C88">
        <w:rPr>
          <w:lang w:val="fr-CH"/>
        </w:rPr>
        <w:tab/>
        <w:t>Le Comité de sécurité a estimé qu'avant de prendre une décision, il conviendrait de vérifier les dispositions en matière d'avertissement en cas d'incendie applicables de manière plus générale à tous les bateaux</w:t>
      </w:r>
      <w:r>
        <w:rPr>
          <w:lang w:val="fr-CH"/>
        </w:rPr>
        <w:t xml:space="preserve"> avec d'autres </w:t>
      </w:r>
      <w:r w:rsidRPr="00CA6A0F">
        <w:rPr>
          <w:lang w:val="fr-CH"/>
        </w:rPr>
        <w:t xml:space="preserve">organes compétents </w:t>
      </w:r>
      <w:r>
        <w:rPr>
          <w:lang w:val="fr-CH"/>
        </w:rPr>
        <w:t>en matière</w:t>
      </w:r>
      <w:r w:rsidRPr="00CA6A0F">
        <w:rPr>
          <w:lang w:val="fr-CH"/>
        </w:rPr>
        <w:t xml:space="preserve"> </w:t>
      </w:r>
      <w:r w:rsidR="00D91EAF">
        <w:rPr>
          <w:lang w:val="fr-CH"/>
        </w:rPr>
        <w:t>de</w:t>
      </w:r>
      <w:r>
        <w:rPr>
          <w:lang w:val="fr-CH"/>
        </w:rPr>
        <w:t xml:space="preserve"> </w:t>
      </w:r>
      <w:r>
        <w:rPr>
          <w:lang w:val="fr-CH"/>
        </w:rPr>
        <w:lastRenderedPageBreak/>
        <w:t>p</w:t>
      </w:r>
      <w:r w:rsidR="00D91EAF">
        <w:rPr>
          <w:lang w:val="fr-CH"/>
        </w:rPr>
        <w:t>re</w:t>
      </w:r>
      <w:r>
        <w:rPr>
          <w:lang w:val="fr-CH"/>
        </w:rPr>
        <w:t xml:space="preserve">scriptions techniques dans le domaine de </w:t>
      </w:r>
      <w:r w:rsidRPr="00CA6A0F">
        <w:rPr>
          <w:lang w:val="fr-CH"/>
        </w:rPr>
        <w:t>la navigation intérieure</w:t>
      </w:r>
      <w:r w:rsidRPr="000D2C88">
        <w:rPr>
          <w:lang w:val="fr-CH"/>
        </w:rPr>
        <w:t xml:space="preserve">. La terminologie (l'utilisation des termes </w:t>
      </w:r>
      <w:r w:rsidR="00DF2E7E">
        <w:rPr>
          <w:lang w:val="fr-CH"/>
        </w:rPr>
        <w:t>«</w:t>
      </w:r>
      <w:r w:rsidRPr="000D2C88">
        <w:rPr>
          <w:lang w:val="fr-CH"/>
        </w:rPr>
        <w:t>audible</w:t>
      </w:r>
      <w:r w:rsidR="00DF2E7E">
        <w:rPr>
          <w:lang w:val="fr-CH"/>
        </w:rPr>
        <w:t>»</w:t>
      </w:r>
      <w:r w:rsidRPr="000D2C88">
        <w:rPr>
          <w:lang w:val="fr-CH"/>
        </w:rPr>
        <w:t xml:space="preserve"> et </w:t>
      </w:r>
      <w:r w:rsidR="00DF2E7E">
        <w:rPr>
          <w:lang w:val="fr-CH"/>
        </w:rPr>
        <w:t>«</w:t>
      </w:r>
      <w:r w:rsidRPr="000D2C88">
        <w:rPr>
          <w:lang w:val="fr-CH"/>
        </w:rPr>
        <w:t>visible</w:t>
      </w:r>
      <w:r w:rsidR="00DF2E7E">
        <w:rPr>
          <w:lang w:val="fr-CH"/>
        </w:rPr>
        <w:t>»</w:t>
      </w:r>
      <w:r w:rsidRPr="000D2C88">
        <w:rPr>
          <w:lang w:val="fr-CH"/>
        </w:rPr>
        <w:t>) devrait être également vérifiée.</w:t>
      </w:r>
    </w:p>
    <w:p w:rsidR="00BE7315" w:rsidRPr="000D2C88" w:rsidRDefault="00BE7315" w:rsidP="0005714C">
      <w:pPr>
        <w:pStyle w:val="H23G"/>
        <w:rPr>
          <w:lang w:val="fr-CH"/>
        </w:rPr>
      </w:pPr>
      <w:r w:rsidRPr="000D2C88">
        <w:rPr>
          <w:lang w:val="fr-CH"/>
        </w:rPr>
        <w:tab/>
      </w:r>
      <w:bookmarkStart w:id="41" w:name="_Toc428948898"/>
      <w:r w:rsidRPr="000D2C88">
        <w:rPr>
          <w:lang w:val="fr-CH"/>
        </w:rPr>
        <w:t>10.</w:t>
      </w:r>
      <w:r w:rsidRPr="000D2C88">
        <w:rPr>
          <w:lang w:val="fr-CH"/>
        </w:rPr>
        <w:tab/>
        <w:t>Dispositif d'arrêt de l'installation à terre</w:t>
      </w:r>
      <w:bookmarkEnd w:id="41"/>
    </w:p>
    <w:p w:rsidR="00BE7315" w:rsidRPr="000D2C88" w:rsidRDefault="00BE7315" w:rsidP="0005714C">
      <w:pPr>
        <w:pStyle w:val="SingleTxtG"/>
        <w:rPr>
          <w:lang w:val="fr-CH"/>
        </w:rPr>
      </w:pPr>
      <w:r w:rsidRPr="000D2C88">
        <w:rPr>
          <w:i/>
          <w:lang w:val="fr-CH"/>
        </w:rPr>
        <w:t>Document:</w:t>
      </w:r>
      <w:r w:rsidRPr="000D2C88">
        <w:rPr>
          <w:lang w:val="fr-CH"/>
        </w:rPr>
        <w:t xml:space="preserve"> </w:t>
      </w:r>
      <w:r w:rsidRPr="000D2C88">
        <w:rPr>
          <w:lang w:val="fr-CH"/>
        </w:rPr>
        <w:tab/>
      </w:r>
      <w:r w:rsidRPr="000D2C88">
        <w:rPr>
          <w:lang w:val="fr-CH"/>
        </w:rPr>
        <w:tab/>
      </w:r>
      <w:r w:rsidRPr="000D2C88">
        <w:rPr>
          <w:lang w:val="fr-CH"/>
        </w:rPr>
        <w:tab/>
        <w:t>ECE/TRANS/WP.15/AC.2/2015/22 (Belgique)</w:t>
      </w:r>
    </w:p>
    <w:p w:rsidR="00BE7315" w:rsidRPr="000D2C88" w:rsidRDefault="00BE7315" w:rsidP="0005714C">
      <w:pPr>
        <w:pStyle w:val="SingleTxtG"/>
        <w:rPr>
          <w:lang w:val="fr-CH"/>
        </w:rPr>
      </w:pPr>
      <w:r>
        <w:rPr>
          <w:lang w:val="fr-CH"/>
        </w:rPr>
        <w:t>53</w:t>
      </w:r>
      <w:r w:rsidRPr="000D2C88">
        <w:rPr>
          <w:lang w:val="fr-CH"/>
        </w:rPr>
        <w:t>.</w:t>
      </w:r>
      <w:r w:rsidRPr="000D2C88">
        <w:rPr>
          <w:lang w:val="fr-CH"/>
        </w:rPr>
        <w:tab/>
        <w:t>La Belgique soumettra une nouvelle proposition pour tenir compte des commentaires émis</w:t>
      </w:r>
      <w:r w:rsidR="00F301F5">
        <w:rPr>
          <w:lang w:val="fr-CH"/>
        </w:rPr>
        <w:t>.</w:t>
      </w:r>
    </w:p>
    <w:p w:rsidR="00BE7315" w:rsidRPr="000D2C88" w:rsidRDefault="00BE7315" w:rsidP="0005714C">
      <w:pPr>
        <w:pStyle w:val="H23G"/>
        <w:rPr>
          <w:lang w:val="fr-CH"/>
        </w:rPr>
      </w:pPr>
      <w:r w:rsidRPr="000D2C88">
        <w:rPr>
          <w:lang w:val="fr-CH"/>
        </w:rPr>
        <w:tab/>
      </w:r>
      <w:bookmarkStart w:id="42" w:name="_Toc428948899"/>
      <w:r w:rsidRPr="000D2C88">
        <w:rPr>
          <w:lang w:val="fr-CH"/>
        </w:rPr>
        <w:t>11.</w:t>
      </w:r>
      <w:r w:rsidRPr="000D2C88">
        <w:rPr>
          <w:lang w:val="fr-CH"/>
        </w:rPr>
        <w:tab/>
        <w:t>Stabilité à l'état intact des bateaux-citernes de type N équipés de compartiments en double coque pour le ballastage</w:t>
      </w:r>
      <w:bookmarkEnd w:id="42"/>
    </w:p>
    <w:p w:rsidR="00BE7315" w:rsidRPr="000D2C88" w:rsidRDefault="00BE7315" w:rsidP="0005714C">
      <w:pPr>
        <w:pStyle w:val="SingleTxtG"/>
        <w:ind w:left="3402" w:hanging="2268"/>
        <w:rPr>
          <w:lang w:val="fr-CH"/>
        </w:rPr>
      </w:pPr>
      <w:r w:rsidRPr="000D2C88">
        <w:rPr>
          <w:i/>
          <w:lang w:val="fr-CH"/>
        </w:rPr>
        <w:t>Document:</w:t>
      </w:r>
      <w:r w:rsidRPr="000D2C88">
        <w:rPr>
          <w:lang w:val="fr-CH"/>
        </w:rPr>
        <w:t xml:space="preserve"> </w:t>
      </w:r>
      <w:r w:rsidRPr="000D2C88">
        <w:rPr>
          <w:lang w:val="fr-CH"/>
        </w:rPr>
        <w:tab/>
      </w:r>
      <w:r w:rsidRPr="000D2C88">
        <w:rPr>
          <w:lang w:val="fr-CH"/>
        </w:rPr>
        <w:tab/>
        <w:t>ECE/TRANS/WP.15/AC.2/2015/23 (Sociétés de classification recommandées ADN)</w:t>
      </w:r>
    </w:p>
    <w:p w:rsidR="00BE7315" w:rsidRPr="000D2C88" w:rsidRDefault="00BE7315" w:rsidP="0005714C">
      <w:pPr>
        <w:pStyle w:val="SingleTxtG"/>
        <w:rPr>
          <w:lang w:val="fr-CH"/>
        </w:rPr>
      </w:pPr>
      <w:r w:rsidRPr="000D2C88">
        <w:rPr>
          <w:lang w:val="fr-CH"/>
        </w:rPr>
        <w:t>5</w:t>
      </w:r>
      <w:r>
        <w:rPr>
          <w:lang w:val="fr-CH"/>
        </w:rPr>
        <w:t>4</w:t>
      </w:r>
      <w:r w:rsidRPr="000D2C88">
        <w:rPr>
          <w:lang w:val="fr-CH"/>
        </w:rPr>
        <w:t>.</w:t>
      </w:r>
      <w:r w:rsidRPr="000D2C88">
        <w:rPr>
          <w:lang w:val="fr-CH"/>
        </w:rPr>
        <w:tab/>
        <w:t>Il a été relevé que l'argumentation pour les bateaux-citernes de type N serait également valable pour ceux de type C, et qu'il conviendrait de prévoir des mesures transitoires. Une nouvelle proposition sera donc soumise à la prochaine session.</w:t>
      </w:r>
    </w:p>
    <w:p w:rsidR="00BE7315" w:rsidRPr="000D2C88" w:rsidRDefault="00BE7315" w:rsidP="0005714C">
      <w:pPr>
        <w:pStyle w:val="H23G"/>
        <w:rPr>
          <w:lang w:val="fr-CH"/>
        </w:rPr>
      </w:pPr>
      <w:r w:rsidRPr="000D2C88">
        <w:rPr>
          <w:lang w:val="fr-CH"/>
        </w:rPr>
        <w:tab/>
      </w:r>
      <w:bookmarkStart w:id="43" w:name="_Toc428948900"/>
      <w:r w:rsidRPr="000D2C88">
        <w:rPr>
          <w:lang w:val="fr-CH"/>
        </w:rPr>
        <w:t>12.</w:t>
      </w:r>
      <w:r w:rsidRPr="000D2C88">
        <w:rPr>
          <w:lang w:val="fr-CH"/>
        </w:rPr>
        <w:tab/>
        <w:t>Stade intermédiaire d'envahissement (9.3.</w:t>
      </w:r>
      <w:r>
        <w:rPr>
          <w:lang w:val="fr-CH"/>
        </w:rPr>
        <w:t>x</w:t>
      </w:r>
      <w:r w:rsidRPr="000D2C88">
        <w:rPr>
          <w:lang w:val="fr-CH"/>
        </w:rPr>
        <w:t>.13.3)</w:t>
      </w:r>
      <w:bookmarkEnd w:id="43"/>
    </w:p>
    <w:p w:rsidR="00BE7315" w:rsidRPr="000D2C88" w:rsidRDefault="00BE7315" w:rsidP="00BE7315">
      <w:pPr>
        <w:spacing w:after="120"/>
        <w:ind w:left="3402" w:right="1134" w:hanging="2268"/>
        <w:jc w:val="both"/>
        <w:rPr>
          <w:lang w:val="fr-CH"/>
        </w:rPr>
      </w:pPr>
      <w:r w:rsidRPr="000D2C88">
        <w:rPr>
          <w:i/>
          <w:lang w:val="fr-CH"/>
        </w:rPr>
        <w:t>Document:</w:t>
      </w:r>
      <w:r w:rsidRPr="000D2C88">
        <w:rPr>
          <w:lang w:val="fr-CH"/>
        </w:rPr>
        <w:t xml:space="preserve"> </w:t>
      </w:r>
      <w:r w:rsidRPr="000D2C88">
        <w:rPr>
          <w:lang w:val="fr-CH"/>
        </w:rPr>
        <w:tab/>
      </w:r>
      <w:r w:rsidRPr="000D2C88">
        <w:rPr>
          <w:lang w:val="fr-CH"/>
        </w:rPr>
        <w:tab/>
        <w:t>ECE/TRANS/WP.15/AC.2/2015/24 (Sociétés de classification recommandées ADN)</w:t>
      </w:r>
    </w:p>
    <w:p w:rsidR="00BE7315" w:rsidRPr="00131219" w:rsidRDefault="00BE7315" w:rsidP="0005714C">
      <w:pPr>
        <w:pStyle w:val="SingleTxtG"/>
        <w:rPr>
          <w:lang w:val="fr-CH"/>
        </w:rPr>
      </w:pPr>
      <w:r w:rsidRPr="000D2C88">
        <w:rPr>
          <w:lang w:val="fr-CH"/>
        </w:rPr>
        <w:t>5</w:t>
      </w:r>
      <w:r>
        <w:rPr>
          <w:lang w:val="fr-CH"/>
        </w:rPr>
        <w:t>5</w:t>
      </w:r>
      <w:r w:rsidRPr="000D2C88">
        <w:rPr>
          <w:lang w:val="fr-CH"/>
        </w:rPr>
        <w:t>.</w:t>
      </w:r>
      <w:r w:rsidRPr="000D2C88">
        <w:rPr>
          <w:lang w:val="fr-CH"/>
        </w:rPr>
        <w:tab/>
        <w:t>Le Comité de sécurité a noté que lors de la révision des prescriptions en matière de stabilité des bateaux-citernes en 2012, notamment celles relatives à l'état intact au 9.3.</w:t>
      </w:r>
      <w:r>
        <w:rPr>
          <w:lang w:val="fr-CH"/>
        </w:rPr>
        <w:t>x</w:t>
      </w:r>
      <w:r w:rsidRPr="000D2C88">
        <w:rPr>
          <w:lang w:val="fr-CH"/>
        </w:rPr>
        <w:t>.13.3, celles du 9.3.</w:t>
      </w:r>
      <w:r>
        <w:rPr>
          <w:lang w:val="fr-CH"/>
        </w:rPr>
        <w:t>x</w:t>
      </w:r>
      <w:r w:rsidRPr="000D2C88">
        <w:rPr>
          <w:lang w:val="fr-CH"/>
        </w:rPr>
        <w:t>.13.3 relatives à la preuve de flottabilité après avarie avaient disparu probablement pas mégarde. Le Comité est donc convenu de rajouter un paragraphe 9.3.</w:t>
      </w:r>
      <w:r>
        <w:rPr>
          <w:lang w:val="fr-CH"/>
        </w:rPr>
        <w:t>x</w:t>
      </w:r>
      <w:r w:rsidRPr="000D2C88">
        <w:rPr>
          <w:lang w:val="fr-CH"/>
        </w:rPr>
        <w:t>.13.4 tel que proposé (voir annexe</w:t>
      </w:r>
      <w:r>
        <w:rPr>
          <w:lang w:val="fr-CH"/>
        </w:rPr>
        <w:t xml:space="preserve"> I</w:t>
      </w:r>
      <w:r w:rsidRPr="000D2C88">
        <w:rPr>
          <w:lang w:val="fr-CH"/>
        </w:rPr>
        <w:t>).</w:t>
      </w:r>
      <w:r>
        <w:rPr>
          <w:lang w:val="fr-CH"/>
        </w:rPr>
        <w:t xml:space="preserve"> Sur demande</w:t>
      </w:r>
      <w:r w:rsidRPr="00482075">
        <w:rPr>
          <w:lang w:val="fr-CH"/>
        </w:rPr>
        <w:t xml:space="preserve"> </w:t>
      </w:r>
      <w:r>
        <w:rPr>
          <w:lang w:val="fr-CH"/>
        </w:rPr>
        <w:t>du représentant de l'EBO</w:t>
      </w:r>
      <w:r w:rsidRPr="00482075">
        <w:rPr>
          <w:lang w:val="fr-CH"/>
        </w:rPr>
        <w:t xml:space="preserve">, les </w:t>
      </w:r>
      <w:r w:rsidRPr="00131219">
        <w:rPr>
          <w:lang w:val="fr-CH"/>
        </w:rPr>
        <w:t>Sociétés de classification recommandées ADN</w:t>
      </w:r>
      <w:r w:rsidRPr="00482075">
        <w:rPr>
          <w:lang w:val="fr-CH"/>
        </w:rPr>
        <w:t xml:space="preserve"> ont confirmé </w:t>
      </w:r>
      <w:r>
        <w:rPr>
          <w:lang w:val="fr-CH"/>
        </w:rPr>
        <w:t>le tirant d'eau</w:t>
      </w:r>
      <w:r w:rsidRPr="00482075">
        <w:rPr>
          <w:lang w:val="fr-CH"/>
        </w:rPr>
        <w:t xml:space="preserve"> </w:t>
      </w:r>
      <w:r>
        <w:rPr>
          <w:lang w:val="fr-CH"/>
        </w:rPr>
        <w:t>du bateau</w:t>
      </w:r>
      <w:r w:rsidR="00444917">
        <w:rPr>
          <w:lang w:val="fr-CH"/>
        </w:rPr>
        <w:t xml:space="preserve"> ne serait pas affecté</w:t>
      </w:r>
      <w:r w:rsidRPr="00482075">
        <w:rPr>
          <w:lang w:val="fr-CH"/>
        </w:rPr>
        <w:t>.</w:t>
      </w:r>
    </w:p>
    <w:p w:rsidR="00BE7315" w:rsidRPr="000D2C88" w:rsidRDefault="00BE7315" w:rsidP="0005714C">
      <w:pPr>
        <w:pStyle w:val="H23G"/>
        <w:rPr>
          <w:lang w:val="fr-CH"/>
        </w:rPr>
      </w:pPr>
      <w:r w:rsidRPr="001F2433">
        <w:rPr>
          <w:lang w:val="fr-CH"/>
        </w:rPr>
        <w:tab/>
      </w:r>
      <w:bookmarkStart w:id="44" w:name="_Toc428948901"/>
      <w:r w:rsidRPr="000D2C88">
        <w:rPr>
          <w:lang w:val="fr-CH"/>
        </w:rPr>
        <w:t>13.</w:t>
      </w:r>
      <w:r w:rsidRPr="000D2C88">
        <w:rPr>
          <w:lang w:val="fr-CH"/>
        </w:rPr>
        <w:tab/>
        <w:t>Installation à air comprimé sur le pont</w:t>
      </w:r>
      <w:bookmarkEnd w:id="44"/>
    </w:p>
    <w:p w:rsidR="00BE7315" w:rsidRPr="000D2C88" w:rsidRDefault="00BE7315" w:rsidP="00BE7315">
      <w:pPr>
        <w:spacing w:after="120"/>
        <w:ind w:left="3402" w:right="1134" w:hanging="2268"/>
        <w:jc w:val="both"/>
        <w:rPr>
          <w:lang w:val="fr-CH"/>
        </w:rPr>
      </w:pPr>
      <w:r w:rsidRPr="000D2C88">
        <w:rPr>
          <w:i/>
          <w:lang w:val="fr-CH"/>
        </w:rPr>
        <w:t>Document:</w:t>
      </w:r>
      <w:r w:rsidRPr="000D2C88">
        <w:rPr>
          <w:lang w:val="fr-CH"/>
        </w:rPr>
        <w:t xml:space="preserve"> </w:t>
      </w:r>
      <w:r w:rsidRPr="000D2C88">
        <w:rPr>
          <w:lang w:val="fr-CH"/>
        </w:rPr>
        <w:tab/>
      </w:r>
      <w:r w:rsidRPr="000D2C88">
        <w:rPr>
          <w:lang w:val="fr-CH"/>
        </w:rPr>
        <w:tab/>
        <w:t>ECE/TRANS/WP.15/AC.2/2015/25 (Sociétés de classification recommandées ADN)</w:t>
      </w:r>
    </w:p>
    <w:p w:rsidR="00BE7315" w:rsidRPr="000D2C88" w:rsidRDefault="00BE7315" w:rsidP="0005714C">
      <w:pPr>
        <w:pStyle w:val="SingleTxtG"/>
        <w:rPr>
          <w:lang w:val="fr-CH"/>
        </w:rPr>
      </w:pPr>
      <w:r w:rsidRPr="000D2C88">
        <w:rPr>
          <w:lang w:val="fr-CH"/>
        </w:rPr>
        <w:t>5</w:t>
      </w:r>
      <w:r>
        <w:rPr>
          <w:lang w:val="fr-CH"/>
        </w:rPr>
        <w:t>6</w:t>
      </w:r>
      <w:r w:rsidRPr="000D2C88">
        <w:rPr>
          <w:lang w:val="fr-CH"/>
        </w:rPr>
        <w:t>.</w:t>
      </w:r>
      <w:r w:rsidRPr="000D2C88">
        <w:rPr>
          <w:lang w:val="fr-CH"/>
        </w:rPr>
        <w:tab/>
        <w:t>La proposition a été appuyée sur le principe mais les Sociétés de classification recommandées ADN ont été priées d'en soumettre une nouvelle pour tenir compte des commentaires émis.</w:t>
      </w:r>
    </w:p>
    <w:p w:rsidR="00BE7315" w:rsidRPr="000D2C88" w:rsidRDefault="00BE7315" w:rsidP="0005714C">
      <w:pPr>
        <w:pStyle w:val="H23G"/>
        <w:rPr>
          <w:lang w:val="fr-CH"/>
        </w:rPr>
      </w:pPr>
      <w:r w:rsidRPr="000D2C88">
        <w:rPr>
          <w:lang w:val="fr-CH"/>
        </w:rPr>
        <w:tab/>
      </w:r>
      <w:bookmarkStart w:id="45" w:name="_Toc428948902"/>
      <w:r w:rsidRPr="000D2C88">
        <w:rPr>
          <w:lang w:val="fr-CH"/>
        </w:rPr>
        <w:t>14.</w:t>
      </w:r>
      <w:r w:rsidRPr="000D2C88">
        <w:rPr>
          <w:lang w:val="fr-CH"/>
        </w:rPr>
        <w:tab/>
        <w:t>Dispositions transitoires concernant la modification d'un bateau-citerne au 1.6.7.5.1 c)</w:t>
      </w:r>
      <w:bookmarkEnd w:id="45"/>
    </w:p>
    <w:p w:rsidR="00BE7315" w:rsidRPr="000D2C88" w:rsidRDefault="00BE7315" w:rsidP="00BE7315">
      <w:pPr>
        <w:spacing w:after="120"/>
        <w:ind w:left="3402" w:right="1134" w:hanging="2268"/>
        <w:jc w:val="both"/>
        <w:rPr>
          <w:lang w:val="fr-CH"/>
        </w:rPr>
      </w:pPr>
      <w:r w:rsidRPr="000D2C88">
        <w:rPr>
          <w:i/>
          <w:lang w:val="fr-CH"/>
        </w:rPr>
        <w:t>Document:</w:t>
      </w:r>
      <w:r w:rsidRPr="000D2C88">
        <w:rPr>
          <w:lang w:val="fr-CH"/>
        </w:rPr>
        <w:t xml:space="preserve"> </w:t>
      </w:r>
      <w:r w:rsidRPr="000D2C88">
        <w:rPr>
          <w:lang w:val="fr-CH"/>
        </w:rPr>
        <w:tab/>
      </w:r>
      <w:r w:rsidRPr="000D2C88">
        <w:rPr>
          <w:lang w:val="fr-CH"/>
        </w:rPr>
        <w:tab/>
        <w:t>ECE/TRANS/WP.15/AC.2/2015/26 (Sociétés de classification recommandées ADN)</w:t>
      </w:r>
    </w:p>
    <w:p w:rsidR="00BE7315" w:rsidRPr="000D2C88" w:rsidRDefault="00BE7315" w:rsidP="0005714C">
      <w:pPr>
        <w:pStyle w:val="SingleTxtG"/>
        <w:rPr>
          <w:lang w:val="fr-CH"/>
        </w:rPr>
      </w:pPr>
      <w:r w:rsidRPr="000D2C88">
        <w:rPr>
          <w:lang w:val="fr-CH"/>
        </w:rPr>
        <w:t>5</w:t>
      </w:r>
      <w:r>
        <w:rPr>
          <w:lang w:val="fr-CH"/>
        </w:rPr>
        <w:t>7</w:t>
      </w:r>
      <w:r w:rsidRPr="000D2C88">
        <w:rPr>
          <w:lang w:val="fr-CH"/>
        </w:rPr>
        <w:t>.</w:t>
      </w:r>
      <w:r w:rsidRPr="000D2C88">
        <w:rPr>
          <w:lang w:val="fr-CH"/>
        </w:rPr>
        <w:tab/>
        <w:t xml:space="preserve">Le représentant des Sociétés de classification recommandées ADN a retiré sa proposition de suppression du 1.6.7.5.1 c) car les dispositions en matière de détection d'incendie de ce paragraphe ont pour but de compenser la disposition du 1.6.7.5.1 b) permettant d'utiliser des matériaux non difficilement inflammables dans les logements et la timonerie. </w:t>
      </w:r>
    </w:p>
    <w:p w:rsidR="00BE7315" w:rsidRPr="000D2C88" w:rsidRDefault="00BE7315" w:rsidP="0005714C">
      <w:pPr>
        <w:pStyle w:val="H23G"/>
        <w:rPr>
          <w:lang w:val="fr-CH"/>
        </w:rPr>
      </w:pPr>
      <w:r w:rsidRPr="000D2C88">
        <w:rPr>
          <w:lang w:val="fr-CH"/>
        </w:rPr>
        <w:tab/>
      </w:r>
      <w:bookmarkStart w:id="46" w:name="_Toc428948903"/>
      <w:r w:rsidRPr="000D2C88">
        <w:rPr>
          <w:lang w:val="fr-CH"/>
        </w:rPr>
        <w:t>15.</w:t>
      </w:r>
      <w:r w:rsidRPr="000D2C88">
        <w:rPr>
          <w:lang w:val="fr-CH"/>
        </w:rPr>
        <w:tab/>
        <w:t>Certificat technique</w:t>
      </w:r>
      <w:bookmarkEnd w:id="46"/>
    </w:p>
    <w:p w:rsidR="00BE7315" w:rsidRPr="000D2C88" w:rsidRDefault="00BE7315" w:rsidP="00BE7315">
      <w:pPr>
        <w:spacing w:after="120"/>
        <w:ind w:left="1134" w:right="1134"/>
        <w:jc w:val="both"/>
        <w:rPr>
          <w:lang w:val="fr-CH"/>
        </w:rPr>
      </w:pPr>
      <w:r w:rsidRPr="000D2C88">
        <w:rPr>
          <w:i/>
          <w:lang w:val="fr-CH"/>
        </w:rPr>
        <w:t>Document:</w:t>
      </w:r>
      <w:r w:rsidRPr="000D2C88">
        <w:rPr>
          <w:lang w:val="fr-CH"/>
        </w:rPr>
        <w:t xml:space="preserve"> </w:t>
      </w:r>
      <w:r w:rsidRPr="000D2C88">
        <w:rPr>
          <w:lang w:val="fr-CH"/>
        </w:rPr>
        <w:tab/>
      </w:r>
      <w:r w:rsidRPr="000D2C88">
        <w:rPr>
          <w:lang w:val="fr-CH"/>
        </w:rPr>
        <w:tab/>
      </w:r>
      <w:r w:rsidRPr="000D2C88">
        <w:rPr>
          <w:lang w:val="fr-CH"/>
        </w:rPr>
        <w:tab/>
        <w:t>ECE/TRANS/WP.15/AC.2/2015/28 (Belgique)</w:t>
      </w:r>
    </w:p>
    <w:p w:rsidR="00BE7315" w:rsidRPr="000D2C88" w:rsidRDefault="00BE7315" w:rsidP="0005714C">
      <w:pPr>
        <w:pStyle w:val="SingleTxtG"/>
        <w:rPr>
          <w:lang w:val="fr-CH"/>
        </w:rPr>
      </w:pPr>
      <w:r w:rsidRPr="000D2C88">
        <w:rPr>
          <w:lang w:val="fr-CH"/>
        </w:rPr>
        <w:t>5</w:t>
      </w:r>
      <w:r>
        <w:rPr>
          <w:lang w:val="fr-CH"/>
        </w:rPr>
        <w:t>8</w:t>
      </w:r>
      <w:r w:rsidRPr="000D2C88">
        <w:rPr>
          <w:lang w:val="fr-CH"/>
        </w:rPr>
        <w:t>.</w:t>
      </w:r>
      <w:r w:rsidRPr="000D2C88">
        <w:rPr>
          <w:lang w:val="fr-CH"/>
        </w:rPr>
        <w:tab/>
        <w:t xml:space="preserve">Le Comité de sécurité a partagé l'avis de la Belgique que le terme </w:t>
      </w:r>
      <w:r w:rsidR="00DF2E7E">
        <w:rPr>
          <w:lang w:val="fr-CH"/>
        </w:rPr>
        <w:t>«</w:t>
      </w:r>
      <w:r w:rsidRPr="000D2C88">
        <w:rPr>
          <w:lang w:val="fr-CH"/>
        </w:rPr>
        <w:t>certificat de bateau</w:t>
      </w:r>
      <w:r w:rsidR="00DF2E7E">
        <w:rPr>
          <w:lang w:val="fr-CH"/>
        </w:rPr>
        <w:t>»</w:t>
      </w:r>
      <w:r w:rsidRPr="000D2C88">
        <w:rPr>
          <w:lang w:val="fr-CH"/>
        </w:rPr>
        <w:t xml:space="preserve"> utilisé au 1.16.5 n'était pas nécessairement le terme le plus approprié puisque par </w:t>
      </w:r>
      <w:r w:rsidRPr="000D2C88">
        <w:rPr>
          <w:lang w:val="fr-CH"/>
        </w:rPr>
        <w:lastRenderedPageBreak/>
        <w:t xml:space="preserve">exemple dans la législation de l'Union européenne on utilise le terme </w:t>
      </w:r>
      <w:r w:rsidR="00DF2E7E">
        <w:rPr>
          <w:lang w:val="fr-CH"/>
        </w:rPr>
        <w:t>«</w:t>
      </w:r>
      <w:r w:rsidRPr="000D2C88">
        <w:rPr>
          <w:lang w:val="fr-CH"/>
        </w:rPr>
        <w:t>certificat technique</w:t>
      </w:r>
      <w:r w:rsidR="00DF2E7E">
        <w:rPr>
          <w:lang w:val="fr-CH"/>
        </w:rPr>
        <w:t>»</w:t>
      </w:r>
      <w:r w:rsidRPr="000D2C88">
        <w:rPr>
          <w:lang w:val="fr-CH"/>
        </w:rPr>
        <w:t xml:space="preserve">, mais il a été relevé que d'autres termes existent compte tenu par exemple du paragraphe 1.1.4.6.1. Le représentant de la Belgique a donc été prié de soumettre une nouvelle proposition pour tenir compte de la terminologie éventuellement utilisées dans des pays autres que ceux de </w:t>
      </w:r>
      <w:r>
        <w:rPr>
          <w:lang w:val="fr-CH"/>
        </w:rPr>
        <w:t>l</w:t>
      </w:r>
      <w:r w:rsidRPr="000D2C88">
        <w:rPr>
          <w:lang w:val="fr-CH"/>
        </w:rPr>
        <w:t>'Union européenne.</w:t>
      </w:r>
    </w:p>
    <w:p w:rsidR="00BE7315" w:rsidRPr="000D2C88" w:rsidRDefault="00BE7315" w:rsidP="0005714C">
      <w:pPr>
        <w:pStyle w:val="H23G"/>
        <w:rPr>
          <w:lang w:val="fr-CH"/>
        </w:rPr>
      </w:pPr>
      <w:r>
        <w:rPr>
          <w:lang w:val="fr-CH"/>
        </w:rPr>
        <w:tab/>
      </w:r>
      <w:bookmarkStart w:id="47" w:name="_Toc428948904"/>
      <w:r w:rsidRPr="000D2C88">
        <w:rPr>
          <w:lang w:val="fr-CH"/>
        </w:rPr>
        <w:t>16.</w:t>
      </w:r>
      <w:r w:rsidRPr="000D2C88">
        <w:rPr>
          <w:lang w:val="fr-CH"/>
        </w:rPr>
        <w:tab/>
        <w:t>Matériaux de construction</w:t>
      </w:r>
      <w:bookmarkEnd w:id="47"/>
    </w:p>
    <w:p w:rsidR="00BE7315" w:rsidRPr="000D2C88" w:rsidRDefault="00BE7315" w:rsidP="0005714C">
      <w:pPr>
        <w:spacing w:after="120"/>
        <w:ind w:left="3402" w:right="1134" w:hanging="2268"/>
        <w:jc w:val="both"/>
        <w:rPr>
          <w:lang w:val="fr-CH"/>
        </w:rPr>
      </w:pPr>
      <w:r w:rsidRPr="000D2C88">
        <w:rPr>
          <w:i/>
          <w:lang w:val="fr-CH"/>
        </w:rPr>
        <w:t>Document:</w:t>
      </w:r>
      <w:r w:rsidRPr="000D2C88">
        <w:rPr>
          <w:lang w:val="fr-CH"/>
        </w:rPr>
        <w:t xml:space="preserve"> </w:t>
      </w:r>
      <w:r w:rsidRPr="000D2C88">
        <w:rPr>
          <w:lang w:val="fr-CH"/>
        </w:rPr>
        <w:tab/>
      </w:r>
      <w:r w:rsidRPr="000D2C88">
        <w:rPr>
          <w:lang w:val="fr-CH"/>
        </w:rPr>
        <w:tab/>
        <w:t>ECE/TRANS/WP.15/AC.2/2015/19</w:t>
      </w:r>
      <w:r>
        <w:rPr>
          <w:lang w:val="fr-CH"/>
        </w:rPr>
        <w:t xml:space="preserve"> et Corr.1</w:t>
      </w:r>
      <w:r w:rsidRPr="000D2C88">
        <w:rPr>
          <w:lang w:val="fr-CH"/>
        </w:rPr>
        <w:t xml:space="preserve"> (UENF, OEB</w:t>
      </w:r>
      <w:r>
        <w:rPr>
          <w:lang w:val="fr-CH"/>
        </w:rPr>
        <w:t>, ERSTU</w:t>
      </w:r>
      <w:r w:rsidRPr="000D2C88">
        <w:rPr>
          <w:lang w:val="fr-CH"/>
        </w:rPr>
        <w:t>)</w:t>
      </w:r>
    </w:p>
    <w:p w:rsidR="00BE7315" w:rsidRPr="000D2C88" w:rsidRDefault="00BE7315" w:rsidP="0005714C">
      <w:pPr>
        <w:pStyle w:val="SingleTxtG"/>
        <w:rPr>
          <w:lang w:val="fr-CH"/>
        </w:rPr>
      </w:pPr>
      <w:r w:rsidRPr="000D2C88">
        <w:rPr>
          <w:lang w:val="fr-CH"/>
        </w:rPr>
        <w:t>5</w:t>
      </w:r>
      <w:r>
        <w:rPr>
          <w:lang w:val="fr-CH"/>
        </w:rPr>
        <w:t>9</w:t>
      </w:r>
      <w:r w:rsidRPr="000D2C88">
        <w:rPr>
          <w:lang w:val="fr-CH"/>
        </w:rPr>
        <w:t>.</w:t>
      </w:r>
      <w:r w:rsidRPr="000D2C88">
        <w:rPr>
          <w:lang w:val="fr-CH"/>
        </w:rPr>
        <w:tab/>
        <w:t>Plusieurs délégations ont appuyé la proposition de prévoir des dispositions pour tenir compte de l'utilisation croissante de matériaux modernes sur les bateaux, mais souhaitaient une présentation plus conviviale des dispositions proposées par exemple sous forme de tableau. Une nouvelle proposition sera soumise à la prochaine session.</w:t>
      </w:r>
    </w:p>
    <w:p w:rsidR="00BE7315" w:rsidRPr="000D2C88" w:rsidRDefault="00BE7315" w:rsidP="0005714C">
      <w:pPr>
        <w:pStyle w:val="H23G"/>
        <w:rPr>
          <w:lang w:val="fr-CH"/>
        </w:rPr>
      </w:pPr>
      <w:r w:rsidRPr="000D2C88">
        <w:rPr>
          <w:lang w:val="fr-CH"/>
        </w:rPr>
        <w:tab/>
      </w:r>
      <w:bookmarkStart w:id="48" w:name="_Toc428948905"/>
      <w:r w:rsidRPr="000D2C88">
        <w:rPr>
          <w:lang w:val="fr-CH"/>
        </w:rPr>
        <w:t>17.</w:t>
      </w:r>
      <w:r w:rsidRPr="000D2C88">
        <w:rPr>
          <w:lang w:val="fr-CH"/>
        </w:rPr>
        <w:tab/>
        <w:t>Prise d'échantillons</w:t>
      </w:r>
      <w:bookmarkEnd w:id="48"/>
    </w:p>
    <w:p w:rsidR="00BE7315" w:rsidRPr="000D2C88" w:rsidRDefault="00BE7315" w:rsidP="00BE7315">
      <w:pPr>
        <w:ind w:left="1134" w:right="1134"/>
        <w:jc w:val="both"/>
        <w:rPr>
          <w:lang w:val="fr-CH"/>
        </w:rPr>
      </w:pPr>
      <w:r w:rsidRPr="000D2C88">
        <w:rPr>
          <w:i/>
          <w:lang w:val="fr-CH"/>
        </w:rPr>
        <w:t>Documents informels:</w:t>
      </w:r>
      <w:r w:rsidRPr="000D2C88">
        <w:rPr>
          <w:lang w:val="fr-CH"/>
        </w:rPr>
        <w:t xml:space="preserve"> </w:t>
      </w:r>
      <w:r w:rsidRPr="000D2C88">
        <w:rPr>
          <w:lang w:val="fr-CH"/>
        </w:rPr>
        <w:tab/>
        <w:t>INF.9 (UENF, OEB, ERSTU)</w:t>
      </w:r>
    </w:p>
    <w:p w:rsidR="00BE7315" w:rsidRPr="000D2C88" w:rsidRDefault="00BE7315" w:rsidP="00BE7315">
      <w:pPr>
        <w:spacing w:after="120"/>
        <w:ind w:left="1134" w:right="1134"/>
        <w:jc w:val="both"/>
        <w:rPr>
          <w:lang w:val="fr-CH"/>
        </w:rPr>
      </w:pPr>
      <w:r w:rsidRPr="000D2C88">
        <w:rPr>
          <w:lang w:val="fr-CH"/>
        </w:rPr>
        <w:tab/>
      </w:r>
      <w:r w:rsidRPr="000D2C88">
        <w:rPr>
          <w:lang w:val="fr-CH"/>
        </w:rPr>
        <w:tab/>
      </w:r>
      <w:r w:rsidRPr="000D2C88">
        <w:rPr>
          <w:lang w:val="fr-CH"/>
        </w:rPr>
        <w:tab/>
      </w:r>
      <w:r w:rsidRPr="000D2C88">
        <w:rPr>
          <w:lang w:val="fr-CH"/>
        </w:rPr>
        <w:tab/>
        <w:t>INF.13 (CEFIC)</w:t>
      </w:r>
    </w:p>
    <w:p w:rsidR="00BE7315" w:rsidRPr="000D2C88" w:rsidRDefault="00BE7315" w:rsidP="0005714C">
      <w:pPr>
        <w:pStyle w:val="SingleTxtG"/>
        <w:rPr>
          <w:lang w:val="fr-CH"/>
        </w:rPr>
      </w:pPr>
      <w:r>
        <w:rPr>
          <w:lang w:val="fr-CH"/>
        </w:rPr>
        <w:t>60</w:t>
      </w:r>
      <w:r w:rsidRPr="000D2C88">
        <w:rPr>
          <w:lang w:val="fr-CH"/>
        </w:rPr>
        <w:t>.</w:t>
      </w:r>
      <w:r w:rsidRPr="000D2C88">
        <w:rPr>
          <w:lang w:val="fr-CH"/>
        </w:rPr>
        <w:tab/>
        <w:t>Le Comité de sécurité a noté les difficultés mentionnées pour la prise d'échantillon à bord des bateaux-citernes notamment pour assurer une bonne qualité des échantillons prélevés, les dispositifs de prise d'échantillonnage se trouvant souvent souillés par des restes de la cargaison précédente. Le Comité de sécurité a estimé cependant qu'il s'agissait essentiellement d'un problème pratique où les intérêts des différents parties (industrie chimique ou pétrolière d'une part, opérateurs de bateaux d'autre part) sont opposés, et il ne lui paraissait pas évident que ces problèmes puissent être réglés par le biais de la législation, celle-ci étant relativement claire.</w:t>
      </w:r>
    </w:p>
    <w:p w:rsidR="00BE7315" w:rsidRPr="000D2C88" w:rsidRDefault="00BE7315" w:rsidP="0005714C">
      <w:pPr>
        <w:pStyle w:val="SingleTxtG"/>
        <w:rPr>
          <w:lang w:val="fr-CH"/>
        </w:rPr>
      </w:pPr>
      <w:r>
        <w:rPr>
          <w:lang w:val="fr-CH"/>
        </w:rPr>
        <w:t>61</w:t>
      </w:r>
      <w:r w:rsidRPr="000D2C88">
        <w:rPr>
          <w:lang w:val="fr-CH"/>
        </w:rPr>
        <w:t>.</w:t>
      </w:r>
      <w:r w:rsidRPr="000D2C88">
        <w:rPr>
          <w:lang w:val="fr-CH"/>
        </w:rPr>
        <w:tab/>
        <w:t>Le représentant du CEFIC a dit qu'il organiserait une réunion d'un groupe de travail informel où les différentes parties pourront discuter de ces problèmes. Le groupe est invité à soumettre le cas échéant des propositions d'amendements au Règlement annexé à l'ADN s'il considère que des dispositions plus détaillées sur la façon de procéder pourraient être incluses dans le Règlement pour résoudre ces problèmes.</w:t>
      </w:r>
    </w:p>
    <w:p w:rsidR="00BE7315" w:rsidRPr="000D2C88" w:rsidRDefault="00BE7315" w:rsidP="0005714C">
      <w:pPr>
        <w:pStyle w:val="H23G"/>
        <w:rPr>
          <w:lang w:val="fr-CH"/>
        </w:rPr>
      </w:pPr>
      <w:r w:rsidRPr="000D2C88">
        <w:rPr>
          <w:lang w:val="fr-CH"/>
        </w:rPr>
        <w:tab/>
      </w:r>
      <w:bookmarkStart w:id="49" w:name="_Toc428948906"/>
      <w:r w:rsidRPr="000D2C88">
        <w:rPr>
          <w:lang w:val="fr-CH"/>
        </w:rPr>
        <w:t>18.</w:t>
      </w:r>
      <w:r w:rsidRPr="000D2C88">
        <w:rPr>
          <w:lang w:val="fr-CH"/>
        </w:rPr>
        <w:tab/>
        <w:t>Procédure de visite, délivrance de certificats d'agrément, classification des bateaux</w:t>
      </w:r>
      <w:bookmarkEnd w:id="49"/>
    </w:p>
    <w:p w:rsidR="00BE7315" w:rsidRPr="00BC4C8A" w:rsidRDefault="00BE7315" w:rsidP="0005714C">
      <w:pPr>
        <w:pStyle w:val="SingleTxtG"/>
        <w:ind w:left="3402" w:hanging="2268"/>
        <w:rPr>
          <w:lang w:val="fr-CH"/>
        </w:rPr>
      </w:pPr>
      <w:r w:rsidRPr="00BC4C8A">
        <w:rPr>
          <w:i/>
          <w:lang w:val="fr-CH"/>
        </w:rPr>
        <w:t>Document informel:</w:t>
      </w:r>
      <w:r w:rsidRPr="00BC4C8A">
        <w:rPr>
          <w:lang w:val="fr-CH"/>
        </w:rPr>
        <w:t xml:space="preserve"> </w:t>
      </w:r>
      <w:r w:rsidRPr="00BC4C8A">
        <w:rPr>
          <w:lang w:val="fr-CH"/>
        </w:rPr>
        <w:tab/>
      </w:r>
      <w:r w:rsidRPr="00BC4C8A">
        <w:rPr>
          <w:lang w:val="fr-CH"/>
        </w:rPr>
        <w:tab/>
        <w:t>INF.17 (France</w:t>
      </w:r>
      <w:r w:rsidRPr="00482075">
        <w:rPr>
          <w:lang w:val="fr-CH"/>
        </w:rPr>
        <w:t xml:space="preserve"> au nom du groupe informel </w:t>
      </w:r>
      <w:r>
        <w:rPr>
          <w:lang w:val="fr-CH"/>
        </w:rPr>
        <w:t xml:space="preserve">de travail par </w:t>
      </w:r>
      <w:r w:rsidRPr="00482075">
        <w:rPr>
          <w:lang w:val="fr-CH"/>
        </w:rPr>
        <w:t>correspondance</w:t>
      </w:r>
      <w:r w:rsidRPr="00BC4C8A">
        <w:rPr>
          <w:lang w:val="fr-CH"/>
        </w:rPr>
        <w:t>)</w:t>
      </w:r>
    </w:p>
    <w:p w:rsidR="00BE7315" w:rsidRPr="000D2C88" w:rsidRDefault="00BE7315" w:rsidP="0005714C">
      <w:pPr>
        <w:pStyle w:val="SingleTxtG"/>
        <w:rPr>
          <w:lang w:val="fr-CH"/>
        </w:rPr>
      </w:pPr>
      <w:r>
        <w:rPr>
          <w:lang w:val="fr-CH"/>
        </w:rPr>
        <w:t>62</w:t>
      </w:r>
      <w:r w:rsidRPr="000D2C88">
        <w:rPr>
          <w:lang w:val="fr-CH"/>
        </w:rPr>
        <w:t>.</w:t>
      </w:r>
      <w:r w:rsidRPr="000D2C88">
        <w:rPr>
          <w:lang w:val="fr-CH"/>
        </w:rPr>
        <w:tab/>
        <w:t xml:space="preserve">Le document contenait diverses propositions d'amendements formulées par un groupe de correspondance dirigé par la France suite aux décisions prises à </w:t>
      </w:r>
      <w:r>
        <w:rPr>
          <w:lang w:val="fr-CH"/>
        </w:rPr>
        <w:t>une</w:t>
      </w:r>
      <w:r w:rsidRPr="000D2C88">
        <w:rPr>
          <w:lang w:val="fr-CH"/>
        </w:rPr>
        <w:t xml:space="preserve"> </w:t>
      </w:r>
      <w:r w:rsidR="00D91EAF">
        <w:rPr>
          <w:lang w:val="fr-CH"/>
        </w:rPr>
        <w:t>précédente</w:t>
      </w:r>
      <w:r w:rsidRPr="000D2C88">
        <w:rPr>
          <w:lang w:val="fr-CH"/>
        </w:rPr>
        <w:t xml:space="preserve"> session (voir ECE/TRANS/WP.15/AC.2/52, paragraphe 44 et 45). Le Comité de sécurité a examiné ces propositions et les a adoptées, sous réserve de quelques points qui devront être discutés plus avant par le groupe de correspondance et de la soumission d'une proposition officielle à la prochaine session. Les points nécessitant un suivi sont résumés ci-après. Les autres modifications adoptées seront reflétées dans la proposition officielle.</w:t>
      </w:r>
    </w:p>
    <w:p w:rsidR="00BE7315" w:rsidRPr="000D2C88" w:rsidRDefault="00BE7315" w:rsidP="0005714C">
      <w:pPr>
        <w:pStyle w:val="SingleTxtG"/>
        <w:rPr>
          <w:lang w:val="fr-CH"/>
        </w:rPr>
      </w:pPr>
      <w:r>
        <w:rPr>
          <w:lang w:val="fr-CH"/>
        </w:rPr>
        <w:t>63</w:t>
      </w:r>
      <w:r w:rsidRPr="000D2C88">
        <w:rPr>
          <w:lang w:val="fr-CH"/>
        </w:rPr>
        <w:t>.</w:t>
      </w:r>
      <w:r w:rsidRPr="000D2C88">
        <w:rPr>
          <w:lang w:val="fr-CH"/>
        </w:rPr>
        <w:tab/>
        <w:t>Il a été décidé notamment d'utiliser systématiquement</w:t>
      </w:r>
      <w:r w:rsidR="00284366" w:rsidRPr="00A3503E">
        <w:rPr>
          <w:lang w:val="fr-CH"/>
        </w:rPr>
        <w:t xml:space="preserve">, partout où c'est pertinent, </w:t>
      </w:r>
      <w:r w:rsidRPr="00A3503E">
        <w:rPr>
          <w:lang w:val="fr-CH"/>
        </w:rPr>
        <w:t>le</w:t>
      </w:r>
      <w:r w:rsidRPr="000D2C88">
        <w:rPr>
          <w:lang w:val="fr-CH"/>
        </w:rPr>
        <w:t xml:space="preserve"> terme </w:t>
      </w:r>
      <w:r w:rsidR="00DF2E7E">
        <w:rPr>
          <w:lang w:val="fr-CH"/>
        </w:rPr>
        <w:t>«</w:t>
      </w:r>
      <w:r w:rsidRPr="000D2C88">
        <w:rPr>
          <w:lang w:val="fr-CH"/>
        </w:rPr>
        <w:t>société de classification agréée</w:t>
      </w:r>
      <w:r w:rsidR="00DF2E7E">
        <w:rPr>
          <w:lang w:val="fr-CH"/>
        </w:rPr>
        <w:t>»</w:t>
      </w:r>
      <w:r w:rsidRPr="000D2C88">
        <w:rPr>
          <w:lang w:val="fr-CH"/>
        </w:rPr>
        <w:t xml:space="preserve"> au lieu de </w:t>
      </w:r>
      <w:r w:rsidR="00DF2E7E">
        <w:rPr>
          <w:lang w:val="fr-CH"/>
        </w:rPr>
        <w:t>«</w:t>
      </w:r>
      <w:r w:rsidRPr="000D2C88">
        <w:rPr>
          <w:lang w:val="fr-CH"/>
        </w:rPr>
        <w:t>société de classification</w:t>
      </w:r>
      <w:r w:rsidR="00DF2E7E">
        <w:rPr>
          <w:lang w:val="fr-CH"/>
        </w:rPr>
        <w:t>»</w:t>
      </w:r>
      <w:r w:rsidRPr="000D2C88">
        <w:rPr>
          <w:lang w:val="fr-CH"/>
        </w:rPr>
        <w:t xml:space="preserve"> ou </w:t>
      </w:r>
      <w:r w:rsidR="00DF2E7E">
        <w:rPr>
          <w:lang w:val="fr-CH"/>
        </w:rPr>
        <w:t>«</w:t>
      </w:r>
      <w:r w:rsidRPr="000D2C88">
        <w:rPr>
          <w:lang w:val="fr-CH"/>
        </w:rPr>
        <w:t>société de classification recommandée</w:t>
      </w:r>
      <w:r w:rsidR="00DF2E7E">
        <w:rPr>
          <w:lang w:val="fr-CH"/>
        </w:rPr>
        <w:t>»</w:t>
      </w:r>
      <w:r w:rsidRPr="000D2C88">
        <w:rPr>
          <w:lang w:val="fr-CH"/>
        </w:rPr>
        <w:t>. L'ensemble du Règlement devrait être vérifié en conséquence.</w:t>
      </w:r>
    </w:p>
    <w:p w:rsidR="00BE7315" w:rsidRPr="000D2C88" w:rsidRDefault="00BE7315" w:rsidP="0005714C">
      <w:pPr>
        <w:pStyle w:val="SingleTxtG"/>
        <w:rPr>
          <w:lang w:val="fr-CH"/>
        </w:rPr>
      </w:pPr>
      <w:r w:rsidRPr="000D2C88">
        <w:rPr>
          <w:lang w:val="fr-CH"/>
        </w:rPr>
        <w:t>6</w:t>
      </w:r>
      <w:r>
        <w:rPr>
          <w:lang w:val="fr-CH"/>
        </w:rPr>
        <w:t>4</w:t>
      </w:r>
      <w:r w:rsidRPr="000D2C88">
        <w:rPr>
          <w:lang w:val="fr-CH"/>
        </w:rPr>
        <w:t>.</w:t>
      </w:r>
      <w:r w:rsidRPr="000D2C88">
        <w:rPr>
          <w:lang w:val="fr-CH"/>
        </w:rPr>
        <w:tab/>
        <w:t xml:space="preserve">Le mot </w:t>
      </w:r>
      <w:r w:rsidR="00DF2E7E">
        <w:rPr>
          <w:lang w:val="fr-CH"/>
        </w:rPr>
        <w:t>«</w:t>
      </w:r>
      <w:r w:rsidRPr="000D2C88">
        <w:rPr>
          <w:lang w:val="fr-CH"/>
        </w:rPr>
        <w:t>ship</w:t>
      </w:r>
      <w:r w:rsidR="00DF2E7E">
        <w:rPr>
          <w:lang w:val="fr-CH"/>
        </w:rPr>
        <w:t>»</w:t>
      </w:r>
      <w:r w:rsidRPr="000D2C88">
        <w:rPr>
          <w:lang w:val="fr-CH"/>
        </w:rPr>
        <w:t xml:space="preserve"> en anglais a été remplacé par </w:t>
      </w:r>
      <w:r w:rsidR="00DF2E7E">
        <w:rPr>
          <w:lang w:val="fr-CH"/>
        </w:rPr>
        <w:t>«</w:t>
      </w:r>
      <w:r w:rsidRPr="000D2C88">
        <w:rPr>
          <w:lang w:val="fr-CH"/>
        </w:rPr>
        <w:t>vessel</w:t>
      </w:r>
      <w:r w:rsidR="00DF2E7E">
        <w:rPr>
          <w:lang w:val="fr-CH"/>
        </w:rPr>
        <w:t>»</w:t>
      </w:r>
      <w:r w:rsidRPr="000D2C88">
        <w:rPr>
          <w:lang w:val="fr-CH"/>
        </w:rPr>
        <w:t xml:space="preserve">. Dans ce contexte la question s'est posée de savoir s'il convenait de mentionner les barges aux 1.2.1 et 1.6.7.2.2.5, étant donné qu'à priori le mot </w:t>
      </w:r>
      <w:r w:rsidR="00DF2E7E">
        <w:rPr>
          <w:lang w:val="fr-CH"/>
        </w:rPr>
        <w:t>«</w:t>
      </w:r>
      <w:r w:rsidRPr="000D2C88">
        <w:rPr>
          <w:lang w:val="fr-CH"/>
        </w:rPr>
        <w:t>bateau</w:t>
      </w:r>
      <w:r w:rsidR="00DF2E7E">
        <w:rPr>
          <w:lang w:val="fr-CH"/>
        </w:rPr>
        <w:t>»</w:t>
      </w:r>
      <w:r w:rsidRPr="000D2C88">
        <w:rPr>
          <w:lang w:val="fr-CH"/>
        </w:rPr>
        <w:t xml:space="preserve"> inclut les barges, question que le groupe de correspondance a été prié de vérifier.</w:t>
      </w:r>
    </w:p>
    <w:p w:rsidR="00BE7315" w:rsidRPr="000D2C88" w:rsidRDefault="00BE7315" w:rsidP="0005714C">
      <w:pPr>
        <w:pStyle w:val="SingleTxtG"/>
        <w:rPr>
          <w:lang w:val="fr-CH"/>
        </w:rPr>
      </w:pPr>
      <w:r w:rsidRPr="000D2C88">
        <w:rPr>
          <w:lang w:val="fr-CH"/>
        </w:rPr>
        <w:lastRenderedPageBreak/>
        <w:t>6</w:t>
      </w:r>
      <w:r>
        <w:rPr>
          <w:lang w:val="fr-CH"/>
        </w:rPr>
        <w:t>5</w:t>
      </w:r>
      <w:r w:rsidRPr="000D2C88">
        <w:rPr>
          <w:lang w:val="fr-CH"/>
        </w:rPr>
        <w:t>.</w:t>
      </w:r>
      <w:r w:rsidRPr="000D2C88">
        <w:rPr>
          <w:lang w:val="fr-CH"/>
        </w:rPr>
        <w:tab/>
        <w:t xml:space="preserve">Le terme </w:t>
      </w:r>
      <w:r w:rsidR="00DF2E7E">
        <w:rPr>
          <w:lang w:val="fr-CH"/>
        </w:rPr>
        <w:t>«</w:t>
      </w:r>
      <w:r w:rsidRPr="000D2C88">
        <w:rPr>
          <w:lang w:val="fr-CH"/>
        </w:rPr>
        <w:t>certificat de classification</w:t>
      </w:r>
      <w:r w:rsidR="00DF2E7E">
        <w:rPr>
          <w:lang w:val="fr-CH"/>
        </w:rPr>
        <w:t>»</w:t>
      </w:r>
      <w:r w:rsidRPr="000D2C88">
        <w:rPr>
          <w:lang w:val="fr-CH"/>
        </w:rPr>
        <w:t xml:space="preserve"> a été remplacé par </w:t>
      </w:r>
      <w:r w:rsidR="00DF2E7E">
        <w:rPr>
          <w:lang w:val="fr-CH"/>
        </w:rPr>
        <w:t>«</w:t>
      </w:r>
      <w:r w:rsidRPr="000D2C88">
        <w:rPr>
          <w:lang w:val="fr-CH"/>
        </w:rPr>
        <w:t>certificat de classe</w:t>
      </w:r>
      <w:r w:rsidR="00DF2E7E">
        <w:rPr>
          <w:lang w:val="fr-CH"/>
        </w:rPr>
        <w:t>»</w:t>
      </w:r>
      <w:r w:rsidRPr="000D2C88">
        <w:rPr>
          <w:lang w:val="fr-CH"/>
        </w:rPr>
        <w:t xml:space="preserve"> </w:t>
      </w:r>
      <w:r w:rsidR="00A3503E">
        <w:rPr>
          <w:lang w:val="fr-CH"/>
        </w:rPr>
        <w:t xml:space="preserve">dans la version anglaise </w:t>
      </w:r>
      <w:r w:rsidRPr="000D2C88">
        <w:rPr>
          <w:lang w:val="fr-CH"/>
        </w:rPr>
        <w:t>et il conviendra de vérifier l'ensemble du Règlement pour assurer l'usage cohérent de ce terme.</w:t>
      </w:r>
      <w:r w:rsidR="00284366">
        <w:rPr>
          <w:lang w:val="fr-CH"/>
        </w:rPr>
        <w:t xml:space="preserve"> </w:t>
      </w:r>
    </w:p>
    <w:p w:rsidR="00BE7315" w:rsidRPr="000D2C88" w:rsidRDefault="00BE7315" w:rsidP="0005714C">
      <w:pPr>
        <w:pStyle w:val="SingleTxtG"/>
        <w:rPr>
          <w:lang w:val="fr-CH"/>
        </w:rPr>
      </w:pPr>
      <w:r w:rsidRPr="000D2C88">
        <w:rPr>
          <w:lang w:val="fr-CH"/>
        </w:rPr>
        <w:t>6</w:t>
      </w:r>
      <w:r>
        <w:rPr>
          <w:lang w:val="fr-CH"/>
        </w:rPr>
        <w:t>6</w:t>
      </w:r>
      <w:r w:rsidRPr="000D2C88">
        <w:rPr>
          <w:lang w:val="fr-CH"/>
        </w:rPr>
        <w:t>.</w:t>
      </w:r>
      <w:r w:rsidRPr="000D2C88">
        <w:rPr>
          <w:lang w:val="fr-CH"/>
        </w:rPr>
        <w:tab/>
        <w:t>Des mesures transitoires devraient être prévues au 1.6.7.2.1.4 pour tenir compte des bateaux à cargaison sèche.</w:t>
      </w:r>
    </w:p>
    <w:p w:rsidR="00BE7315" w:rsidRPr="000D2C88" w:rsidRDefault="00BE7315" w:rsidP="0005714C">
      <w:pPr>
        <w:pStyle w:val="SingleTxtG"/>
        <w:rPr>
          <w:lang w:val="fr-CH"/>
        </w:rPr>
      </w:pPr>
      <w:r w:rsidRPr="000D2C88">
        <w:rPr>
          <w:lang w:val="fr-CH"/>
        </w:rPr>
        <w:t>6</w:t>
      </w:r>
      <w:r>
        <w:rPr>
          <w:lang w:val="fr-CH"/>
        </w:rPr>
        <w:t>7</w:t>
      </w:r>
      <w:r w:rsidRPr="000D2C88">
        <w:rPr>
          <w:lang w:val="fr-CH"/>
        </w:rPr>
        <w:t>.</w:t>
      </w:r>
      <w:r w:rsidRPr="000D2C88">
        <w:rPr>
          <w:lang w:val="fr-CH"/>
        </w:rPr>
        <w:tab/>
        <w:t>La formulation du 1.16.13.4 devrait être revue pour préciser à la fin qu'il s'agit de l'autorité compétente pour laquelle la société de classification agit.</w:t>
      </w:r>
    </w:p>
    <w:p w:rsidR="00BE7315" w:rsidRPr="000D2C88" w:rsidRDefault="00BE7315" w:rsidP="0005714C">
      <w:pPr>
        <w:pStyle w:val="SingleTxtG"/>
        <w:rPr>
          <w:lang w:val="fr-CH"/>
        </w:rPr>
      </w:pPr>
      <w:r w:rsidRPr="000D2C88">
        <w:rPr>
          <w:lang w:val="fr-CH"/>
        </w:rPr>
        <w:t>6</w:t>
      </w:r>
      <w:r>
        <w:rPr>
          <w:lang w:val="fr-CH"/>
        </w:rPr>
        <w:t>8</w:t>
      </w:r>
      <w:r w:rsidRPr="000D2C88">
        <w:rPr>
          <w:lang w:val="fr-CH"/>
        </w:rPr>
        <w:t>.</w:t>
      </w:r>
      <w:r w:rsidRPr="000D2C88">
        <w:rPr>
          <w:lang w:val="fr-CH"/>
        </w:rPr>
        <w:tab/>
        <w:t xml:space="preserve">Le représentant de l'Allemagne a souhaité revoir la formulation du 8.1.8 proposé. Dans ce contexte, compte tenu de la note de bas de page </w:t>
      </w:r>
      <w:r>
        <w:rPr>
          <w:lang w:val="fr-CH"/>
        </w:rPr>
        <w:t>11</w:t>
      </w:r>
      <w:r w:rsidRPr="000D2C88">
        <w:rPr>
          <w:lang w:val="fr-CH"/>
        </w:rPr>
        <w:t xml:space="preserve"> du document, il a été précisé que la période est de douze mois et non six. Le secrétariat a attiré l'attention sur le fait que le Comité de sécurité avait déjà décidé de supprimer les 8.1.8 et 8.1.9 </w:t>
      </w:r>
      <w:r w:rsidR="00444917">
        <w:rPr>
          <w:lang w:val="fr-CH"/>
        </w:rPr>
        <w:t xml:space="preserve">pour la version 2017 de l'ADN </w:t>
      </w:r>
      <w:r w:rsidRPr="000D2C88">
        <w:rPr>
          <w:lang w:val="fr-CH"/>
        </w:rPr>
        <w:t>(voir ECE/TRANS/WP.15/AC.2/2015/45 et ECE/TRANS/WP.15/AC.2/52, paragraphe 46 et annexe III).</w:t>
      </w:r>
    </w:p>
    <w:p w:rsidR="00BE7315" w:rsidRPr="000D2C88" w:rsidRDefault="00BE7315" w:rsidP="0005714C">
      <w:pPr>
        <w:pStyle w:val="SingleTxtG"/>
        <w:rPr>
          <w:lang w:val="fr-CH"/>
        </w:rPr>
      </w:pPr>
      <w:r w:rsidRPr="000D2C88">
        <w:rPr>
          <w:lang w:val="fr-CH"/>
        </w:rPr>
        <w:t>6</w:t>
      </w:r>
      <w:r>
        <w:rPr>
          <w:lang w:val="fr-CH"/>
        </w:rPr>
        <w:t>9</w:t>
      </w:r>
      <w:r w:rsidRPr="000D2C88">
        <w:rPr>
          <w:lang w:val="fr-CH"/>
        </w:rPr>
        <w:t>.</w:t>
      </w:r>
      <w:r w:rsidRPr="000D2C88">
        <w:rPr>
          <w:lang w:val="fr-CH"/>
        </w:rPr>
        <w:tab/>
        <w:t xml:space="preserve">Le représentant de la France </w:t>
      </w:r>
      <w:r w:rsidRPr="00EE75D7">
        <w:rPr>
          <w:lang w:val="fr-CH"/>
        </w:rPr>
        <w:t xml:space="preserve">au nom du groupe informel de </w:t>
      </w:r>
      <w:r>
        <w:rPr>
          <w:lang w:val="fr-CH"/>
        </w:rPr>
        <w:t xml:space="preserve">travail par </w:t>
      </w:r>
      <w:r w:rsidRPr="00EE75D7">
        <w:rPr>
          <w:lang w:val="fr-CH"/>
        </w:rPr>
        <w:t>correspondance</w:t>
      </w:r>
      <w:r w:rsidRPr="000D2C88">
        <w:rPr>
          <w:lang w:val="fr-CH"/>
        </w:rPr>
        <w:t xml:space="preserve"> préparera un nouveau document compte tenu des décisions prises à la présente session et des délibérations prochaines du groupe de correspondance.</w:t>
      </w:r>
    </w:p>
    <w:p w:rsidR="00BE7315" w:rsidRPr="000D2C88" w:rsidRDefault="00BE7315" w:rsidP="0005714C">
      <w:pPr>
        <w:pStyle w:val="HChG"/>
        <w:rPr>
          <w:lang w:val="fr-CH"/>
        </w:rPr>
      </w:pPr>
      <w:r>
        <w:rPr>
          <w:lang w:val="fr-CH"/>
        </w:rPr>
        <w:tab/>
      </w:r>
      <w:bookmarkStart w:id="50" w:name="_Toc428948907"/>
      <w:r w:rsidRPr="000D2C88">
        <w:rPr>
          <w:lang w:val="fr-CH"/>
        </w:rPr>
        <w:t>VI.</w:t>
      </w:r>
      <w:r w:rsidRPr="000D2C88">
        <w:rPr>
          <w:lang w:val="fr-CH"/>
        </w:rPr>
        <w:tab/>
        <w:t>Rapports des groupes de travail informels</w:t>
      </w:r>
      <w:bookmarkEnd w:id="50"/>
      <w:r w:rsidR="00C12459">
        <w:rPr>
          <w:lang w:val="fr-CH"/>
        </w:rPr>
        <w:t xml:space="preserve"> (point </w:t>
      </w:r>
      <w:r w:rsidR="00055378">
        <w:rPr>
          <w:lang w:val="fr-CH"/>
        </w:rPr>
        <w:t>5</w:t>
      </w:r>
      <w:r w:rsidR="00C12459">
        <w:rPr>
          <w:lang w:val="fr-CH"/>
        </w:rPr>
        <w:t xml:space="preserve"> de l'ordre du jour)</w:t>
      </w:r>
    </w:p>
    <w:p w:rsidR="00BE7315" w:rsidRPr="000D2C88" w:rsidRDefault="00BE7315" w:rsidP="0005714C">
      <w:pPr>
        <w:pStyle w:val="H1G"/>
        <w:rPr>
          <w:lang w:val="fr-CH"/>
        </w:rPr>
      </w:pPr>
      <w:r w:rsidRPr="000D2C88">
        <w:rPr>
          <w:lang w:val="fr-CH"/>
        </w:rPr>
        <w:tab/>
      </w:r>
      <w:bookmarkStart w:id="51" w:name="_Toc428948908"/>
      <w:r w:rsidRPr="000D2C88">
        <w:rPr>
          <w:lang w:val="fr-CH"/>
        </w:rPr>
        <w:t>A.</w:t>
      </w:r>
      <w:r w:rsidRPr="000D2C88">
        <w:rPr>
          <w:lang w:val="fr-CH"/>
        </w:rPr>
        <w:tab/>
        <w:t>Groupe de travail informel sur le dégazage des citernes</w:t>
      </w:r>
      <w:bookmarkEnd w:id="51"/>
    </w:p>
    <w:p w:rsidR="00BE7315" w:rsidRPr="000D2C88" w:rsidRDefault="00BE7315" w:rsidP="00BE7315">
      <w:pPr>
        <w:spacing w:after="120"/>
        <w:ind w:left="3402" w:right="1134" w:hanging="2268"/>
        <w:jc w:val="both"/>
        <w:rPr>
          <w:lang w:val="fr-CH"/>
        </w:rPr>
      </w:pPr>
      <w:r w:rsidRPr="000D2C88">
        <w:rPr>
          <w:i/>
          <w:lang w:val="fr-CH"/>
        </w:rPr>
        <w:t>Document:</w:t>
      </w:r>
      <w:r w:rsidRPr="000D2C88">
        <w:rPr>
          <w:lang w:val="fr-CH"/>
        </w:rPr>
        <w:t xml:space="preserve"> </w:t>
      </w:r>
      <w:r w:rsidRPr="000D2C88">
        <w:rPr>
          <w:lang w:val="fr-CH"/>
        </w:rPr>
        <w:tab/>
      </w:r>
      <w:r w:rsidRPr="000D2C88">
        <w:rPr>
          <w:lang w:val="fr-CH"/>
        </w:rPr>
        <w:tab/>
        <w:t>ECE/TRANS/WP.15/AC.2/2015/29 (Pays-Bas) (Rapport du groupe de travail informel sur sa troisième session)</w:t>
      </w:r>
    </w:p>
    <w:p w:rsidR="00BE7315" w:rsidRPr="000D2C88" w:rsidRDefault="00BE7315" w:rsidP="0005714C">
      <w:pPr>
        <w:pStyle w:val="SingleTxtG"/>
        <w:rPr>
          <w:lang w:val="fr-CH"/>
        </w:rPr>
      </w:pPr>
      <w:r>
        <w:rPr>
          <w:lang w:val="fr-CH"/>
        </w:rPr>
        <w:t>70</w:t>
      </w:r>
      <w:r w:rsidRPr="000D2C88">
        <w:rPr>
          <w:lang w:val="fr-CH"/>
        </w:rPr>
        <w:t>.</w:t>
      </w:r>
      <w:r w:rsidRPr="000D2C88">
        <w:rPr>
          <w:lang w:val="fr-CH"/>
        </w:rPr>
        <w:tab/>
        <w:t>Le Président a invité les participants à exprimer leurs commentaires sur les propositions du groupe, étant entendu que le groupe devrait poursuivre ses travaux et présenter une nouvelle proposition à la prochaine session.</w:t>
      </w:r>
    </w:p>
    <w:p w:rsidR="00BE7315" w:rsidRPr="000D2C88" w:rsidRDefault="00BE7315" w:rsidP="0005714C">
      <w:pPr>
        <w:pStyle w:val="SingleTxtG"/>
        <w:rPr>
          <w:lang w:val="fr-CH"/>
        </w:rPr>
      </w:pPr>
      <w:r>
        <w:rPr>
          <w:lang w:val="fr-CH"/>
        </w:rPr>
        <w:t>71</w:t>
      </w:r>
      <w:r w:rsidRPr="000D2C88">
        <w:rPr>
          <w:lang w:val="fr-CH"/>
        </w:rPr>
        <w:t>.</w:t>
      </w:r>
      <w:r w:rsidRPr="000D2C88">
        <w:rPr>
          <w:lang w:val="fr-CH"/>
        </w:rPr>
        <w:tab/>
        <w:t>Il a été mentionné que le dégazage devrait concerner tous les gaz contenus dans les citernes y compris les gaz et vapeurs asphyxiants, comburants ou corrosifs, et pas seulement les gaz et vapeurs inflammables ou toxiques.</w:t>
      </w:r>
    </w:p>
    <w:p w:rsidR="00BE7315" w:rsidRPr="000D2C88" w:rsidRDefault="00BE7315" w:rsidP="0005714C">
      <w:pPr>
        <w:pStyle w:val="SingleTxtG"/>
        <w:rPr>
          <w:lang w:val="fr-CH"/>
        </w:rPr>
      </w:pPr>
      <w:r>
        <w:rPr>
          <w:lang w:val="fr-CH"/>
        </w:rPr>
        <w:t>72</w:t>
      </w:r>
      <w:r w:rsidRPr="000D2C88">
        <w:rPr>
          <w:lang w:val="fr-CH"/>
        </w:rPr>
        <w:t>.</w:t>
      </w:r>
      <w:r w:rsidRPr="000D2C88">
        <w:rPr>
          <w:lang w:val="fr-CH"/>
        </w:rPr>
        <w:tab/>
        <w:t>La question de la certification d'absence de gaz par une personne agréée par l'autorité compétente au 1.1.2.5 devrait également être approfondie, notamment pour clarifier de quelle autorité compétente il s'agit dans le contexte d'un transport international et éventuellement quelle peut être la durée de validité d'un certificat.</w:t>
      </w:r>
    </w:p>
    <w:p w:rsidR="00BE7315" w:rsidRPr="000D2C88" w:rsidRDefault="00BE7315" w:rsidP="0005714C">
      <w:pPr>
        <w:pStyle w:val="SingleTxtG"/>
        <w:rPr>
          <w:lang w:val="fr-CH"/>
        </w:rPr>
      </w:pPr>
      <w:r>
        <w:rPr>
          <w:lang w:val="fr-CH"/>
        </w:rPr>
        <w:t>73</w:t>
      </w:r>
      <w:r w:rsidRPr="000D2C88">
        <w:rPr>
          <w:lang w:val="fr-CH"/>
        </w:rPr>
        <w:t>.</w:t>
      </w:r>
      <w:r w:rsidRPr="000D2C88">
        <w:rPr>
          <w:lang w:val="fr-CH"/>
        </w:rPr>
        <w:tab/>
        <w:t>Pour la question du dégazage des citernes à cargaison vides dans l'atmosphère (7.2.3.7), il conviendrait d'étudier les procédures notamment pour tenir compte des règlementations éventuelles sur la prévention de la pollution de l'air (filtration éventuelle des gaz rejetés).</w:t>
      </w:r>
    </w:p>
    <w:p w:rsidR="00BE7315" w:rsidRPr="000D2C88" w:rsidRDefault="00BE7315" w:rsidP="0005714C">
      <w:pPr>
        <w:pStyle w:val="SingleTxtG"/>
        <w:rPr>
          <w:lang w:val="fr-CH"/>
        </w:rPr>
      </w:pPr>
      <w:r w:rsidRPr="000D2C88">
        <w:rPr>
          <w:lang w:val="fr-CH"/>
        </w:rPr>
        <w:t>7</w:t>
      </w:r>
      <w:r>
        <w:rPr>
          <w:lang w:val="fr-CH"/>
        </w:rPr>
        <w:t>4</w:t>
      </w:r>
      <w:r w:rsidRPr="000D2C88">
        <w:rPr>
          <w:lang w:val="fr-CH"/>
        </w:rPr>
        <w:t>.</w:t>
      </w:r>
      <w:r w:rsidRPr="000D2C88">
        <w:rPr>
          <w:lang w:val="fr-CH"/>
        </w:rPr>
        <w:tab/>
        <w:t>Enfin, il a été rappelé que certains résidus sont considérés comme des déchets dangereux, et il conviendrait de tenir compte des derniers développements en la matière par exemple dans le cadre de la Convention relative à la collecte, au dépôt et à la réception des déchets survenant en navigation rhénane et intérieure (CDNI).</w:t>
      </w:r>
    </w:p>
    <w:p w:rsidR="00BE7315" w:rsidRPr="000D2C88" w:rsidRDefault="00BE7315" w:rsidP="0076383B">
      <w:pPr>
        <w:pStyle w:val="H1G"/>
        <w:rPr>
          <w:lang w:val="fr-CH"/>
        </w:rPr>
      </w:pPr>
      <w:r w:rsidRPr="000D2C88">
        <w:rPr>
          <w:lang w:val="fr-CH"/>
        </w:rPr>
        <w:lastRenderedPageBreak/>
        <w:tab/>
      </w:r>
      <w:bookmarkStart w:id="52" w:name="_Toc428948909"/>
      <w:r w:rsidRPr="000D2C88">
        <w:rPr>
          <w:lang w:val="fr-CH"/>
        </w:rPr>
        <w:t xml:space="preserve">B. </w:t>
      </w:r>
      <w:r w:rsidRPr="000D2C88">
        <w:rPr>
          <w:lang w:val="fr-CH"/>
        </w:rPr>
        <w:tab/>
        <w:t>Groupe de travail informel sur la protection contre les explosions à bord des bateaux-citernes</w:t>
      </w:r>
      <w:bookmarkEnd w:id="52"/>
    </w:p>
    <w:p w:rsidR="00BE7315" w:rsidRPr="000D2C88" w:rsidRDefault="00BE7315" w:rsidP="0076383B">
      <w:pPr>
        <w:keepNext/>
        <w:keepLines/>
        <w:spacing w:after="120"/>
        <w:ind w:left="1134" w:right="1134"/>
        <w:jc w:val="both"/>
        <w:rPr>
          <w:lang w:val="fr-CH"/>
        </w:rPr>
      </w:pPr>
      <w:r w:rsidRPr="000D2C88">
        <w:rPr>
          <w:i/>
          <w:lang w:val="fr-CH"/>
        </w:rPr>
        <w:t>Document informel:</w:t>
      </w:r>
      <w:r w:rsidRPr="000D2C88">
        <w:rPr>
          <w:lang w:val="fr-CH"/>
        </w:rPr>
        <w:t xml:space="preserve"> </w:t>
      </w:r>
      <w:r w:rsidRPr="000D2C88">
        <w:rPr>
          <w:lang w:val="fr-CH"/>
        </w:rPr>
        <w:tab/>
      </w:r>
      <w:r w:rsidRPr="000D2C88">
        <w:rPr>
          <w:lang w:val="fr-CH"/>
        </w:rPr>
        <w:tab/>
        <w:t>INF.8 (CCNR) (Rapport du groupe sur sa huitième session)</w:t>
      </w:r>
    </w:p>
    <w:p w:rsidR="00BE7315" w:rsidRPr="000D2C88" w:rsidRDefault="00BE7315" w:rsidP="0076383B">
      <w:pPr>
        <w:pStyle w:val="SingleTxtG"/>
        <w:keepNext/>
        <w:keepLines/>
        <w:rPr>
          <w:lang w:val="fr-CH"/>
        </w:rPr>
      </w:pPr>
      <w:r w:rsidRPr="000D2C88">
        <w:rPr>
          <w:lang w:val="fr-CH"/>
        </w:rPr>
        <w:t>7</w:t>
      </w:r>
      <w:r>
        <w:rPr>
          <w:lang w:val="fr-CH"/>
        </w:rPr>
        <w:t>5</w:t>
      </w:r>
      <w:r w:rsidRPr="000D2C88">
        <w:rPr>
          <w:lang w:val="fr-CH"/>
        </w:rPr>
        <w:t>.</w:t>
      </w:r>
      <w:r w:rsidRPr="000D2C88">
        <w:rPr>
          <w:lang w:val="fr-CH"/>
        </w:rPr>
        <w:tab/>
        <w:t>Le Comité de sécurité a passé en revue toutes les propositions du groupe. Le groupe préparera une version révisée de ces propositions pour tenir compte des commentaires et décisions. Certaines décisions de principe devraient également être prises en compte:</w:t>
      </w:r>
    </w:p>
    <w:p w:rsidR="00BE7315" w:rsidRPr="000D2C88" w:rsidRDefault="00BE7315" w:rsidP="0076383B">
      <w:pPr>
        <w:pStyle w:val="Bullet1G"/>
        <w:keepNext/>
        <w:keepLines/>
        <w:rPr>
          <w:lang w:val="fr-CH"/>
        </w:rPr>
      </w:pPr>
      <w:r w:rsidRPr="000D2C88">
        <w:rPr>
          <w:lang w:val="fr-CH"/>
        </w:rPr>
        <w:t>Faire référence en priorité aux normes internationales ISO et IEC plutôt qu'aux normes EN qui peuvent cependant être également citées en supplément lorsqu'elles correspondent aux normes ISO et IEC;</w:t>
      </w:r>
    </w:p>
    <w:p w:rsidR="00BE7315" w:rsidRPr="000D2C88" w:rsidRDefault="00BE7315" w:rsidP="0005714C">
      <w:pPr>
        <w:pStyle w:val="Bullet1G"/>
        <w:rPr>
          <w:lang w:val="fr-CH"/>
        </w:rPr>
      </w:pPr>
      <w:r w:rsidRPr="000D2C88">
        <w:rPr>
          <w:lang w:val="fr-CH"/>
        </w:rPr>
        <w:t>Clarifier les normes ISO/IEC applicables aux procédures d'évaluation de la conformité (voir par exemple le document ECE/TRADE/391);</w:t>
      </w:r>
    </w:p>
    <w:p w:rsidR="00BE7315" w:rsidRPr="000D2C88" w:rsidRDefault="00BE7315" w:rsidP="0005714C">
      <w:pPr>
        <w:pStyle w:val="Bullet1G"/>
        <w:rPr>
          <w:lang w:val="fr-CH"/>
        </w:rPr>
      </w:pPr>
      <w:r w:rsidRPr="000D2C88">
        <w:rPr>
          <w:lang w:val="fr-CH"/>
        </w:rPr>
        <w:t>Vérifier les produits utilisables pour la calibration des systèmes de détection de gaz;</w:t>
      </w:r>
    </w:p>
    <w:p w:rsidR="00BE7315" w:rsidRPr="000D2C88" w:rsidRDefault="00BE7315" w:rsidP="0005714C">
      <w:pPr>
        <w:pStyle w:val="Bullet1G"/>
        <w:rPr>
          <w:lang w:val="fr-CH"/>
        </w:rPr>
      </w:pPr>
      <w:r w:rsidRPr="000D2C88">
        <w:rPr>
          <w:lang w:val="fr-CH"/>
        </w:rPr>
        <w:t>Consulter le groupe de travail informel sur le dégazage pour les questions relatives aux prises d'échantillons;</w:t>
      </w:r>
    </w:p>
    <w:p w:rsidR="00BE7315" w:rsidRPr="000D2C88" w:rsidRDefault="00BE7315" w:rsidP="0005714C">
      <w:pPr>
        <w:pStyle w:val="Bullet1G"/>
        <w:rPr>
          <w:lang w:val="fr-CH"/>
        </w:rPr>
      </w:pPr>
      <w:r w:rsidRPr="000D2C88">
        <w:rPr>
          <w:lang w:val="fr-CH"/>
        </w:rPr>
        <w:t>Lister dans un document séparé les propositions qui ne sont pas directement liées à la protection contre les explosions;</w:t>
      </w:r>
    </w:p>
    <w:p w:rsidR="00BE7315" w:rsidRPr="000D2C88" w:rsidRDefault="00BE7315" w:rsidP="0005714C">
      <w:pPr>
        <w:pStyle w:val="Bullet1G"/>
        <w:rPr>
          <w:lang w:val="fr-CH"/>
        </w:rPr>
      </w:pPr>
      <w:r w:rsidRPr="000D2C88">
        <w:rPr>
          <w:lang w:val="fr-CH"/>
        </w:rPr>
        <w:t>Vérifier que les mentions d'ordre prescriptif dans certaines définitions ne font pas double emploi avec les prescriptions d'autres chapitres;</w:t>
      </w:r>
    </w:p>
    <w:p w:rsidR="00BE7315" w:rsidRPr="000D2C88" w:rsidRDefault="00BE7315" w:rsidP="0005714C">
      <w:pPr>
        <w:pStyle w:val="Bullet1G"/>
        <w:rPr>
          <w:lang w:val="fr-CH"/>
        </w:rPr>
      </w:pPr>
      <w:r w:rsidRPr="000D2C88">
        <w:rPr>
          <w:lang w:val="fr-CH"/>
        </w:rPr>
        <w:t>Justifier les limites de capacité introduites dans les définitions pour certains récipients/citernes pour résidus etc.</w:t>
      </w:r>
    </w:p>
    <w:p w:rsidR="00BE7315" w:rsidRDefault="00BE7315" w:rsidP="0005714C">
      <w:pPr>
        <w:pStyle w:val="Bullet1G"/>
        <w:rPr>
          <w:lang w:val="fr-CH"/>
        </w:rPr>
      </w:pPr>
      <w:r>
        <w:rPr>
          <w:lang w:val="fr-CH"/>
        </w:rPr>
        <w:t>Étudier la question de la protection pendant le montage/démontage des éléments de coupe-flammes;</w:t>
      </w:r>
    </w:p>
    <w:p w:rsidR="00BE7315" w:rsidRDefault="00BE7315" w:rsidP="0005714C">
      <w:pPr>
        <w:pStyle w:val="Bullet1G"/>
        <w:rPr>
          <w:lang w:val="fr-CH"/>
        </w:rPr>
      </w:pPr>
      <w:r>
        <w:rPr>
          <w:lang w:val="fr-CH"/>
        </w:rPr>
        <w:t>Transférer éventuellement les dispositions du 9.1.0.50 concernant les documents dans la Partie 8;</w:t>
      </w:r>
    </w:p>
    <w:p w:rsidR="00BE7315" w:rsidRDefault="00BE7315" w:rsidP="0005714C">
      <w:pPr>
        <w:pStyle w:val="Bullet1G"/>
        <w:rPr>
          <w:lang w:val="fr-CH"/>
        </w:rPr>
      </w:pPr>
      <w:r>
        <w:rPr>
          <w:lang w:val="fr-CH"/>
        </w:rPr>
        <w:t>Prévoir des mesures transitoires.</w:t>
      </w:r>
    </w:p>
    <w:p w:rsidR="00BE7315" w:rsidRDefault="00BE7315" w:rsidP="0005714C">
      <w:pPr>
        <w:pStyle w:val="SingleTxtG"/>
        <w:rPr>
          <w:lang w:val="fr-CH"/>
        </w:rPr>
      </w:pPr>
      <w:r>
        <w:rPr>
          <w:lang w:val="fr-CH"/>
        </w:rPr>
        <w:t>76.</w:t>
      </w:r>
      <w:r>
        <w:rPr>
          <w:lang w:val="fr-CH"/>
        </w:rPr>
        <w:tab/>
        <w:t xml:space="preserve">Le Groupe de travail informel a également été prié d'examiner les propositions de l'UENF et l'OEB relatives aux exigences </w:t>
      </w:r>
      <w:r w:rsidRPr="00F301F5">
        <w:rPr>
          <w:lang w:val="fr-CH"/>
        </w:rPr>
        <w:t>applicables</w:t>
      </w:r>
      <w:r>
        <w:rPr>
          <w:lang w:val="fr-CH"/>
        </w:rPr>
        <w:t xml:space="preserve"> aux équipements électriques dans le document ECE/TRANS/WP.15/AC.2/2015/33.</w:t>
      </w:r>
    </w:p>
    <w:p w:rsidR="00BE7315" w:rsidRDefault="00BE7315" w:rsidP="00BE7315">
      <w:pPr>
        <w:pStyle w:val="H1G"/>
        <w:rPr>
          <w:lang w:val="fr-CH"/>
        </w:rPr>
      </w:pPr>
      <w:r>
        <w:rPr>
          <w:lang w:val="fr-CH"/>
        </w:rPr>
        <w:tab/>
      </w:r>
      <w:bookmarkStart w:id="53" w:name="_Toc428948910"/>
      <w:r>
        <w:rPr>
          <w:lang w:val="fr-CH"/>
        </w:rPr>
        <w:t>C.</w:t>
      </w:r>
      <w:r>
        <w:rPr>
          <w:lang w:val="fr-CH"/>
        </w:rPr>
        <w:tab/>
        <w:t>Groupe de travail informel sur les moyens d'évacuation</w:t>
      </w:r>
      <w:bookmarkEnd w:id="53"/>
      <w:r>
        <w:rPr>
          <w:lang w:val="fr-CH"/>
        </w:rPr>
        <w:t xml:space="preserve"> </w:t>
      </w:r>
    </w:p>
    <w:p w:rsidR="00BE7315" w:rsidRDefault="00BE7315" w:rsidP="00BE7315">
      <w:pPr>
        <w:pStyle w:val="SingleTxtG"/>
        <w:rPr>
          <w:lang w:val="fr-CH"/>
        </w:rPr>
      </w:pPr>
      <w:r w:rsidRPr="00CB7468">
        <w:rPr>
          <w:i/>
          <w:lang w:val="fr-CH"/>
        </w:rPr>
        <w:t>Document</w:t>
      </w:r>
      <w:r>
        <w:rPr>
          <w:i/>
          <w:lang w:val="fr-CH"/>
        </w:rPr>
        <w:t xml:space="preserve"> informel</w:t>
      </w:r>
      <w:r w:rsidRPr="00CB7468">
        <w:rPr>
          <w:i/>
          <w:lang w:val="fr-CH"/>
        </w:rPr>
        <w:t>:</w:t>
      </w:r>
      <w:r w:rsidRPr="00CB7468">
        <w:rPr>
          <w:lang w:val="fr-CH"/>
        </w:rPr>
        <w:t xml:space="preserve"> </w:t>
      </w:r>
      <w:r w:rsidRPr="00CB7468">
        <w:rPr>
          <w:lang w:val="fr-CH"/>
        </w:rPr>
        <w:tab/>
      </w:r>
      <w:r w:rsidRPr="00CB7468">
        <w:rPr>
          <w:lang w:val="fr-CH"/>
        </w:rPr>
        <w:tab/>
      </w:r>
      <w:r>
        <w:rPr>
          <w:lang w:val="fr-CH"/>
        </w:rPr>
        <w:t xml:space="preserve">INF.11 (Pays-Bas) </w:t>
      </w:r>
    </w:p>
    <w:p w:rsidR="00BE7315" w:rsidRDefault="00BE7315" w:rsidP="00BE7315">
      <w:pPr>
        <w:pStyle w:val="SingleTxtG"/>
        <w:rPr>
          <w:lang w:val="fr-CH"/>
        </w:rPr>
      </w:pPr>
      <w:r>
        <w:rPr>
          <w:lang w:val="fr-CH"/>
        </w:rPr>
        <w:t>77.</w:t>
      </w:r>
      <w:r>
        <w:rPr>
          <w:lang w:val="fr-CH"/>
        </w:rPr>
        <w:tab/>
        <w:t>Le Comité de sécurité a pris note du rapport du groupe de travail informel et a noté qu'il restait des questions à résoudre. Les Sociétés de classification recommandées ADN devraient préparer des propositions qui seront discutées à une deuxième session du groupe informel avant d'être soumises officiellement au Comité de sécurité à sa prochaine session.</w:t>
      </w:r>
    </w:p>
    <w:p w:rsidR="00F301F5" w:rsidRDefault="00BE7315" w:rsidP="00BE7315">
      <w:pPr>
        <w:pStyle w:val="SingleTxtG"/>
        <w:rPr>
          <w:lang w:val="fr-CH"/>
        </w:rPr>
      </w:pPr>
      <w:r>
        <w:rPr>
          <w:lang w:val="fr-CH"/>
        </w:rPr>
        <w:t>78.</w:t>
      </w:r>
      <w:r>
        <w:rPr>
          <w:lang w:val="fr-CH"/>
        </w:rPr>
        <w:tab/>
        <w:t xml:space="preserve">En ce qui concerne le point 7a du rapport, le représentant de l'Autriche a souligné qu'un nombre de personnes bien plus important que celui des membres de l'équipage peut se trouver à bord d'un bateau et que par conséquent les refuges devraient être conçus en conséquence. Il a suggéré que si cela n'était pas possible, il conviendrait de limiter le nombre de personnes autorisées à bord à un instant donné en fonction de la capacité d'accueil du refuge. </w:t>
      </w:r>
    </w:p>
    <w:p w:rsidR="00BE7315" w:rsidRDefault="00BE7315" w:rsidP="00BE7315">
      <w:pPr>
        <w:pStyle w:val="SingleTxtG"/>
        <w:rPr>
          <w:lang w:val="fr-CH"/>
        </w:rPr>
      </w:pPr>
      <w:r>
        <w:rPr>
          <w:lang w:val="fr-CH"/>
        </w:rPr>
        <w:t>79.</w:t>
      </w:r>
      <w:r>
        <w:rPr>
          <w:lang w:val="fr-CH"/>
        </w:rPr>
        <w:tab/>
        <w:t xml:space="preserve">Le Comité de sécurité a invité le Groupe de travail informel à étudier toutes les questions soulevées et le cas échéant à proposer plusieurs solutions alternatives pour que </w:t>
      </w:r>
      <w:r>
        <w:rPr>
          <w:lang w:val="fr-CH"/>
        </w:rPr>
        <w:lastRenderedPageBreak/>
        <w:t xml:space="preserve">des décisions puissent être prises à la prochaine session. Il a souhaité </w:t>
      </w:r>
      <w:r w:rsidR="00444917">
        <w:rPr>
          <w:lang w:val="fr-CH"/>
        </w:rPr>
        <w:t>que des experts techniques des s</w:t>
      </w:r>
      <w:r>
        <w:rPr>
          <w:lang w:val="fr-CH"/>
        </w:rPr>
        <w:t>ociétés de classification participent à la session du Groupe de travail informel.</w:t>
      </w:r>
    </w:p>
    <w:p w:rsidR="00BE7315" w:rsidRDefault="00BE7315" w:rsidP="00BE7315">
      <w:pPr>
        <w:pStyle w:val="H1G"/>
        <w:rPr>
          <w:lang w:val="fr-CH"/>
        </w:rPr>
      </w:pPr>
      <w:r>
        <w:rPr>
          <w:lang w:val="fr-CH"/>
        </w:rPr>
        <w:tab/>
      </w:r>
      <w:bookmarkStart w:id="54" w:name="_Toc428948911"/>
      <w:r>
        <w:rPr>
          <w:lang w:val="fr-CH"/>
        </w:rPr>
        <w:t>D.</w:t>
      </w:r>
      <w:r>
        <w:rPr>
          <w:lang w:val="fr-CH"/>
        </w:rPr>
        <w:tab/>
        <w:t>Groupe de travail informel sur les matières</w:t>
      </w:r>
      <w:bookmarkEnd w:id="54"/>
    </w:p>
    <w:p w:rsidR="00BE7315" w:rsidRDefault="00BE7315" w:rsidP="00BE7315">
      <w:pPr>
        <w:pStyle w:val="SingleTxtG"/>
        <w:rPr>
          <w:lang w:val="fr-CH"/>
        </w:rPr>
      </w:pPr>
      <w:r w:rsidRPr="00CB7468">
        <w:rPr>
          <w:i/>
          <w:lang w:val="fr-CH"/>
        </w:rPr>
        <w:t>Document</w:t>
      </w:r>
      <w:r>
        <w:rPr>
          <w:i/>
          <w:lang w:val="fr-CH"/>
        </w:rPr>
        <w:t xml:space="preserve"> informel</w:t>
      </w:r>
      <w:r w:rsidRPr="00CB7468">
        <w:rPr>
          <w:i/>
          <w:lang w:val="fr-CH"/>
        </w:rPr>
        <w:t>:</w:t>
      </w:r>
      <w:r w:rsidRPr="00CB7468">
        <w:rPr>
          <w:lang w:val="fr-CH"/>
        </w:rPr>
        <w:t xml:space="preserve"> </w:t>
      </w:r>
      <w:r w:rsidRPr="00CB7468">
        <w:rPr>
          <w:lang w:val="fr-CH"/>
        </w:rPr>
        <w:tab/>
      </w:r>
      <w:r w:rsidRPr="00CB7468">
        <w:rPr>
          <w:lang w:val="fr-CH"/>
        </w:rPr>
        <w:tab/>
      </w:r>
      <w:r>
        <w:rPr>
          <w:lang w:val="fr-CH"/>
        </w:rPr>
        <w:t>INF.12 (CCNR)</w:t>
      </w:r>
    </w:p>
    <w:p w:rsidR="00BE7315" w:rsidRDefault="00BE7315" w:rsidP="00BE7315">
      <w:pPr>
        <w:pStyle w:val="SingleTxtG"/>
        <w:rPr>
          <w:lang w:val="fr-CH"/>
        </w:rPr>
      </w:pPr>
      <w:r>
        <w:rPr>
          <w:lang w:val="fr-CH"/>
        </w:rPr>
        <w:t>80.</w:t>
      </w:r>
      <w:r>
        <w:rPr>
          <w:lang w:val="fr-CH"/>
        </w:rPr>
        <w:tab/>
        <w:t>Le rapport du Groupe de travail n'étant disponible qu'en allemand, il n'a pas été possible de prendre de décision sur les textes proposés qui devront être soumis de manière officielle à la prochaine session. Le Comité de sécurité s'est donc contenté de prendre note des résultats des travaux. Il a néanmoins entériné l'interprétation de la section I (paragraphes 37 et 38) selon laquelle les informations du tableau C concernant l'ammoniac (Nos. ONU 1005 et 2672) sont correctes.</w:t>
      </w:r>
    </w:p>
    <w:p w:rsidR="00BE7315" w:rsidRDefault="00BE7315" w:rsidP="0005714C">
      <w:pPr>
        <w:pStyle w:val="SingleTxtG"/>
        <w:rPr>
          <w:lang w:val="fr-CH"/>
        </w:rPr>
      </w:pPr>
      <w:r>
        <w:rPr>
          <w:lang w:val="fr-CH"/>
        </w:rPr>
        <w:t>81</w:t>
      </w:r>
      <w:r w:rsidRPr="000D2C88">
        <w:rPr>
          <w:lang w:val="fr-CH"/>
        </w:rPr>
        <w:t>.</w:t>
      </w:r>
      <w:r w:rsidRPr="000D2C88">
        <w:rPr>
          <w:lang w:val="fr-CH"/>
        </w:rPr>
        <w:tab/>
        <w:t>Pour la section K traitant de la classification des déchets, il a été rappelé que les bateaux génèrent deux types de déchets, ceux liés aux restes de cargaison et eaux de lavage des citernes à cargaison, et ceux liés au fonctionnement du bateau (fonctionnement des moteurs etc.). Il convenait de garder à l'esprit les dispositions de la CDNI et de son évolution future. Le représentant de l'OEB a été invité à fournir au groupe informel des informations sur les différents produits concernés, leur statut de déchet au sens de la CDNI, la terminologie, les compositions etc.</w:t>
      </w:r>
    </w:p>
    <w:p w:rsidR="00BE7315" w:rsidRPr="00CA6A0F" w:rsidRDefault="00BE7315" w:rsidP="0005714C">
      <w:pPr>
        <w:pStyle w:val="SingleTxtG"/>
        <w:rPr>
          <w:lang w:val="fr-CH"/>
        </w:rPr>
      </w:pPr>
      <w:r w:rsidRPr="00482075">
        <w:rPr>
          <w:lang w:val="fr-CH"/>
        </w:rPr>
        <w:t>82.</w:t>
      </w:r>
      <w:r w:rsidRPr="00482075">
        <w:rPr>
          <w:lang w:val="fr-CH"/>
        </w:rPr>
        <w:tab/>
      </w:r>
      <w:r w:rsidRPr="000D2C88">
        <w:rPr>
          <w:lang w:val="fr-CH"/>
        </w:rPr>
        <w:t xml:space="preserve">Le Comité de sécurité </w:t>
      </w:r>
      <w:r>
        <w:rPr>
          <w:lang w:val="fr-CH"/>
        </w:rPr>
        <w:t>a entériné l'</w:t>
      </w:r>
      <w:r w:rsidR="0005714C">
        <w:rPr>
          <w:lang w:val="fr-CH"/>
        </w:rPr>
        <w:t>interprétation</w:t>
      </w:r>
      <w:r>
        <w:rPr>
          <w:lang w:val="fr-CH"/>
        </w:rPr>
        <w:t xml:space="preserve"> du </w:t>
      </w:r>
      <w:r w:rsidRPr="00CA6A0F">
        <w:rPr>
          <w:lang w:val="fr-CH"/>
        </w:rPr>
        <w:t xml:space="preserve">Groupe de travail informel sur les matières </w:t>
      </w:r>
      <w:r w:rsidRPr="00482075">
        <w:rPr>
          <w:lang w:val="fr-CH"/>
        </w:rPr>
        <w:t xml:space="preserve">(section L) </w:t>
      </w:r>
      <w:r>
        <w:rPr>
          <w:lang w:val="fr-CH"/>
        </w:rPr>
        <w:t xml:space="preserve">qu'il n'y avait pas besoin </w:t>
      </w:r>
      <w:r w:rsidRPr="00482075">
        <w:rPr>
          <w:lang w:val="fr-CH"/>
        </w:rPr>
        <w:t xml:space="preserve">d'exigences </w:t>
      </w:r>
      <w:r>
        <w:rPr>
          <w:lang w:val="fr-CH"/>
        </w:rPr>
        <w:t xml:space="preserve">de ventilation </w:t>
      </w:r>
      <w:r w:rsidR="00D91EAF">
        <w:rPr>
          <w:lang w:val="fr-CH"/>
        </w:rPr>
        <w:t>supplémentaires</w:t>
      </w:r>
      <w:r w:rsidR="00444917">
        <w:rPr>
          <w:lang w:val="fr-CH"/>
        </w:rPr>
        <w:t xml:space="preserve"> pour les conteneurs BK</w:t>
      </w:r>
      <w:r w:rsidRPr="00482075">
        <w:rPr>
          <w:lang w:val="fr-CH"/>
        </w:rPr>
        <w:t>3.</w:t>
      </w:r>
    </w:p>
    <w:p w:rsidR="00BE7315" w:rsidRPr="000D2C88" w:rsidRDefault="00BE7315" w:rsidP="0005714C">
      <w:pPr>
        <w:pStyle w:val="HChG"/>
        <w:rPr>
          <w:lang w:val="fr-CH"/>
        </w:rPr>
      </w:pPr>
      <w:r w:rsidRPr="001F2433">
        <w:rPr>
          <w:lang w:val="fr-CH"/>
        </w:rPr>
        <w:tab/>
      </w:r>
      <w:bookmarkStart w:id="55" w:name="_Toc428948912"/>
      <w:r w:rsidRPr="000D2C88">
        <w:rPr>
          <w:lang w:val="fr-CH"/>
        </w:rPr>
        <w:t xml:space="preserve">VII. </w:t>
      </w:r>
      <w:r w:rsidRPr="000D2C88">
        <w:rPr>
          <w:lang w:val="fr-CH"/>
        </w:rPr>
        <w:tab/>
        <w:t>Programme de travail et calendrier des réunions (point 6 de l'ordre du jour)</w:t>
      </w:r>
      <w:bookmarkEnd w:id="55"/>
    </w:p>
    <w:p w:rsidR="00BE7315" w:rsidRPr="000D2C88" w:rsidRDefault="00BE7315" w:rsidP="0005714C">
      <w:pPr>
        <w:pStyle w:val="SingleTxtG"/>
        <w:rPr>
          <w:lang w:val="fr-CH"/>
        </w:rPr>
      </w:pPr>
      <w:r w:rsidRPr="000D2C88">
        <w:rPr>
          <w:lang w:val="fr-CH"/>
        </w:rPr>
        <w:t>8</w:t>
      </w:r>
      <w:r>
        <w:rPr>
          <w:lang w:val="fr-CH"/>
        </w:rPr>
        <w:t>3</w:t>
      </w:r>
      <w:r w:rsidRPr="000D2C88">
        <w:rPr>
          <w:lang w:val="fr-CH"/>
        </w:rPr>
        <w:t>.</w:t>
      </w:r>
      <w:r w:rsidRPr="000D2C88">
        <w:rPr>
          <w:lang w:val="fr-CH"/>
        </w:rPr>
        <w:tab/>
        <w:t>La prochaine session se tiendra à Genève du 25 au 29 janvier 2016 et le Comité de sécurité devra finaliser à cette occasion le projet d'amendements qui devraient entrer en vigueur le 1</w:t>
      </w:r>
      <w:r w:rsidRPr="000D2C88">
        <w:rPr>
          <w:vertAlign w:val="superscript"/>
          <w:lang w:val="fr-CH"/>
        </w:rPr>
        <w:t>er</w:t>
      </w:r>
      <w:r w:rsidRPr="000D2C88">
        <w:rPr>
          <w:lang w:val="fr-CH"/>
        </w:rPr>
        <w:t xml:space="preserve"> janvier 2017, avec notamment les propositions d'amendement provenant de la Réunion commune RID/ADR/ADN pour l'harmonisation multimodale. La date limite de communication des documents est le 30 octobre 2015.</w:t>
      </w:r>
    </w:p>
    <w:p w:rsidR="00BE7315" w:rsidRPr="000D2C88" w:rsidRDefault="00BE7315" w:rsidP="0005714C">
      <w:pPr>
        <w:pStyle w:val="SingleTxtG"/>
        <w:rPr>
          <w:lang w:val="fr-CH"/>
        </w:rPr>
      </w:pPr>
      <w:r w:rsidRPr="000D2C88">
        <w:rPr>
          <w:lang w:val="fr-CH"/>
        </w:rPr>
        <w:t>8</w:t>
      </w:r>
      <w:r>
        <w:rPr>
          <w:lang w:val="fr-CH"/>
        </w:rPr>
        <w:t>4</w:t>
      </w:r>
      <w:r w:rsidRPr="000D2C88">
        <w:rPr>
          <w:lang w:val="fr-CH"/>
        </w:rPr>
        <w:t>.</w:t>
      </w:r>
      <w:r w:rsidRPr="000D2C88">
        <w:rPr>
          <w:lang w:val="fr-CH"/>
        </w:rPr>
        <w:tab/>
        <w:t>La session suivante aura lieu à Genève du 22 au 26 août 2016 (date limite pour la soumission des doc</w:t>
      </w:r>
      <w:r w:rsidR="00977DF3">
        <w:rPr>
          <w:lang w:val="fr-CH"/>
        </w:rPr>
        <w:t>uments: 27 mai</w:t>
      </w:r>
      <w:r w:rsidRPr="000D2C88">
        <w:rPr>
          <w:lang w:val="fr-CH"/>
        </w:rPr>
        <w:t xml:space="preserve"> 2016).</w:t>
      </w:r>
    </w:p>
    <w:p w:rsidR="00BE7315" w:rsidRPr="000D2C88" w:rsidRDefault="00BE7315" w:rsidP="0005714C">
      <w:pPr>
        <w:pStyle w:val="HChG"/>
        <w:rPr>
          <w:lang w:val="fr-CH"/>
        </w:rPr>
      </w:pPr>
      <w:r w:rsidRPr="000D2C88">
        <w:rPr>
          <w:lang w:val="fr-CH"/>
        </w:rPr>
        <w:tab/>
      </w:r>
      <w:bookmarkStart w:id="56" w:name="_Toc428948913"/>
      <w:r w:rsidRPr="000D2C88">
        <w:rPr>
          <w:lang w:val="fr-CH"/>
        </w:rPr>
        <w:t xml:space="preserve">VIII. </w:t>
      </w:r>
      <w:r w:rsidRPr="000D2C88">
        <w:rPr>
          <w:lang w:val="fr-CH"/>
        </w:rPr>
        <w:tab/>
        <w:t>Questions diverses (point 7 de l'ordre du jour)</w:t>
      </w:r>
      <w:bookmarkEnd w:id="56"/>
    </w:p>
    <w:p w:rsidR="00BE7315" w:rsidRPr="000D2C88" w:rsidRDefault="00BE7315" w:rsidP="0005714C">
      <w:pPr>
        <w:pStyle w:val="H1G"/>
        <w:rPr>
          <w:lang w:val="fr-CH"/>
        </w:rPr>
      </w:pPr>
      <w:r w:rsidRPr="000D2C88">
        <w:rPr>
          <w:lang w:val="fr-CH"/>
        </w:rPr>
        <w:tab/>
      </w:r>
      <w:bookmarkStart w:id="57" w:name="_Toc428948914"/>
      <w:r w:rsidRPr="000D2C88">
        <w:rPr>
          <w:lang w:val="fr-CH"/>
        </w:rPr>
        <w:t xml:space="preserve">A. </w:t>
      </w:r>
      <w:r w:rsidRPr="000D2C88">
        <w:rPr>
          <w:lang w:val="fr-CH"/>
        </w:rPr>
        <w:tab/>
        <w:t>Systèmes d'amarrage par dispositifs magnétiques (Dock Lock System)</w:t>
      </w:r>
      <w:bookmarkEnd w:id="57"/>
    </w:p>
    <w:p w:rsidR="00BE7315" w:rsidRPr="000D2C88" w:rsidRDefault="00BE7315" w:rsidP="00BE7315">
      <w:pPr>
        <w:spacing w:after="120"/>
        <w:ind w:left="1134" w:right="1134"/>
        <w:jc w:val="both"/>
        <w:rPr>
          <w:lang w:val="fr-CH"/>
        </w:rPr>
      </w:pPr>
      <w:r w:rsidRPr="000D2C88">
        <w:rPr>
          <w:i/>
          <w:lang w:val="fr-CH"/>
        </w:rPr>
        <w:t>Document informel:</w:t>
      </w:r>
      <w:r w:rsidRPr="000D2C88">
        <w:rPr>
          <w:lang w:val="fr-CH"/>
        </w:rPr>
        <w:tab/>
      </w:r>
      <w:r w:rsidRPr="000D2C88">
        <w:rPr>
          <w:lang w:val="fr-CH"/>
        </w:rPr>
        <w:tab/>
        <w:t>INF.14 (Pays-Bas)</w:t>
      </w:r>
    </w:p>
    <w:p w:rsidR="00BE7315" w:rsidRPr="000D2C88" w:rsidRDefault="00BE7315" w:rsidP="0005714C">
      <w:pPr>
        <w:pStyle w:val="SingleTxtG"/>
        <w:rPr>
          <w:lang w:val="fr-CH"/>
        </w:rPr>
      </w:pPr>
      <w:r w:rsidRPr="000D2C88">
        <w:rPr>
          <w:lang w:val="fr-CH"/>
        </w:rPr>
        <w:t>8</w:t>
      </w:r>
      <w:r>
        <w:rPr>
          <w:lang w:val="fr-CH"/>
        </w:rPr>
        <w:t>5</w:t>
      </w:r>
      <w:r w:rsidRPr="000D2C88">
        <w:rPr>
          <w:lang w:val="fr-CH"/>
        </w:rPr>
        <w:t>.</w:t>
      </w:r>
      <w:r w:rsidRPr="000D2C88">
        <w:rPr>
          <w:lang w:val="fr-CH"/>
        </w:rPr>
        <w:tab/>
        <w:t>Le Comité de sécurité a estimé qu'avant de prévoir des dispositions dans l'ADN pour ces systèmes déjà présentés à la 23</w:t>
      </w:r>
      <w:r w:rsidRPr="000D2C88">
        <w:rPr>
          <w:vertAlign w:val="superscript"/>
          <w:lang w:val="fr-CH"/>
        </w:rPr>
        <w:t>ème</w:t>
      </w:r>
      <w:r w:rsidRPr="000D2C88">
        <w:rPr>
          <w:lang w:val="fr-CH"/>
        </w:rPr>
        <w:t xml:space="preserve"> session (ECE/TRANS/WP.15/AC.2/48, paras 15-17), il conviendrait que ces systèmes soient présentés aux organes compétents pour la navigation intérieure en général car ils peuvent être utilisés pour toutes sortes de bateaux. Il conviendrait ensuite de vérifier si leur utilisation à bord de bateaux pour le transport de marchandises dangereuses nécessite des aménagements dans le Règlement annexé à l'ADN.</w:t>
      </w:r>
    </w:p>
    <w:p w:rsidR="00BE7315" w:rsidRPr="000D2C88" w:rsidRDefault="00BE7315" w:rsidP="0005714C">
      <w:pPr>
        <w:pStyle w:val="H1G"/>
        <w:rPr>
          <w:lang w:val="fr-CH"/>
        </w:rPr>
      </w:pPr>
      <w:r w:rsidRPr="000D2C88">
        <w:rPr>
          <w:lang w:val="fr-CH"/>
        </w:rPr>
        <w:lastRenderedPageBreak/>
        <w:tab/>
      </w:r>
      <w:bookmarkStart w:id="58" w:name="_Toc428948915"/>
      <w:r w:rsidRPr="000D2C88">
        <w:rPr>
          <w:lang w:val="fr-CH"/>
        </w:rPr>
        <w:t>B.</w:t>
      </w:r>
      <w:r w:rsidRPr="000D2C88">
        <w:rPr>
          <w:lang w:val="fr-CH"/>
        </w:rPr>
        <w:tab/>
        <w:t>Demande de statut consultatif de l'European Bulk Oil Traders' Association (EBOTA)</w:t>
      </w:r>
      <w:bookmarkEnd w:id="58"/>
    </w:p>
    <w:p w:rsidR="00BE7315" w:rsidRPr="000D2C88" w:rsidRDefault="00BE7315" w:rsidP="00BE7315">
      <w:pPr>
        <w:spacing w:after="120"/>
        <w:ind w:left="1134" w:right="1134"/>
        <w:jc w:val="both"/>
        <w:rPr>
          <w:lang w:val="fr-CH"/>
        </w:rPr>
      </w:pPr>
      <w:r w:rsidRPr="000D2C88">
        <w:rPr>
          <w:i/>
          <w:lang w:val="fr-CH"/>
        </w:rPr>
        <w:t>Document informel:</w:t>
      </w:r>
      <w:r w:rsidRPr="000D2C88">
        <w:rPr>
          <w:lang w:val="fr-CH"/>
        </w:rPr>
        <w:tab/>
      </w:r>
      <w:r w:rsidRPr="000D2C88">
        <w:rPr>
          <w:lang w:val="fr-CH"/>
        </w:rPr>
        <w:tab/>
        <w:t>INF.19 (EBOTA)</w:t>
      </w:r>
    </w:p>
    <w:p w:rsidR="00BE7315" w:rsidRPr="000D2C88" w:rsidRDefault="00BE7315" w:rsidP="0005714C">
      <w:pPr>
        <w:pStyle w:val="SingleTxtG"/>
        <w:rPr>
          <w:lang w:val="fr-CH"/>
        </w:rPr>
      </w:pPr>
      <w:r w:rsidRPr="000D2C88">
        <w:rPr>
          <w:lang w:val="fr-CH"/>
        </w:rPr>
        <w:t>8</w:t>
      </w:r>
      <w:r>
        <w:rPr>
          <w:lang w:val="fr-CH"/>
        </w:rPr>
        <w:t>6</w:t>
      </w:r>
      <w:r w:rsidRPr="000D2C88">
        <w:rPr>
          <w:lang w:val="fr-CH"/>
        </w:rPr>
        <w:t>.</w:t>
      </w:r>
      <w:r w:rsidRPr="000D2C88">
        <w:rPr>
          <w:lang w:val="fr-CH"/>
        </w:rPr>
        <w:tab/>
        <w:t>Le Comité de sécurité a noté que l'EBOTA représentait un groupe de sociétés pétrolières qui étaient intéressées par l'ADN à titre d'expéditeur de quantités importantes de produits pétroliers en bateaux-citernes. Comme la demande avait été formulée tardivement, le représentant d'EBOTA a été prié de fournir la documentation normalement requise afin qu'il puisse être vérifié que cette organisation répond aux critères habituellement exigés pour la participation en tant qu'organisation non-gouvernementale. La demande sera donc examinée à la prochaine session une fois les vérifications d'usage faites.</w:t>
      </w:r>
    </w:p>
    <w:p w:rsidR="00BE7315" w:rsidRPr="000D2C88" w:rsidRDefault="00BE7315" w:rsidP="0005714C">
      <w:pPr>
        <w:pStyle w:val="H1G"/>
        <w:rPr>
          <w:lang w:val="fr-CH"/>
        </w:rPr>
      </w:pPr>
      <w:r w:rsidRPr="000D2C88">
        <w:rPr>
          <w:lang w:val="fr-CH"/>
        </w:rPr>
        <w:tab/>
      </w:r>
      <w:bookmarkStart w:id="59" w:name="_Toc428948916"/>
      <w:r w:rsidRPr="000D2C88">
        <w:rPr>
          <w:lang w:val="fr-CH"/>
        </w:rPr>
        <w:t xml:space="preserve">C. </w:t>
      </w:r>
      <w:r w:rsidRPr="000D2C88">
        <w:rPr>
          <w:lang w:val="fr-CH"/>
        </w:rPr>
        <w:tab/>
        <w:t>Hommage à M. Christopher Smith</w:t>
      </w:r>
      <w:bookmarkEnd w:id="59"/>
    </w:p>
    <w:p w:rsidR="00BE7315" w:rsidRPr="000D2C88" w:rsidRDefault="00BE7315" w:rsidP="0005714C">
      <w:pPr>
        <w:pStyle w:val="SingleTxtG"/>
        <w:rPr>
          <w:lang w:val="fr-CH"/>
        </w:rPr>
      </w:pPr>
      <w:r w:rsidRPr="000D2C88">
        <w:rPr>
          <w:lang w:val="fr-CH"/>
        </w:rPr>
        <w:t>8</w:t>
      </w:r>
      <w:r>
        <w:rPr>
          <w:lang w:val="fr-CH"/>
        </w:rPr>
        <w:t>7</w:t>
      </w:r>
      <w:r w:rsidRPr="000D2C88">
        <w:rPr>
          <w:lang w:val="fr-CH"/>
        </w:rPr>
        <w:t>.</w:t>
      </w:r>
      <w:r w:rsidRPr="000D2C88">
        <w:rPr>
          <w:lang w:val="fr-CH"/>
        </w:rPr>
        <w:tab/>
        <w:t xml:space="preserve">Le Comité de sécurité a été informé que cette session était la dernière à laquelle </w:t>
      </w:r>
      <w:r>
        <w:rPr>
          <w:lang w:val="fr-CH"/>
        </w:rPr>
        <w:br/>
      </w:r>
      <w:r w:rsidRPr="000D2C88">
        <w:rPr>
          <w:lang w:val="fr-CH"/>
        </w:rPr>
        <w:t>M. Smith participait en tant que membre du secrétariat, puisqu'il prenait sa retraite fin novembre 2015. M. Smith a effectué toute sa carrière en tant que fonctionnaire de l'ONU depuis 1985. Il a joint la Division des transports de la CEE-ONU en 1997 où il s'est plus particulièrement occupé de sécurité routière, avant d'intégrer la Section des marchandises dangereuses et cargaisons spéciales en 2007 où il a rempli la fonction de secrétaire du Groupe de travail des transports de denrées périssables et de secrétaire adjoint pour les activités relatives à l'ADN. Le Comité de sécurité l'a remercié chaleureusement pour sa contribution fort appréciée aux travaux du Groupe et lui a souhaité une longue et heureuse retraite.</w:t>
      </w:r>
    </w:p>
    <w:p w:rsidR="00BE7315" w:rsidRPr="000D2C88" w:rsidRDefault="00BE7315" w:rsidP="0005714C">
      <w:pPr>
        <w:pStyle w:val="HChG"/>
        <w:rPr>
          <w:lang w:val="fr-CH"/>
        </w:rPr>
      </w:pPr>
      <w:r w:rsidRPr="000D2C88">
        <w:rPr>
          <w:lang w:val="fr-CH"/>
        </w:rPr>
        <w:tab/>
      </w:r>
      <w:bookmarkStart w:id="60" w:name="_Toc428948917"/>
      <w:r w:rsidRPr="000D2C88">
        <w:rPr>
          <w:lang w:val="fr-CH"/>
        </w:rPr>
        <w:t xml:space="preserve">IX. </w:t>
      </w:r>
      <w:r w:rsidRPr="000D2C88">
        <w:rPr>
          <w:lang w:val="fr-CH"/>
        </w:rPr>
        <w:tab/>
        <w:t>Adoption du rapport (point 8 de l'ordre du jour)</w:t>
      </w:r>
      <w:bookmarkEnd w:id="60"/>
    </w:p>
    <w:p w:rsidR="00BE7315" w:rsidRPr="000D2C88" w:rsidRDefault="00BE7315" w:rsidP="0005714C">
      <w:pPr>
        <w:pStyle w:val="SingleTxtG"/>
        <w:rPr>
          <w:lang w:val="fr-CH"/>
        </w:rPr>
      </w:pPr>
      <w:r w:rsidRPr="000D2C88">
        <w:rPr>
          <w:lang w:val="fr-CH"/>
        </w:rPr>
        <w:t>8</w:t>
      </w:r>
      <w:r>
        <w:rPr>
          <w:lang w:val="fr-CH"/>
        </w:rPr>
        <w:t>8</w:t>
      </w:r>
      <w:r w:rsidRPr="000D2C88">
        <w:rPr>
          <w:lang w:val="fr-CH"/>
        </w:rPr>
        <w:t>.</w:t>
      </w:r>
      <w:r w:rsidRPr="000D2C88">
        <w:rPr>
          <w:lang w:val="fr-CH"/>
        </w:rPr>
        <w:tab/>
        <w:t>Le Comité de sécurité a adopté le rapport sur sa vingt-septième session et ses annexes sur la base d'un projet établi par le secrétariat.</w:t>
      </w:r>
    </w:p>
    <w:p w:rsidR="00BE7315" w:rsidRDefault="00BE7315" w:rsidP="0005714C">
      <w:pPr>
        <w:pStyle w:val="HChG"/>
        <w:rPr>
          <w:lang w:val="fr-CH"/>
        </w:rPr>
      </w:pPr>
      <w:r>
        <w:rPr>
          <w:lang w:val="fr-CH"/>
        </w:rPr>
        <w:br w:type="page"/>
      </w:r>
      <w:bookmarkStart w:id="61" w:name="_Toc428948918"/>
      <w:r w:rsidRPr="00F301F5">
        <w:rPr>
          <w:lang w:val="fr-CH"/>
        </w:rPr>
        <w:lastRenderedPageBreak/>
        <w:t>Annexe</w:t>
      </w:r>
      <w:r>
        <w:rPr>
          <w:lang w:val="fr-CH"/>
        </w:rPr>
        <w:t xml:space="preserve"> I</w:t>
      </w:r>
      <w:bookmarkEnd w:id="61"/>
    </w:p>
    <w:p w:rsidR="00BE7315" w:rsidRPr="001A4E50" w:rsidRDefault="00BE7315" w:rsidP="0005714C">
      <w:pPr>
        <w:pStyle w:val="HChG"/>
        <w:rPr>
          <w:lang w:val="fr-CH"/>
        </w:rPr>
      </w:pPr>
      <w:r>
        <w:rPr>
          <w:lang w:val="fr-CH"/>
        </w:rPr>
        <w:tab/>
      </w:r>
      <w:r>
        <w:rPr>
          <w:lang w:val="fr-CH"/>
        </w:rPr>
        <w:tab/>
      </w:r>
      <w:bookmarkStart w:id="62" w:name="_Toc428948919"/>
      <w:r w:rsidRPr="001A4E50">
        <w:rPr>
          <w:lang w:val="fr-CH"/>
        </w:rPr>
        <w:t>Projets d’amendements au Règlement annexé à l’ADN pour entrée en vigueur le 1er janvier 2017</w:t>
      </w:r>
      <w:bookmarkEnd w:id="62"/>
    </w:p>
    <w:p w:rsidR="00BE7315" w:rsidRPr="001A4E50" w:rsidRDefault="00BE7315" w:rsidP="00BE7315">
      <w:pPr>
        <w:spacing w:after="120"/>
        <w:ind w:left="1134" w:right="1134"/>
        <w:jc w:val="both"/>
        <w:rPr>
          <w:rFonts w:eastAsia="SimSun"/>
          <w:lang w:val="fr-CH" w:eastAsia="zh-CN"/>
        </w:rPr>
      </w:pPr>
      <w:r w:rsidRPr="001A4E50">
        <w:rPr>
          <w:rFonts w:eastAsia="SimSun"/>
          <w:lang w:val="fr-CH" w:eastAsia="zh-CN"/>
        </w:rPr>
        <w:t>1.4.3.3 u)</w:t>
      </w:r>
      <w:r w:rsidRPr="001A4E50">
        <w:rPr>
          <w:rFonts w:eastAsia="SimSun"/>
          <w:lang w:val="fr-CH" w:eastAsia="zh-CN"/>
        </w:rPr>
        <w:tab/>
        <w:t>Modifier pour lire comme suit:</w:t>
      </w:r>
    </w:p>
    <w:p w:rsidR="00BE7315" w:rsidRPr="001A4E50" w:rsidRDefault="00BE7315" w:rsidP="00BE7315">
      <w:pPr>
        <w:spacing w:after="120"/>
        <w:ind w:left="1134" w:right="1134"/>
        <w:jc w:val="both"/>
        <w:rPr>
          <w:rFonts w:eastAsia="SimSun"/>
          <w:lang w:val="fr-FR" w:eastAsia="zh-CN"/>
        </w:rPr>
      </w:pPr>
      <w:r w:rsidRPr="001A4E50">
        <w:rPr>
          <w:rFonts w:eastAsia="SimSun"/>
          <w:lang w:val="fr-FR" w:eastAsia="zh-CN"/>
        </w:rPr>
        <w:t>« u)</w:t>
      </w:r>
      <w:r w:rsidRPr="001A4E50">
        <w:rPr>
          <w:rFonts w:eastAsia="SimSun"/>
          <w:lang w:val="fr-FR" w:eastAsia="zh-CN"/>
        </w:rPr>
        <w:tab/>
        <w:t>Il doit s'assurer que pour toute la durée du chargement une surveillance permanente et appropriée est assurée. ».</w:t>
      </w:r>
    </w:p>
    <w:p w:rsidR="00BE7315" w:rsidRPr="001A4E50" w:rsidRDefault="00BE7315" w:rsidP="00BE7315">
      <w:pPr>
        <w:spacing w:after="120"/>
        <w:ind w:left="1134" w:right="1134"/>
        <w:jc w:val="both"/>
        <w:rPr>
          <w:i/>
          <w:lang w:val="fr-CH"/>
        </w:rPr>
      </w:pPr>
      <w:r w:rsidRPr="001A4E50">
        <w:rPr>
          <w:i/>
          <w:lang w:val="fr-CH"/>
        </w:rPr>
        <w:t>(Document de référence: ECE/TRANS/WP.15/AC.2/2015/32)</w:t>
      </w:r>
    </w:p>
    <w:p w:rsidR="00BE7315" w:rsidRPr="001A4E50" w:rsidRDefault="00BE7315" w:rsidP="00BE7315">
      <w:pPr>
        <w:spacing w:after="120"/>
        <w:ind w:left="1134" w:right="1134"/>
        <w:jc w:val="both"/>
        <w:rPr>
          <w:rFonts w:eastAsia="SimSun"/>
          <w:lang w:val="fr-CH" w:eastAsia="zh-CN"/>
        </w:rPr>
      </w:pPr>
      <w:r w:rsidRPr="001A4E50">
        <w:rPr>
          <w:rFonts w:eastAsia="SimSun"/>
          <w:lang w:val="fr-CH" w:eastAsia="zh-CN"/>
        </w:rPr>
        <w:t>9.1.0.40.2.7 a)</w:t>
      </w:r>
      <w:r w:rsidRPr="001A4E50">
        <w:rPr>
          <w:rFonts w:eastAsia="SimSun"/>
          <w:lang w:val="fr-CH" w:eastAsia="zh-CN"/>
        </w:rPr>
        <w:tab/>
      </w:r>
      <w:r>
        <w:rPr>
          <w:rFonts w:eastAsia="SimSun"/>
          <w:lang w:val="fr-CH" w:eastAsia="zh-CN"/>
        </w:rPr>
        <w:t>Ajouter</w:t>
      </w:r>
      <w:r w:rsidRPr="001A4E50">
        <w:rPr>
          <w:rFonts w:eastAsia="SimSun"/>
          <w:lang w:val="fr-CH" w:eastAsia="zh-CN"/>
        </w:rPr>
        <w:t xml:space="preserve"> </w:t>
      </w:r>
      <w:r w:rsidR="00DF2E7E">
        <w:rPr>
          <w:rFonts w:eastAsia="SimSun"/>
          <w:lang w:val="fr-CH" w:eastAsia="zh-CN"/>
        </w:rPr>
        <w:t>«</w:t>
      </w:r>
      <w:r w:rsidRPr="001A4E50">
        <w:rPr>
          <w:rFonts w:eastAsia="SimSun"/>
          <w:lang w:val="fr-FR" w:eastAsia="zh-CN"/>
        </w:rPr>
        <w:t>ou, s'il n'y a pas de telles prescriptions, ils doivent être conformes aux prescriptions d'une société de classification agréée</w:t>
      </w:r>
      <w:r w:rsidR="00DF2E7E">
        <w:rPr>
          <w:rFonts w:eastAsia="SimSun"/>
          <w:lang w:val="fr-FR" w:eastAsia="zh-CN"/>
        </w:rPr>
        <w:t>»</w:t>
      </w:r>
      <w:r w:rsidRPr="001A4E50">
        <w:rPr>
          <w:rFonts w:eastAsia="SimSun"/>
          <w:lang w:val="fr-FR" w:eastAsia="zh-CN"/>
        </w:rPr>
        <w:t xml:space="preserve"> à la fin</w:t>
      </w:r>
      <w:r w:rsidRPr="001A4E50">
        <w:rPr>
          <w:rFonts w:eastAsia="SimSun"/>
          <w:lang w:val="fr-CH" w:eastAsia="zh-CN"/>
        </w:rPr>
        <w:t>.</w:t>
      </w:r>
    </w:p>
    <w:p w:rsidR="00BE7315" w:rsidRPr="001A4E50" w:rsidRDefault="00BE7315" w:rsidP="00BE7315">
      <w:pPr>
        <w:spacing w:after="120"/>
        <w:ind w:left="1134" w:right="1134"/>
        <w:jc w:val="both"/>
        <w:rPr>
          <w:rFonts w:eastAsia="SimSun"/>
          <w:lang w:val="fr-CH" w:eastAsia="zh-CN"/>
        </w:rPr>
      </w:pPr>
      <w:r w:rsidRPr="001A4E50">
        <w:rPr>
          <w:rFonts w:eastAsia="SimSun"/>
          <w:lang w:val="fr-CH" w:eastAsia="zh-CN"/>
        </w:rPr>
        <w:t xml:space="preserve">9.3.1.40.2.7 a) </w:t>
      </w:r>
      <w:r w:rsidRPr="001A4E50">
        <w:rPr>
          <w:rFonts w:eastAsia="SimSun"/>
          <w:lang w:val="fr-CH" w:eastAsia="zh-CN"/>
        </w:rPr>
        <w:tab/>
      </w:r>
      <w:r>
        <w:rPr>
          <w:rFonts w:eastAsia="SimSun"/>
          <w:lang w:val="fr-CH" w:eastAsia="zh-CN"/>
        </w:rPr>
        <w:t>Ajouter</w:t>
      </w:r>
      <w:r w:rsidRPr="001A4E50">
        <w:rPr>
          <w:rFonts w:eastAsia="SimSun"/>
          <w:lang w:val="fr-CH" w:eastAsia="zh-CN"/>
        </w:rPr>
        <w:t xml:space="preserve"> </w:t>
      </w:r>
      <w:r w:rsidR="00DF2E7E">
        <w:rPr>
          <w:rFonts w:eastAsia="SimSun"/>
          <w:lang w:val="fr-CH" w:eastAsia="zh-CN"/>
        </w:rPr>
        <w:t>«</w:t>
      </w:r>
      <w:r w:rsidRPr="001A4E50">
        <w:rPr>
          <w:rFonts w:eastAsia="SimSun"/>
          <w:lang w:val="fr-FR" w:eastAsia="zh-CN"/>
        </w:rPr>
        <w:t>ou, s'il n'y a pas de telles prescriptions, ils doivent être conformes aux prescriptions d'une société de classification agréée</w:t>
      </w:r>
      <w:r w:rsidR="00DF2E7E">
        <w:rPr>
          <w:rFonts w:eastAsia="SimSun"/>
          <w:lang w:val="fr-FR" w:eastAsia="zh-CN"/>
        </w:rPr>
        <w:t>»</w:t>
      </w:r>
      <w:r w:rsidRPr="001A4E50">
        <w:rPr>
          <w:rFonts w:eastAsia="SimSun"/>
          <w:lang w:val="fr-FR" w:eastAsia="zh-CN"/>
        </w:rPr>
        <w:t xml:space="preserve"> à la fin</w:t>
      </w:r>
      <w:r w:rsidRPr="001A4E50">
        <w:rPr>
          <w:rFonts w:eastAsia="SimSun"/>
          <w:lang w:val="fr-CH" w:eastAsia="zh-CN"/>
        </w:rPr>
        <w:t>.</w:t>
      </w:r>
    </w:p>
    <w:p w:rsidR="00BE7315" w:rsidRPr="001A4E50" w:rsidRDefault="00BE7315" w:rsidP="00BE7315">
      <w:pPr>
        <w:spacing w:after="120"/>
        <w:ind w:left="1134" w:right="1134"/>
        <w:jc w:val="both"/>
        <w:rPr>
          <w:rFonts w:eastAsia="SimSun"/>
          <w:lang w:val="fr-CH" w:eastAsia="zh-CN"/>
        </w:rPr>
      </w:pPr>
      <w:r w:rsidRPr="001A4E50">
        <w:rPr>
          <w:rFonts w:eastAsia="SimSun"/>
          <w:lang w:val="fr-CH" w:eastAsia="zh-CN"/>
        </w:rPr>
        <w:t xml:space="preserve">9.3.2.40.2.7 a) </w:t>
      </w:r>
      <w:r w:rsidRPr="001A4E50">
        <w:rPr>
          <w:rFonts w:eastAsia="SimSun"/>
          <w:lang w:val="fr-CH" w:eastAsia="zh-CN"/>
        </w:rPr>
        <w:tab/>
      </w:r>
      <w:r>
        <w:rPr>
          <w:rFonts w:eastAsia="SimSun"/>
          <w:lang w:val="fr-CH" w:eastAsia="zh-CN"/>
        </w:rPr>
        <w:t>Ajouter</w:t>
      </w:r>
      <w:r w:rsidRPr="001A4E50">
        <w:rPr>
          <w:rFonts w:eastAsia="SimSun"/>
          <w:lang w:val="fr-CH" w:eastAsia="zh-CN"/>
        </w:rPr>
        <w:t xml:space="preserve"> </w:t>
      </w:r>
      <w:r w:rsidR="00DF2E7E">
        <w:rPr>
          <w:rFonts w:eastAsia="SimSun"/>
          <w:lang w:val="fr-CH" w:eastAsia="zh-CN"/>
        </w:rPr>
        <w:t>«</w:t>
      </w:r>
      <w:r w:rsidRPr="001A4E50">
        <w:rPr>
          <w:rFonts w:eastAsia="SimSun"/>
          <w:lang w:val="fr-FR" w:eastAsia="zh-CN"/>
        </w:rPr>
        <w:t>ou, s'il n'y a pas de telles prescriptions, ils doivent être conformes aux prescriptions d'une société de classification agréée</w:t>
      </w:r>
      <w:r w:rsidR="00DF2E7E">
        <w:rPr>
          <w:rFonts w:eastAsia="SimSun"/>
          <w:lang w:val="fr-FR" w:eastAsia="zh-CN"/>
        </w:rPr>
        <w:t>»</w:t>
      </w:r>
      <w:r w:rsidRPr="001A4E50">
        <w:rPr>
          <w:rFonts w:eastAsia="SimSun"/>
          <w:lang w:val="fr-FR" w:eastAsia="zh-CN"/>
        </w:rPr>
        <w:t xml:space="preserve"> à la fin</w:t>
      </w:r>
      <w:r w:rsidRPr="001A4E50">
        <w:rPr>
          <w:rFonts w:eastAsia="SimSun"/>
          <w:lang w:val="fr-CH" w:eastAsia="zh-CN"/>
        </w:rPr>
        <w:t>.</w:t>
      </w:r>
    </w:p>
    <w:p w:rsidR="00BE7315" w:rsidRPr="001A4E50" w:rsidRDefault="00BE7315" w:rsidP="00BE7315">
      <w:pPr>
        <w:spacing w:after="120"/>
        <w:ind w:left="1134" w:right="1134"/>
        <w:jc w:val="both"/>
        <w:rPr>
          <w:b/>
          <w:sz w:val="24"/>
          <w:lang w:val="fr-CH"/>
        </w:rPr>
      </w:pPr>
      <w:r w:rsidRPr="001A4E50">
        <w:rPr>
          <w:rFonts w:eastAsia="SimSun"/>
          <w:lang w:val="fr-CH" w:eastAsia="zh-CN"/>
        </w:rPr>
        <w:t xml:space="preserve">9.3.3.40.2.7 a) </w:t>
      </w:r>
      <w:r w:rsidRPr="001A4E50">
        <w:rPr>
          <w:rFonts w:eastAsia="SimSun"/>
          <w:lang w:val="fr-CH" w:eastAsia="zh-CN"/>
        </w:rPr>
        <w:tab/>
      </w:r>
      <w:r>
        <w:rPr>
          <w:rFonts w:eastAsia="SimSun"/>
          <w:lang w:val="fr-CH" w:eastAsia="zh-CN"/>
        </w:rPr>
        <w:t>Ajouter</w:t>
      </w:r>
      <w:r w:rsidRPr="001A4E50">
        <w:rPr>
          <w:rFonts w:eastAsia="SimSun"/>
          <w:lang w:val="fr-CH" w:eastAsia="zh-CN"/>
        </w:rPr>
        <w:t xml:space="preserve"> </w:t>
      </w:r>
      <w:r w:rsidR="00DF2E7E">
        <w:rPr>
          <w:rFonts w:eastAsia="SimSun"/>
          <w:lang w:val="fr-CH" w:eastAsia="zh-CN"/>
        </w:rPr>
        <w:t>«</w:t>
      </w:r>
      <w:r w:rsidRPr="001A4E50">
        <w:rPr>
          <w:rFonts w:eastAsia="SimSun"/>
          <w:lang w:val="fr-FR" w:eastAsia="zh-CN"/>
        </w:rPr>
        <w:t>ou, s'il n'y a pas de telles prescriptions, ils doivent être conformes aux prescriptions d'une société de classification agréée</w:t>
      </w:r>
      <w:r w:rsidR="00DF2E7E">
        <w:rPr>
          <w:rFonts w:eastAsia="SimSun"/>
          <w:lang w:val="fr-FR" w:eastAsia="zh-CN"/>
        </w:rPr>
        <w:t>»</w:t>
      </w:r>
      <w:r w:rsidRPr="001A4E50">
        <w:rPr>
          <w:rFonts w:eastAsia="SimSun"/>
          <w:lang w:val="fr-FR" w:eastAsia="zh-CN"/>
        </w:rPr>
        <w:t xml:space="preserve"> à la fin</w:t>
      </w:r>
      <w:r w:rsidRPr="001A4E50">
        <w:rPr>
          <w:rFonts w:eastAsia="SimSun"/>
          <w:lang w:val="fr-CH" w:eastAsia="zh-CN"/>
        </w:rPr>
        <w:t>.</w:t>
      </w:r>
    </w:p>
    <w:p w:rsidR="00BE7315" w:rsidRPr="001A4E50" w:rsidRDefault="00BE7315" w:rsidP="00BE7315">
      <w:pPr>
        <w:spacing w:after="120"/>
        <w:ind w:left="1134" w:right="1134"/>
        <w:jc w:val="both"/>
        <w:rPr>
          <w:i/>
          <w:lang w:val="fr-CH"/>
        </w:rPr>
      </w:pPr>
      <w:r w:rsidRPr="001A4E50">
        <w:rPr>
          <w:i/>
          <w:lang w:val="fr-CH"/>
        </w:rPr>
        <w:t>(Document de référence: ECE/TRANS/WP.15/AC.2/2015/8)</w:t>
      </w:r>
    </w:p>
    <w:p w:rsidR="00BE7315" w:rsidRPr="001A4E50" w:rsidRDefault="00BE7315" w:rsidP="00BE7315">
      <w:pPr>
        <w:spacing w:after="120"/>
        <w:ind w:left="1134" w:right="1134"/>
        <w:jc w:val="both"/>
        <w:rPr>
          <w:lang w:val="fr-FR" w:eastAsia="de-DE"/>
        </w:rPr>
      </w:pPr>
      <w:r w:rsidRPr="001A4E50">
        <w:rPr>
          <w:rFonts w:eastAsia="SimSun"/>
          <w:lang w:val="fr-CH" w:eastAsia="zh-CN"/>
        </w:rPr>
        <w:t>7.2.4.77</w:t>
      </w:r>
      <w:r w:rsidRPr="001A4E50">
        <w:rPr>
          <w:rFonts w:eastAsia="SimSun"/>
          <w:lang w:val="fr-CH" w:eastAsia="zh-CN"/>
        </w:rPr>
        <w:tab/>
        <w:t>M</w:t>
      </w:r>
      <w:r w:rsidRPr="001A4E50">
        <w:rPr>
          <w:lang w:val="fr-FR" w:eastAsia="de-DE"/>
        </w:rPr>
        <w:t>odifier comme suit le titre de la quatrième colonne du tableau:</w:t>
      </w:r>
    </w:p>
    <w:p w:rsidR="00BE7315" w:rsidRPr="001A4E50" w:rsidRDefault="00DF2E7E" w:rsidP="00BE7315">
      <w:pPr>
        <w:spacing w:after="120"/>
        <w:ind w:left="1134" w:right="1134"/>
        <w:jc w:val="both"/>
        <w:rPr>
          <w:lang w:val="fr-FR" w:eastAsia="de-DE"/>
        </w:rPr>
      </w:pPr>
      <w:r>
        <w:rPr>
          <w:bCs/>
          <w:lang w:val="fr-FR" w:eastAsia="de-DE"/>
        </w:rPr>
        <w:t>«</w:t>
      </w:r>
      <w:r w:rsidR="00BE7315" w:rsidRPr="001A4E50">
        <w:rPr>
          <w:bCs/>
          <w:lang w:val="fr-FR" w:eastAsia="de-DE"/>
        </w:rPr>
        <w:t xml:space="preserve">3 groupe d’emballage III (No. ONU 1202: deuxième et troisième rubriques dans le </w:t>
      </w:r>
      <w:r w:rsidR="00BE7315">
        <w:rPr>
          <w:bCs/>
          <w:lang w:val="fr-FR" w:eastAsia="de-DE"/>
        </w:rPr>
        <w:br/>
      </w:r>
      <w:r w:rsidR="00BE7315" w:rsidRPr="001A4E50">
        <w:rPr>
          <w:bCs/>
          <w:lang w:val="fr-FR" w:eastAsia="de-DE"/>
        </w:rPr>
        <w:t>tableau C), 4.1</w:t>
      </w:r>
      <w:r>
        <w:rPr>
          <w:bCs/>
          <w:lang w:val="fr-FR" w:eastAsia="de-DE"/>
        </w:rPr>
        <w:t>»</w:t>
      </w:r>
      <w:r w:rsidR="00BE7315" w:rsidRPr="001A4E50">
        <w:rPr>
          <w:bCs/>
          <w:lang w:val="fr-FR" w:eastAsia="de-DE"/>
        </w:rPr>
        <w:t>.</w:t>
      </w:r>
    </w:p>
    <w:p w:rsidR="00BE7315" w:rsidRPr="001A4E50" w:rsidRDefault="00BE7315" w:rsidP="00BE7315">
      <w:pPr>
        <w:spacing w:after="120"/>
        <w:ind w:left="1134" w:right="1134"/>
        <w:jc w:val="both"/>
        <w:rPr>
          <w:i/>
          <w:lang w:val="fr-CH"/>
        </w:rPr>
      </w:pPr>
      <w:r w:rsidRPr="001A4E50">
        <w:rPr>
          <w:i/>
          <w:lang w:val="fr-CH"/>
        </w:rPr>
        <w:t>(Document de référence: ECE/TRANS/WP.15/AC.2/2015/10)</w:t>
      </w:r>
    </w:p>
    <w:p w:rsidR="00BE7315" w:rsidRPr="001A4E50" w:rsidRDefault="00BE7315" w:rsidP="00BE7315">
      <w:pPr>
        <w:spacing w:after="120"/>
        <w:ind w:left="1134" w:right="1134"/>
        <w:jc w:val="both"/>
        <w:rPr>
          <w:rFonts w:eastAsia="SimSun"/>
          <w:lang w:val="fr-CH" w:eastAsia="zh-CN"/>
        </w:rPr>
      </w:pPr>
      <w:r w:rsidRPr="001A4E50">
        <w:rPr>
          <w:rFonts w:eastAsia="SimSun"/>
          <w:lang w:val="fr-CH" w:eastAsia="zh-CN"/>
        </w:rPr>
        <w:t>8.2.2.8</w:t>
      </w:r>
      <w:r w:rsidRPr="001A4E50">
        <w:rPr>
          <w:rFonts w:eastAsia="SimSun"/>
          <w:lang w:val="fr-CH" w:eastAsia="zh-CN"/>
        </w:rPr>
        <w:tab/>
      </w:r>
      <w:r w:rsidRPr="001A4E50">
        <w:rPr>
          <w:rFonts w:eastAsia="SimSun"/>
          <w:lang w:val="fr-CH" w:eastAsia="zh-CN"/>
        </w:rPr>
        <w:tab/>
        <w:t>Après le titre, le texte devient 8.2.2.8.1.</w:t>
      </w:r>
    </w:p>
    <w:p w:rsidR="00BE7315" w:rsidRPr="001A4E50" w:rsidRDefault="00BE7315" w:rsidP="00BE7315">
      <w:pPr>
        <w:spacing w:after="120"/>
        <w:ind w:left="1134" w:right="1134"/>
        <w:jc w:val="both"/>
        <w:rPr>
          <w:rFonts w:eastAsia="SimSun"/>
          <w:lang w:val="fr-CH" w:eastAsia="zh-CN"/>
        </w:rPr>
      </w:pPr>
      <w:r w:rsidRPr="001A4E50">
        <w:rPr>
          <w:rFonts w:eastAsia="SimSun"/>
          <w:lang w:val="fr-CH" w:eastAsia="zh-CN"/>
        </w:rPr>
        <w:t>Ajouter un nouveau paragraphe 8.2.2.8.2 comme suit:</w:t>
      </w:r>
    </w:p>
    <w:p w:rsidR="00BE7315" w:rsidRPr="001A4E50" w:rsidRDefault="00DF2E7E" w:rsidP="00BE7315">
      <w:pPr>
        <w:spacing w:after="120"/>
        <w:ind w:left="1134" w:right="1134"/>
        <w:jc w:val="both"/>
        <w:rPr>
          <w:snapToGrid w:val="0"/>
          <w:lang w:val="fr-FR" w:eastAsia="fr-FR"/>
        </w:rPr>
      </w:pPr>
      <w:r>
        <w:rPr>
          <w:snapToGrid w:val="0"/>
          <w:lang w:val="fr-CH" w:eastAsia="fr-FR"/>
        </w:rPr>
        <w:t>«</w:t>
      </w:r>
      <w:r w:rsidR="00BE7315" w:rsidRPr="001A4E50">
        <w:rPr>
          <w:snapToGrid w:val="0"/>
          <w:lang w:val="fr-FR" w:eastAsia="fr-FR"/>
        </w:rPr>
        <w:t>8.2.2.8.2</w:t>
      </w:r>
      <w:r w:rsidR="00BE7315" w:rsidRPr="001A4E50">
        <w:rPr>
          <w:snapToGrid w:val="0"/>
          <w:lang w:val="fr-FR" w:eastAsia="fr-FR"/>
        </w:rPr>
        <w:tab/>
        <w:t>Les Parties contractantes doivent fournir au secrétariat de la CEE-ONU un exemple type de chaque certificat qu’elles entendent délivrer au niveau national, en application de la présente section, ainsi que des exemples types des certificats qui sont toujours en vigueur. Une Partie contractante peut en outre fournir des notes explicatives. Le secrétariat de la CEE-ONU met les informations qu’il a reçues à la disposition de toutes les Parties contractantes.</w:t>
      </w:r>
      <w:r>
        <w:rPr>
          <w:snapToGrid w:val="0"/>
          <w:lang w:val="fr-FR" w:eastAsia="fr-FR"/>
        </w:rPr>
        <w:t>»</w:t>
      </w:r>
    </w:p>
    <w:p w:rsidR="00BE7315" w:rsidRPr="001A4E50" w:rsidRDefault="00BE7315" w:rsidP="00BE7315">
      <w:pPr>
        <w:spacing w:after="120"/>
        <w:ind w:left="1134" w:right="1134"/>
        <w:jc w:val="both"/>
        <w:rPr>
          <w:i/>
          <w:lang w:val="fr-CH"/>
        </w:rPr>
      </w:pPr>
      <w:r w:rsidRPr="001A4E50">
        <w:rPr>
          <w:i/>
          <w:lang w:val="fr-CH"/>
        </w:rPr>
        <w:t>(Document de référence: ECE/TRANS/WP.15/AC.2/2015/14)</w:t>
      </w:r>
    </w:p>
    <w:p w:rsidR="00BE7315" w:rsidRPr="00A155BB" w:rsidRDefault="00BE7315" w:rsidP="00BE7315">
      <w:pPr>
        <w:spacing w:after="120"/>
        <w:ind w:left="1134" w:right="1134"/>
        <w:jc w:val="both"/>
        <w:rPr>
          <w:lang w:val="fr-CH"/>
        </w:rPr>
      </w:pPr>
      <w:r w:rsidRPr="00A155BB">
        <w:rPr>
          <w:lang w:val="fr-CH"/>
        </w:rPr>
        <w:t xml:space="preserve">8.6.1.3 et 8.6.1.4 </w:t>
      </w:r>
      <w:r w:rsidRPr="00A155BB">
        <w:rPr>
          <w:lang w:val="fr-CH"/>
        </w:rPr>
        <w:tab/>
        <w:t>Sur le page 3 du modèle, insérer un</w:t>
      </w:r>
      <w:r>
        <w:rPr>
          <w:lang w:val="fr-CH"/>
        </w:rPr>
        <w:t>e</w:t>
      </w:r>
      <w:r w:rsidRPr="00A155BB">
        <w:rPr>
          <w:lang w:val="fr-CH"/>
        </w:rPr>
        <w:t xml:space="preserve"> nouve</w:t>
      </w:r>
      <w:r>
        <w:rPr>
          <w:lang w:val="fr-CH"/>
        </w:rPr>
        <w:t>lle</w:t>
      </w:r>
      <w:r w:rsidRPr="00A155BB">
        <w:rPr>
          <w:lang w:val="fr-CH"/>
        </w:rPr>
        <w:t xml:space="preserve"> rubrique </w:t>
      </w:r>
      <w:r w:rsidR="00DF2E7E">
        <w:rPr>
          <w:lang w:val="fr-CH"/>
        </w:rPr>
        <w:t>«</w:t>
      </w:r>
      <w:r w:rsidRPr="00A155BB">
        <w:rPr>
          <w:lang w:val="fr-FR"/>
        </w:rPr>
        <w:t>installation d’inertisation</w:t>
      </w:r>
      <w:r w:rsidR="00DF2E7E">
        <w:rPr>
          <w:lang w:val="fr-CH"/>
        </w:rPr>
        <w:t>»</w:t>
      </w:r>
      <w:r w:rsidRPr="00A155BB">
        <w:rPr>
          <w:lang w:val="fr-CH"/>
        </w:rPr>
        <w:t xml:space="preserve"> après </w:t>
      </w:r>
      <w:r w:rsidR="00DF2E7E">
        <w:rPr>
          <w:lang w:val="fr-CH"/>
        </w:rPr>
        <w:t>«</w:t>
      </w:r>
      <w:r w:rsidRPr="00A155BB">
        <w:rPr>
          <w:lang w:val="fr-FR"/>
        </w:rPr>
        <w:t>installation de réfrigération</w:t>
      </w:r>
      <w:r w:rsidR="00DF2E7E">
        <w:rPr>
          <w:lang w:val="fr-CH"/>
        </w:rPr>
        <w:t>»</w:t>
      </w:r>
      <w:r w:rsidRPr="00A155BB">
        <w:rPr>
          <w:lang w:val="fr-CH"/>
        </w:rPr>
        <w:t>.</w:t>
      </w:r>
    </w:p>
    <w:p w:rsidR="00BE7315" w:rsidRPr="00A155BB" w:rsidRDefault="00BE7315" w:rsidP="00BE7315">
      <w:pPr>
        <w:spacing w:before="120" w:after="120"/>
        <w:ind w:left="1134" w:right="1134"/>
        <w:jc w:val="both"/>
        <w:rPr>
          <w:i/>
          <w:lang w:val="fr-CH"/>
        </w:rPr>
      </w:pPr>
      <w:r w:rsidRPr="00A155BB">
        <w:rPr>
          <w:i/>
          <w:lang w:val="fr-CH"/>
        </w:rPr>
        <w:t>(Document de référence: ECE/TRANS/WP.15/AC.2/2015/16)</w:t>
      </w:r>
    </w:p>
    <w:p w:rsidR="00BE7315" w:rsidRPr="00A155BB" w:rsidRDefault="00BE7315" w:rsidP="00BE7315">
      <w:pPr>
        <w:spacing w:after="120"/>
        <w:ind w:left="1134" w:right="1134"/>
        <w:jc w:val="both"/>
        <w:rPr>
          <w:rFonts w:eastAsia="SimSun"/>
          <w:lang w:val="fr-CH" w:eastAsia="zh-CN"/>
        </w:rPr>
      </w:pPr>
      <w:r w:rsidRPr="00A155BB">
        <w:rPr>
          <w:rFonts w:eastAsia="SimSun"/>
          <w:lang w:val="fr-CH" w:eastAsia="zh-CN"/>
        </w:rPr>
        <w:t>9.3.</w:t>
      </w:r>
      <w:r>
        <w:rPr>
          <w:rFonts w:eastAsia="SimSun"/>
          <w:lang w:val="fr-CH" w:eastAsia="zh-CN"/>
        </w:rPr>
        <w:t>x</w:t>
      </w:r>
      <w:r w:rsidRPr="00A155BB">
        <w:rPr>
          <w:rFonts w:eastAsia="SimSun"/>
          <w:lang w:val="fr-CH" w:eastAsia="zh-CN"/>
        </w:rPr>
        <w:t>.13</w:t>
      </w:r>
      <w:r w:rsidRPr="00A155BB">
        <w:rPr>
          <w:rFonts w:eastAsia="SimSun"/>
          <w:lang w:val="fr-CH" w:eastAsia="zh-CN"/>
        </w:rPr>
        <w:tab/>
        <w:t>Ajouter un nouveau paragraphe pour lire comme suit:</w:t>
      </w:r>
    </w:p>
    <w:p w:rsidR="00BE7315" w:rsidRPr="00A155BB" w:rsidRDefault="00DF2E7E" w:rsidP="00BE7315">
      <w:pPr>
        <w:spacing w:after="120"/>
        <w:ind w:left="1134" w:right="1134"/>
        <w:jc w:val="both"/>
        <w:rPr>
          <w:lang w:val="fr-CH"/>
        </w:rPr>
      </w:pPr>
      <w:r>
        <w:rPr>
          <w:rFonts w:eastAsia="SimSun"/>
          <w:lang w:val="fr-CH" w:eastAsia="zh-CN"/>
        </w:rPr>
        <w:t>«</w:t>
      </w:r>
      <w:r w:rsidR="00BE7315" w:rsidRPr="00A155BB">
        <w:rPr>
          <w:rFonts w:eastAsia="SimSun"/>
          <w:lang w:val="fr-CH" w:eastAsia="zh-CN"/>
        </w:rPr>
        <w:t>9.3.x.13.4</w:t>
      </w:r>
      <w:r w:rsidR="00BE7315" w:rsidRPr="00A155BB">
        <w:rPr>
          <w:rFonts w:eastAsia="SimSun"/>
          <w:lang w:val="fr-CH" w:eastAsia="zh-CN"/>
        </w:rPr>
        <w:tab/>
      </w:r>
      <w:r w:rsidR="00BE7315" w:rsidRPr="00A155BB">
        <w:rPr>
          <w:lang w:val="fr-CH"/>
        </w:rPr>
        <w:t>La preuve de la flottabilité du bateau après avarie doit être apportée dans les stades de chargement les moins favorables. À cette fin, la preuve d’une stabilité suffisante doit être établie au moyen de calculs pour les stades intermédiaires critiques d’envahissement et pour le stade final d’envahissement.</w:t>
      </w:r>
      <w:r>
        <w:rPr>
          <w:lang w:val="fr-CH"/>
        </w:rPr>
        <w:t>»</w:t>
      </w:r>
      <w:r w:rsidR="00BE7315" w:rsidRPr="00A155BB">
        <w:rPr>
          <w:lang w:val="fr-CH"/>
        </w:rPr>
        <w:t>.</w:t>
      </w:r>
    </w:p>
    <w:p w:rsidR="00E76CE7" w:rsidRDefault="00E76CE7">
      <w:pPr>
        <w:suppressAutoHyphens w:val="0"/>
        <w:spacing w:line="240" w:lineRule="auto"/>
        <w:rPr>
          <w:rFonts w:eastAsia="SimSun"/>
          <w:lang w:val="fr-CH" w:eastAsia="zh-CN"/>
        </w:rPr>
      </w:pPr>
      <w:r>
        <w:rPr>
          <w:rFonts w:eastAsia="SimSun"/>
          <w:lang w:val="fr-CH" w:eastAsia="zh-CN"/>
        </w:rPr>
        <w:br w:type="page"/>
      </w:r>
    </w:p>
    <w:p w:rsidR="00BE7315" w:rsidRPr="00A155BB" w:rsidRDefault="00BE7315" w:rsidP="00BE7315">
      <w:pPr>
        <w:spacing w:after="120"/>
        <w:ind w:left="1134" w:right="1134"/>
        <w:jc w:val="both"/>
        <w:rPr>
          <w:rFonts w:eastAsia="SimSun"/>
          <w:lang w:val="fr-CH" w:eastAsia="zh-CN"/>
        </w:rPr>
      </w:pPr>
      <w:r w:rsidRPr="00A155BB">
        <w:rPr>
          <w:rFonts w:eastAsia="SimSun"/>
          <w:lang w:val="fr-CH" w:eastAsia="zh-CN"/>
        </w:rPr>
        <w:lastRenderedPageBreak/>
        <w:t>9.3.x.15.2</w:t>
      </w:r>
      <w:r w:rsidRPr="00A155BB">
        <w:rPr>
          <w:rFonts w:eastAsia="SimSun"/>
          <w:lang w:val="fr-CH" w:eastAsia="zh-CN"/>
        </w:rPr>
        <w:tab/>
        <w:t>Ajouter un nouveau première paragraphe pour lire comme suit:</w:t>
      </w:r>
    </w:p>
    <w:p w:rsidR="00BE7315" w:rsidRPr="00A155BB" w:rsidRDefault="00DF2E7E" w:rsidP="00BE7315">
      <w:pPr>
        <w:spacing w:after="120"/>
        <w:ind w:left="1134" w:right="1134"/>
        <w:jc w:val="both"/>
        <w:rPr>
          <w:lang w:val="fr-CH"/>
        </w:rPr>
      </w:pPr>
      <w:r>
        <w:rPr>
          <w:rFonts w:eastAsia="SimSun"/>
          <w:lang w:val="fr-CH" w:eastAsia="zh-CN"/>
        </w:rPr>
        <w:t>«</w:t>
      </w:r>
      <w:r w:rsidR="00BE7315" w:rsidRPr="00A155BB">
        <w:rPr>
          <w:lang w:val="fr-CH"/>
        </w:rPr>
        <w:t>Pour le stade intermédiaire d’envahissement, les critères suivants doivent être respectés :</w:t>
      </w:r>
    </w:p>
    <w:p w:rsidR="00BE7315" w:rsidRPr="00A155BB" w:rsidRDefault="00BE7315" w:rsidP="00BE7315">
      <w:pPr>
        <w:spacing w:after="120"/>
        <w:ind w:left="1134" w:right="1134"/>
        <w:jc w:val="both"/>
        <w:rPr>
          <w:lang w:val="fr-CH"/>
        </w:rPr>
      </w:pPr>
      <w:r w:rsidRPr="00A155BB">
        <w:rPr>
          <w:lang w:val="fr-CH"/>
        </w:rPr>
        <w:tab/>
        <w:t xml:space="preserve">GZ </w:t>
      </w:r>
      <w:r w:rsidR="00444917">
        <w:rPr>
          <w:lang w:val="fr-CH"/>
        </w:rPr>
        <w:t>≥</w:t>
      </w:r>
      <w:r w:rsidRPr="00A155BB">
        <w:rPr>
          <w:lang w:val="fr-CH"/>
        </w:rPr>
        <w:t xml:space="preserve"> 0,03 m</w:t>
      </w:r>
    </w:p>
    <w:p w:rsidR="00BE7315" w:rsidRPr="00A155BB" w:rsidRDefault="00BE7315" w:rsidP="00BE7315">
      <w:pPr>
        <w:spacing w:after="120"/>
        <w:ind w:left="1134" w:right="1134"/>
        <w:jc w:val="both"/>
        <w:rPr>
          <w:rFonts w:eastAsia="SimSun"/>
          <w:lang w:val="fr-CH" w:eastAsia="zh-CN"/>
        </w:rPr>
      </w:pPr>
      <w:r w:rsidRPr="00A155BB">
        <w:rPr>
          <w:lang w:val="fr-CH"/>
        </w:rPr>
        <w:tab/>
        <w:t>Portée des valeurs positives de GZ : 5°.</w:t>
      </w:r>
      <w:r w:rsidR="00DF2E7E">
        <w:rPr>
          <w:rFonts w:eastAsia="SimSun"/>
          <w:lang w:val="fr-CH" w:eastAsia="zh-CN"/>
        </w:rPr>
        <w:t>»</w:t>
      </w:r>
    </w:p>
    <w:p w:rsidR="00BE7315" w:rsidRPr="00F301F5" w:rsidRDefault="00BE7315" w:rsidP="00F301F5">
      <w:pPr>
        <w:spacing w:after="120"/>
        <w:ind w:left="1134" w:right="1134"/>
        <w:jc w:val="both"/>
        <w:rPr>
          <w:i/>
          <w:lang w:val="fr-CH"/>
        </w:rPr>
      </w:pPr>
      <w:r w:rsidRPr="00A155BB">
        <w:rPr>
          <w:i/>
          <w:lang w:val="fr-CH"/>
        </w:rPr>
        <w:t>(Document de référence: ECE/TRANS/WP.15/AC.2/2015/24)</w:t>
      </w:r>
    </w:p>
    <w:p w:rsidR="00BE7315" w:rsidRDefault="00BE7315" w:rsidP="00BE7315">
      <w:pPr>
        <w:pStyle w:val="HChG"/>
        <w:rPr>
          <w:lang w:val="fr-CH"/>
        </w:rPr>
      </w:pPr>
      <w:r>
        <w:rPr>
          <w:u w:val="single"/>
          <w:lang w:val="fr-CH"/>
        </w:rPr>
        <w:br w:type="page"/>
      </w:r>
      <w:bookmarkStart w:id="63" w:name="_Toc428948920"/>
      <w:r>
        <w:rPr>
          <w:lang w:val="fr-CH"/>
        </w:rPr>
        <w:lastRenderedPageBreak/>
        <w:t>Annexe II</w:t>
      </w:r>
      <w:bookmarkEnd w:id="63"/>
    </w:p>
    <w:p w:rsidR="00BE7315" w:rsidRPr="00482075" w:rsidRDefault="00BE7315" w:rsidP="0005714C">
      <w:pPr>
        <w:pStyle w:val="HChG"/>
        <w:rPr>
          <w:lang w:val="fr-CH"/>
        </w:rPr>
      </w:pPr>
      <w:r>
        <w:rPr>
          <w:lang w:val="fr-CH"/>
        </w:rPr>
        <w:tab/>
      </w:r>
      <w:r>
        <w:rPr>
          <w:lang w:val="fr-CH"/>
        </w:rPr>
        <w:tab/>
      </w:r>
      <w:bookmarkStart w:id="64" w:name="_Toc428948921"/>
      <w:r w:rsidR="00444917">
        <w:rPr>
          <w:lang w:val="fr-CH"/>
        </w:rPr>
        <w:t>Correction</w:t>
      </w:r>
      <w:r>
        <w:rPr>
          <w:lang w:val="fr-CH"/>
        </w:rPr>
        <w:t>s</w:t>
      </w:r>
      <w:r w:rsidRPr="00482075">
        <w:rPr>
          <w:lang w:val="fr-CH"/>
        </w:rPr>
        <w:t xml:space="preserve"> </w:t>
      </w:r>
      <w:r w:rsidRPr="001A4E50">
        <w:rPr>
          <w:lang w:val="fr-CH"/>
        </w:rPr>
        <w:t>au Règlement annexé à</w:t>
      </w:r>
      <w:r w:rsidRPr="00482075">
        <w:rPr>
          <w:lang w:val="fr-CH"/>
        </w:rPr>
        <w:t xml:space="preserve"> l'ADN – version allemande seulement</w:t>
      </w:r>
      <w:bookmarkEnd w:id="64"/>
    </w:p>
    <w:p w:rsidR="00BE7315" w:rsidRPr="00482075" w:rsidRDefault="00BE7315" w:rsidP="00BE7315">
      <w:pPr>
        <w:spacing w:after="120"/>
        <w:ind w:left="1134" w:right="1134"/>
        <w:jc w:val="both"/>
        <w:rPr>
          <w:lang w:val="fr-CH"/>
        </w:rPr>
      </w:pPr>
      <w:r w:rsidRPr="00482075">
        <w:rPr>
          <w:lang w:val="fr-CH"/>
        </w:rPr>
        <w:t>9.3.2.22.4 a), troisième alinéa et 9.3.3.22.4 b), troisième alinéa</w:t>
      </w:r>
      <w:r w:rsidRPr="00482075">
        <w:rPr>
          <w:lang w:val="fr-CH"/>
        </w:rPr>
        <w:tab/>
      </w:r>
      <w:r w:rsidRPr="00482075">
        <w:rPr>
          <w:lang w:val="fr-CH"/>
        </w:rPr>
        <w:tab/>
      </w:r>
      <w:r w:rsidRPr="00482075">
        <w:rPr>
          <w:i/>
          <w:lang w:val="fr-CH"/>
        </w:rPr>
        <w:t xml:space="preserve">Au lieu de </w:t>
      </w:r>
      <w:r w:rsidRPr="00482075">
        <w:rPr>
          <w:lang w:val="fr-CH"/>
        </w:rPr>
        <w:t xml:space="preserve">Flammensperre </w:t>
      </w:r>
      <w:r w:rsidRPr="00482075">
        <w:rPr>
          <w:i/>
          <w:lang w:val="fr-CH"/>
        </w:rPr>
        <w:t xml:space="preserve">lire </w:t>
      </w:r>
      <w:r w:rsidRPr="00482075">
        <w:rPr>
          <w:lang w:val="fr-CH"/>
        </w:rPr>
        <w:t>Flammendurchschlagsicherung</w:t>
      </w:r>
    </w:p>
    <w:p w:rsidR="00BE7315" w:rsidRPr="00482075" w:rsidRDefault="00BE7315" w:rsidP="00BE7315">
      <w:pPr>
        <w:ind w:left="1134" w:right="1134"/>
        <w:jc w:val="both"/>
        <w:rPr>
          <w:i/>
          <w:lang w:val="fr-CH"/>
        </w:rPr>
      </w:pPr>
      <w:r w:rsidRPr="00482075">
        <w:rPr>
          <w:i/>
          <w:lang w:val="fr-CH"/>
        </w:rPr>
        <w:t>(Document de référence: ECE/TRANS/WP.15/AC.2/2015/15)</w:t>
      </w:r>
    </w:p>
    <w:p w:rsidR="00BE7315" w:rsidRPr="00482075" w:rsidRDefault="00BE7315" w:rsidP="00BE7315">
      <w:pPr>
        <w:spacing w:before="120" w:after="120"/>
        <w:ind w:left="1134" w:right="1134"/>
        <w:jc w:val="both"/>
        <w:rPr>
          <w:lang w:val="fr-CH"/>
        </w:rPr>
      </w:pPr>
      <w:r w:rsidRPr="00482075">
        <w:rPr>
          <w:lang w:val="fr-CH"/>
        </w:rPr>
        <w:t>1.2.1</w:t>
      </w:r>
      <w:r w:rsidRPr="00482075">
        <w:rPr>
          <w:lang w:val="fr-CH"/>
        </w:rPr>
        <w:tab/>
      </w:r>
      <w:r w:rsidRPr="00482075">
        <w:rPr>
          <w:lang w:val="fr-CH"/>
        </w:rPr>
        <w:tab/>
        <w:t xml:space="preserve">Modifier la </w:t>
      </w:r>
      <w:r w:rsidRPr="00F67030">
        <w:rPr>
          <w:lang w:val="fr-CH"/>
        </w:rPr>
        <w:t xml:space="preserve">définition de </w:t>
      </w:r>
      <w:r w:rsidR="00DF2E7E">
        <w:rPr>
          <w:lang w:val="fr-CH"/>
        </w:rPr>
        <w:t>«</w:t>
      </w:r>
      <w:r w:rsidRPr="00F67030">
        <w:rPr>
          <w:lang w:val="fr-CH"/>
        </w:rPr>
        <w:t>Gaz naturel liqu</w:t>
      </w:r>
      <w:r>
        <w:rPr>
          <w:lang w:val="fr-CH"/>
        </w:rPr>
        <w:t>é</w:t>
      </w:r>
      <w:r w:rsidRPr="00482075">
        <w:rPr>
          <w:lang w:val="fr-CH"/>
        </w:rPr>
        <w:t>fié (GNL)</w:t>
      </w:r>
      <w:r w:rsidR="004328F9">
        <w:rPr>
          <w:lang w:val="de-DE"/>
        </w:rPr>
        <w:t>»</w:t>
      </w:r>
      <w:r w:rsidRPr="00482075">
        <w:rPr>
          <w:lang w:val="fr-CH"/>
        </w:rPr>
        <w:t xml:space="preserve"> comme suit:</w:t>
      </w:r>
    </w:p>
    <w:p w:rsidR="00BE7315" w:rsidRPr="00CD2DAA" w:rsidRDefault="00DF2E7E" w:rsidP="00BE7315">
      <w:pPr>
        <w:spacing w:before="120" w:after="120"/>
        <w:ind w:left="1134" w:right="1134"/>
        <w:jc w:val="both"/>
        <w:rPr>
          <w:lang w:val="de-DE"/>
        </w:rPr>
      </w:pPr>
      <w:r>
        <w:t>«</w:t>
      </w:r>
      <w:r w:rsidR="00BE7315" w:rsidRPr="00CD2DAA">
        <w:rPr>
          <w:lang w:val="de-DE"/>
        </w:rPr>
        <w:t>Flüssigerdgas (LNG) **: Erdgas (überwiegend Methan, CH</w:t>
      </w:r>
      <w:r w:rsidR="00BE7315" w:rsidRPr="00CD2DAA">
        <w:rPr>
          <w:vertAlign w:val="subscript"/>
          <w:lang w:val="de-DE"/>
        </w:rPr>
        <w:t>4</w:t>
      </w:r>
      <w:r w:rsidR="00BE7315" w:rsidRPr="00CD2DAA">
        <w:rPr>
          <w:lang w:val="de-DE"/>
        </w:rPr>
        <w:t>), das unter Abkühlung verflüssigt wurde.</w:t>
      </w:r>
    </w:p>
    <w:p w:rsidR="00BE7315" w:rsidRDefault="00BE7315" w:rsidP="00BE7315">
      <w:pPr>
        <w:spacing w:before="120" w:after="120"/>
        <w:ind w:left="1134" w:right="1134"/>
        <w:jc w:val="both"/>
        <w:rPr>
          <w:lang w:val="de-DE"/>
        </w:rPr>
      </w:pPr>
      <w:r w:rsidRPr="00CD2DAA">
        <w:rPr>
          <w:lang w:val="de-DE"/>
        </w:rPr>
        <w:t xml:space="preserve">** Die Buchstaben </w:t>
      </w:r>
      <w:r w:rsidR="00DF2E7E">
        <w:rPr>
          <w:lang w:val="de-DE"/>
        </w:rPr>
        <w:t>«</w:t>
      </w:r>
      <w:r w:rsidRPr="00CD2DAA">
        <w:rPr>
          <w:lang w:val="de-DE"/>
        </w:rPr>
        <w:t>LNG</w:t>
      </w:r>
      <w:r w:rsidR="00DF2E7E">
        <w:rPr>
          <w:lang w:val="de-DE"/>
        </w:rPr>
        <w:t>»</w:t>
      </w:r>
      <w:r w:rsidRPr="00CD2DAA">
        <w:rPr>
          <w:lang w:val="de-DE"/>
        </w:rPr>
        <w:t xml:space="preserve"> sind die Abkürzung</w:t>
      </w:r>
      <w:r>
        <w:rPr>
          <w:lang w:val="de-DE"/>
        </w:rPr>
        <w:t xml:space="preserve"> des englischen Ausdrucks </w:t>
      </w:r>
      <w:r w:rsidR="00DF2E7E">
        <w:rPr>
          <w:lang w:val="de-DE"/>
        </w:rPr>
        <w:t>«</w:t>
      </w:r>
      <w:r>
        <w:rPr>
          <w:lang w:val="de-DE"/>
        </w:rPr>
        <w:t>Lique</w:t>
      </w:r>
      <w:r w:rsidRPr="00CD2DAA">
        <w:rPr>
          <w:lang w:val="de-DE"/>
        </w:rPr>
        <w:t>fied Natural Gas</w:t>
      </w:r>
      <w:r w:rsidR="00DF2E7E">
        <w:rPr>
          <w:lang w:val="de-DE"/>
        </w:rPr>
        <w:t>»</w:t>
      </w:r>
      <w:r w:rsidRPr="00CD2DAA">
        <w:rPr>
          <w:lang w:val="de-DE"/>
        </w:rPr>
        <w:t>.</w:t>
      </w:r>
      <w:r w:rsidR="00DF2E7E">
        <w:rPr>
          <w:lang w:val="de-DE"/>
        </w:rPr>
        <w:t>»</w:t>
      </w:r>
    </w:p>
    <w:p w:rsidR="00BE7315" w:rsidRPr="00482075" w:rsidRDefault="00BE7315" w:rsidP="00BE7315">
      <w:pPr>
        <w:spacing w:before="120" w:after="120"/>
        <w:ind w:left="1134" w:right="1134"/>
        <w:jc w:val="both"/>
        <w:rPr>
          <w:i/>
          <w:lang w:val="fr-CH"/>
        </w:rPr>
      </w:pPr>
      <w:r w:rsidRPr="00482075">
        <w:rPr>
          <w:i/>
          <w:lang w:val="fr-CH"/>
        </w:rPr>
        <w:t>(Document de référence: ECE/TRANS/WP.15/AC.2/2015/17)</w:t>
      </w:r>
    </w:p>
    <w:p w:rsidR="00F132D5" w:rsidRPr="00EA614B" w:rsidRDefault="00EA614B" w:rsidP="00EA614B">
      <w:pPr>
        <w:spacing w:after="120"/>
        <w:ind w:left="1134" w:right="1134"/>
        <w:jc w:val="center"/>
        <w:rPr>
          <w:rFonts w:eastAsia="SimSun"/>
          <w:u w:val="single"/>
          <w:lang w:val="fr-CH" w:eastAsia="zh-CN"/>
        </w:rPr>
      </w:pPr>
      <w:r>
        <w:rPr>
          <w:rFonts w:eastAsia="SimSun"/>
          <w:u w:val="single"/>
          <w:lang w:val="fr-CH" w:eastAsia="zh-CN"/>
        </w:rPr>
        <w:tab/>
      </w:r>
      <w:r>
        <w:rPr>
          <w:rFonts w:eastAsia="SimSun"/>
          <w:u w:val="single"/>
          <w:lang w:val="fr-CH" w:eastAsia="zh-CN"/>
        </w:rPr>
        <w:tab/>
      </w:r>
      <w:r>
        <w:rPr>
          <w:rFonts w:eastAsia="SimSun"/>
          <w:u w:val="single"/>
          <w:lang w:val="fr-CH" w:eastAsia="zh-CN"/>
        </w:rPr>
        <w:tab/>
      </w:r>
    </w:p>
    <w:sectPr w:rsidR="00F132D5" w:rsidRPr="00EA614B" w:rsidSect="0076383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C88" w:rsidRDefault="004A7C88"/>
  </w:endnote>
  <w:endnote w:type="continuationSeparator" w:id="0">
    <w:p w:rsidR="004A7C88" w:rsidRDefault="004A7C88"/>
  </w:endnote>
  <w:endnote w:type="continuationNotice" w:id="1">
    <w:p w:rsidR="004A7C88" w:rsidRDefault="004A7C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917" w:rsidRDefault="00444917">
    <w:pPr>
      <w:pStyle w:val="Footer"/>
    </w:pPr>
    <w:r>
      <w:rPr>
        <w:rStyle w:val="PageNumber"/>
      </w:rPr>
      <w:fldChar w:fldCharType="begin"/>
    </w:r>
    <w:r>
      <w:rPr>
        <w:rStyle w:val="PageNumber"/>
      </w:rPr>
      <w:instrText xml:space="preserve"> PAGE </w:instrText>
    </w:r>
    <w:r>
      <w:rPr>
        <w:rStyle w:val="PageNumber"/>
      </w:rPr>
      <w:fldChar w:fldCharType="separate"/>
    </w:r>
    <w:r w:rsidR="007E6826">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917" w:rsidRDefault="00444917" w:rsidP="0059355D">
    <w:pPr>
      <w:pStyle w:val="Footer"/>
      <w:jc w:val="right"/>
    </w:pPr>
    <w:r>
      <w:rPr>
        <w:rStyle w:val="PageNumber"/>
      </w:rPr>
      <w:fldChar w:fldCharType="begin"/>
    </w:r>
    <w:r>
      <w:rPr>
        <w:rStyle w:val="PageNumber"/>
      </w:rPr>
      <w:instrText xml:space="preserve"> PAGE </w:instrText>
    </w:r>
    <w:r>
      <w:rPr>
        <w:rStyle w:val="PageNumber"/>
      </w:rPr>
      <w:fldChar w:fldCharType="separate"/>
    </w:r>
    <w:r w:rsidR="007E6826">
      <w:rPr>
        <w:rStyle w:val="PageNumber"/>
        <w:noProof/>
      </w:rPr>
      <w:t>19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917" w:rsidRPr="00771C51" w:rsidRDefault="00444917">
    <w:pPr>
      <w:pStyle w:val="Footer"/>
      <w:rPr>
        <w:sz w:val="20"/>
        <w:lang w:val="fr-CH"/>
      </w:rPr>
    </w:pPr>
    <w:r>
      <w:rPr>
        <w:noProof/>
        <w:sz w:val="20"/>
        <w:lang w:val="fr-FR" w:eastAsia="fr-FR"/>
      </w:rPr>
      <w:drawing>
        <wp:anchor distT="0" distB="0" distL="114300" distR="114300" simplePos="0" relativeHeight="251657728" behindDoc="0" locked="0" layoutInCell="1" allowOverlap="1" wp14:anchorId="7FA5A2B0" wp14:editId="105F4874">
          <wp:simplePos x="0" y="0"/>
          <wp:positionH relativeFrom="column">
            <wp:posOffset>5040630</wp:posOffset>
          </wp:positionH>
          <wp:positionV relativeFrom="paragraph">
            <wp:posOffset>-122555</wp:posOffset>
          </wp:positionV>
          <wp:extent cx="1104265" cy="233045"/>
          <wp:effectExtent l="0" t="0" r="635" b="0"/>
          <wp:wrapNone/>
          <wp:docPr id="1" name="Picture 1"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1C51">
      <w:rPr>
        <w:sz w:val="20"/>
        <w:lang w:val="fr-CH"/>
      </w:rPr>
      <w:t>GE.1</w:t>
    </w:r>
    <w:r>
      <w:rPr>
        <w:sz w:val="20"/>
        <w:lang w:val="fr-CH"/>
      </w:rPr>
      <w:t>5</w:t>
    </w:r>
    <w:r w:rsidRPr="00771C51">
      <w:rPr>
        <w:sz w:val="20"/>
        <w:lang w:val="fr-CH"/>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C88" w:rsidRPr="000B175B" w:rsidRDefault="004A7C88" w:rsidP="000B175B">
      <w:pPr>
        <w:tabs>
          <w:tab w:val="right" w:pos="2155"/>
        </w:tabs>
        <w:spacing w:after="80"/>
        <w:ind w:left="680"/>
        <w:rPr>
          <w:u w:val="single"/>
        </w:rPr>
      </w:pPr>
      <w:r>
        <w:rPr>
          <w:u w:val="single"/>
        </w:rPr>
        <w:tab/>
      </w:r>
    </w:p>
  </w:footnote>
  <w:footnote w:type="continuationSeparator" w:id="0">
    <w:p w:rsidR="004A7C88" w:rsidRPr="00FC68B7" w:rsidRDefault="004A7C88" w:rsidP="00FC68B7">
      <w:pPr>
        <w:tabs>
          <w:tab w:val="left" w:pos="2155"/>
        </w:tabs>
        <w:spacing w:after="80"/>
        <w:ind w:left="680"/>
        <w:rPr>
          <w:u w:val="single"/>
        </w:rPr>
      </w:pPr>
      <w:r>
        <w:rPr>
          <w:u w:val="single"/>
        </w:rPr>
        <w:tab/>
      </w:r>
    </w:p>
  </w:footnote>
  <w:footnote w:type="continuationNotice" w:id="1">
    <w:p w:rsidR="004A7C88" w:rsidRDefault="004A7C88"/>
  </w:footnote>
  <w:footnote w:id="2">
    <w:p w:rsidR="00444917" w:rsidRPr="003E1A72" w:rsidRDefault="00444917" w:rsidP="00946811">
      <w:pPr>
        <w:pStyle w:val="FootnoteText"/>
        <w:rPr>
          <w:lang w:val="fr-CH"/>
        </w:rPr>
      </w:pPr>
      <w:r>
        <w:rPr>
          <w:szCs w:val="18"/>
        </w:rPr>
        <w:tab/>
      </w:r>
      <w:r>
        <w:rPr>
          <w:rStyle w:val="FootnoteReference"/>
        </w:rPr>
        <w:footnoteRef/>
      </w:r>
      <w:r w:rsidRPr="003E1A72">
        <w:rPr>
          <w:rStyle w:val="FootnoteReference"/>
          <w:szCs w:val="18"/>
          <w:lang w:val="fr-CH"/>
        </w:rPr>
        <w:tab/>
      </w:r>
      <w:r w:rsidRPr="001E37ED">
        <w:rPr>
          <w:szCs w:val="18"/>
          <w:lang w:val="fr-FR"/>
        </w:rPr>
        <w:t>Diffusé en langue allemande par la Commission centrale pour la navigation du Rhin sous la</w:t>
      </w:r>
      <w:r>
        <w:rPr>
          <w:szCs w:val="18"/>
          <w:lang w:val="fr-FR"/>
        </w:rPr>
        <w:t xml:space="preserve"> cote CCNR/ZKR/ADN/WP.15/AC.2/56</w:t>
      </w:r>
      <w:r w:rsidRPr="001E37ED">
        <w:rPr>
          <w:szCs w:val="18"/>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917" w:rsidRPr="00EA614B" w:rsidRDefault="00444917" w:rsidP="00EA614B">
    <w:pPr>
      <w:pStyle w:val="Header"/>
    </w:pPr>
    <w:r>
      <w:t>ECE/TRANS/WP.15/AC.2/56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917" w:rsidRPr="00AA47CD" w:rsidRDefault="00444917" w:rsidP="00EA614B">
    <w:pPr>
      <w:pStyle w:val="Header"/>
      <w:jc w:val="right"/>
    </w:pPr>
    <w:r>
      <w:t>ECE/TRANS/WP.15/AC.2/56</w:t>
    </w:r>
  </w:p>
  <w:p w:rsidR="00444917" w:rsidRDefault="00444917" w:rsidP="0084355D">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917" w:rsidRDefault="004449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697F76"/>
    <w:multiLevelType w:val="hybridMultilevel"/>
    <w:tmpl w:val="CD9A29F6"/>
    <w:lvl w:ilvl="0" w:tplc="80DE5F42">
      <w:start w:val="1"/>
      <w:numFmt w:val="upperRoman"/>
      <w:lvlText w:val="%1."/>
      <w:lvlJc w:val="left"/>
      <w:pPr>
        <w:tabs>
          <w:tab w:val="num" w:pos="1395"/>
        </w:tabs>
        <w:ind w:left="1395" w:hanging="72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3"/>
  </w:num>
  <w:num w:numId="13">
    <w:abstractNumId w:val="10"/>
  </w:num>
  <w:num w:numId="14">
    <w:abstractNumId w:val="11"/>
  </w:num>
  <w:num w:numId="15">
    <w:abstractNumId w:val="16"/>
  </w:num>
  <w:num w:numId="16">
    <w:abstractNumId w:val="12"/>
  </w:num>
  <w:num w:numId="17">
    <w:abstractNumId w:val="17"/>
  </w:num>
  <w:num w:numId="18">
    <w:abstractNumId w:val="18"/>
  </w:num>
  <w:num w:numId="1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D"/>
    <w:rsid w:val="0000000A"/>
    <w:rsid w:val="00002A7D"/>
    <w:rsid w:val="000038A8"/>
    <w:rsid w:val="00004CB4"/>
    <w:rsid w:val="00006790"/>
    <w:rsid w:val="0001172E"/>
    <w:rsid w:val="000123B3"/>
    <w:rsid w:val="000168CA"/>
    <w:rsid w:val="00022CA8"/>
    <w:rsid w:val="00027624"/>
    <w:rsid w:val="00043FE6"/>
    <w:rsid w:val="000474E5"/>
    <w:rsid w:val="00050A50"/>
    <w:rsid w:val="00050F6B"/>
    <w:rsid w:val="00055378"/>
    <w:rsid w:val="00056188"/>
    <w:rsid w:val="0005714C"/>
    <w:rsid w:val="000579DF"/>
    <w:rsid w:val="00060675"/>
    <w:rsid w:val="000678CD"/>
    <w:rsid w:val="00071B5F"/>
    <w:rsid w:val="0007297F"/>
    <w:rsid w:val="00072C8C"/>
    <w:rsid w:val="00072D80"/>
    <w:rsid w:val="00074FD0"/>
    <w:rsid w:val="00075498"/>
    <w:rsid w:val="00077434"/>
    <w:rsid w:val="00081CE0"/>
    <w:rsid w:val="00081E5B"/>
    <w:rsid w:val="00084D30"/>
    <w:rsid w:val="00090320"/>
    <w:rsid w:val="00091148"/>
    <w:rsid w:val="000931C0"/>
    <w:rsid w:val="00096F6E"/>
    <w:rsid w:val="000A214D"/>
    <w:rsid w:val="000A2E09"/>
    <w:rsid w:val="000A6135"/>
    <w:rsid w:val="000A7A84"/>
    <w:rsid w:val="000B175B"/>
    <w:rsid w:val="000B3A0F"/>
    <w:rsid w:val="000B41FA"/>
    <w:rsid w:val="000B695D"/>
    <w:rsid w:val="000E0415"/>
    <w:rsid w:val="000E7EB0"/>
    <w:rsid w:val="000F3557"/>
    <w:rsid w:val="000F7715"/>
    <w:rsid w:val="00101BFA"/>
    <w:rsid w:val="00103E99"/>
    <w:rsid w:val="00114509"/>
    <w:rsid w:val="00127049"/>
    <w:rsid w:val="00137066"/>
    <w:rsid w:val="00156B99"/>
    <w:rsid w:val="001613A7"/>
    <w:rsid w:val="00166124"/>
    <w:rsid w:val="00167404"/>
    <w:rsid w:val="00167F20"/>
    <w:rsid w:val="00174AF7"/>
    <w:rsid w:val="00176DF1"/>
    <w:rsid w:val="00184DDA"/>
    <w:rsid w:val="001900CD"/>
    <w:rsid w:val="00191204"/>
    <w:rsid w:val="00192A87"/>
    <w:rsid w:val="00193329"/>
    <w:rsid w:val="0019444B"/>
    <w:rsid w:val="001965B3"/>
    <w:rsid w:val="0019692D"/>
    <w:rsid w:val="001A0452"/>
    <w:rsid w:val="001A05FA"/>
    <w:rsid w:val="001A3481"/>
    <w:rsid w:val="001A4B26"/>
    <w:rsid w:val="001B4B04"/>
    <w:rsid w:val="001B5875"/>
    <w:rsid w:val="001B75EF"/>
    <w:rsid w:val="001C4B9C"/>
    <w:rsid w:val="001C5332"/>
    <w:rsid w:val="001C6663"/>
    <w:rsid w:val="001C7895"/>
    <w:rsid w:val="001D15C4"/>
    <w:rsid w:val="001D26DF"/>
    <w:rsid w:val="001D312D"/>
    <w:rsid w:val="001D336C"/>
    <w:rsid w:val="001D3EF8"/>
    <w:rsid w:val="001F0A17"/>
    <w:rsid w:val="001F0A7E"/>
    <w:rsid w:val="001F1599"/>
    <w:rsid w:val="001F1961"/>
    <w:rsid w:val="001F19C4"/>
    <w:rsid w:val="001F3E7C"/>
    <w:rsid w:val="002043F0"/>
    <w:rsid w:val="00204BB8"/>
    <w:rsid w:val="002060B9"/>
    <w:rsid w:val="00211E0B"/>
    <w:rsid w:val="00215013"/>
    <w:rsid w:val="00216E82"/>
    <w:rsid w:val="00232575"/>
    <w:rsid w:val="00240FAC"/>
    <w:rsid w:val="00247258"/>
    <w:rsid w:val="00257CAC"/>
    <w:rsid w:val="00257F56"/>
    <w:rsid w:val="002601D3"/>
    <w:rsid w:val="002606F4"/>
    <w:rsid w:val="00263A6D"/>
    <w:rsid w:val="00265CDD"/>
    <w:rsid w:val="00283944"/>
    <w:rsid w:val="00284366"/>
    <w:rsid w:val="002848D8"/>
    <w:rsid w:val="00285D26"/>
    <w:rsid w:val="00296407"/>
    <w:rsid w:val="002974E9"/>
    <w:rsid w:val="002A214F"/>
    <w:rsid w:val="002A58FE"/>
    <w:rsid w:val="002A7F94"/>
    <w:rsid w:val="002B097B"/>
    <w:rsid w:val="002B109A"/>
    <w:rsid w:val="002B324E"/>
    <w:rsid w:val="002C1973"/>
    <w:rsid w:val="002C57D6"/>
    <w:rsid w:val="002C6C1F"/>
    <w:rsid w:val="002C6D45"/>
    <w:rsid w:val="002D345D"/>
    <w:rsid w:val="002D4CF0"/>
    <w:rsid w:val="002D6E53"/>
    <w:rsid w:val="002E2D62"/>
    <w:rsid w:val="002F046D"/>
    <w:rsid w:val="002F669F"/>
    <w:rsid w:val="003007E7"/>
    <w:rsid w:val="003015F2"/>
    <w:rsid w:val="00301764"/>
    <w:rsid w:val="00302B3E"/>
    <w:rsid w:val="00314DA6"/>
    <w:rsid w:val="003229D8"/>
    <w:rsid w:val="00323AD2"/>
    <w:rsid w:val="00326771"/>
    <w:rsid w:val="003307FE"/>
    <w:rsid w:val="00336C97"/>
    <w:rsid w:val="00337D65"/>
    <w:rsid w:val="00337F88"/>
    <w:rsid w:val="003410E4"/>
    <w:rsid w:val="00342432"/>
    <w:rsid w:val="0034575A"/>
    <w:rsid w:val="00352D4B"/>
    <w:rsid w:val="00354724"/>
    <w:rsid w:val="00354CED"/>
    <w:rsid w:val="0035638C"/>
    <w:rsid w:val="00370928"/>
    <w:rsid w:val="0037171B"/>
    <w:rsid w:val="0038478B"/>
    <w:rsid w:val="00395259"/>
    <w:rsid w:val="0039640B"/>
    <w:rsid w:val="003A358A"/>
    <w:rsid w:val="003A46BB"/>
    <w:rsid w:val="003A4EC7"/>
    <w:rsid w:val="003A7295"/>
    <w:rsid w:val="003B1F60"/>
    <w:rsid w:val="003C2CC4"/>
    <w:rsid w:val="003C7026"/>
    <w:rsid w:val="003D4B23"/>
    <w:rsid w:val="003D58A1"/>
    <w:rsid w:val="003E20B1"/>
    <w:rsid w:val="003E278A"/>
    <w:rsid w:val="003F2A34"/>
    <w:rsid w:val="004032CF"/>
    <w:rsid w:val="00413520"/>
    <w:rsid w:val="00414F7A"/>
    <w:rsid w:val="004150B6"/>
    <w:rsid w:val="00431D4D"/>
    <w:rsid w:val="004325CB"/>
    <w:rsid w:val="004328F9"/>
    <w:rsid w:val="00440A07"/>
    <w:rsid w:val="00444917"/>
    <w:rsid w:val="004522AB"/>
    <w:rsid w:val="00453AAC"/>
    <w:rsid w:val="00462880"/>
    <w:rsid w:val="0047298C"/>
    <w:rsid w:val="00476F24"/>
    <w:rsid w:val="004909E7"/>
    <w:rsid w:val="004A3363"/>
    <w:rsid w:val="004A7C88"/>
    <w:rsid w:val="004B1000"/>
    <w:rsid w:val="004B45B0"/>
    <w:rsid w:val="004B72C0"/>
    <w:rsid w:val="004C28E2"/>
    <w:rsid w:val="004C55B0"/>
    <w:rsid w:val="004C68D7"/>
    <w:rsid w:val="004E4179"/>
    <w:rsid w:val="004F0843"/>
    <w:rsid w:val="004F6BA0"/>
    <w:rsid w:val="0050052B"/>
    <w:rsid w:val="00503BEA"/>
    <w:rsid w:val="00510BFB"/>
    <w:rsid w:val="00513BD9"/>
    <w:rsid w:val="00514518"/>
    <w:rsid w:val="0051641A"/>
    <w:rsid w:val="00524646"/>
    <w:rsid w:val="00526675"/>
    <w:rsid w:val="005308C7"/>
    <w:rsid w:val="00533616"/>
    <w:rsid w:val="00535ABA"/>
    <w:rsid w:val="005371A0"/>
    <w:rsid w:val="0053768B"/>
    <w:rsid w:val="005420F2"/>
    <w:rsid w:val="0054285C"/>
    <w:rsid w:val="00547328"/>
    <w:rsid w:val="00547A88"/>
    <w:rsid w:val="00564BF4"/>
    <w:rsid w:val="00572350"/>
    <w:rsid w:val="005779B6"/>
    <w:rsid w:val="005811F0"/>
    <w:rsid w:val="00584173"/>
    <w:rsid w:val="00586975"/>
    <w:rsid w:val="0059355D"/>
    <w:rsid w:val="00595520"/>
    <w:rsid w:val="00597000"/>
    <w:rsid w:val="005A44B9"/>
    <w:rsid w:val="005B1BA0"/>
    <w:rsid w:val="005B3DB3"/>
    <w:rsid w:val="005C11B4"/>
    <w:rsid w:val="005C153F"/>
    <w:rsid w:val="005C3335"/>
    <w:rsid w:val="005C4F38"/>
    <w:rsid w:val="005C69A7"/>
    <w:rsid w:val="005D15CA"/>
    <w:rsid w:val="005D390C"/>
    <w:rsid w:val="005D780B"/>
    <w:rsid w:val="005E0137"/>
    <w:rsid w:val="005F3066"/>
    <w:rsid w:val="005F3E61"/>
    <w:rsid w:val="005F51F6"/>
    <w:rsid w:val="00604DDD"/>
    <w:rsid w:val="006115CC"/>
    <w:rsid w:val="00611FC4"/>
    <w:rsid w:val="00617067"/>
    <w:rsid w:val="006176FB"/>
    <w:rsid w:val="00630FCB"/>
    <w:rsid w:val="0063132F"/>
    <w:rsid w:val="00632F10"/>
    <w:rsid w:val="0063339A"/>
    <w:rsid w:val="0064017F"/>
    <w:rsid w:val="00640B26"/>
    <w:rsid w:val="00642502"/>
    <w:rsid w:val="006473EC"/>
    <w:rsid w:val="00647D2E"/>
    <w:rsid w:val="00650584"/>
    <w:rsid w:val="00663848"/>
    <w:rsid w:val="00667D6B"/>
    <w:rsid w:val="00671922"/>
    <w:rsid w:val="006770B2"/>
    <w:rsid w:val="00677483"/>
    <w:rsid w:val="006809A1"/>
    <w:rsid w:val="00683B93"/>
    <w:rsid w:val="006854AE"/>
    <w:rsid w:val="006940E1"/>
    <w:rsid w:val="0069629D"/>
    <w:rsid w:val="006A3C72"/>
    <w:rsid w:val="006A4634"/>
    <w:rsid w:val="006A500D"/>
    <w:rsid w:val="006A7392"/>
    <w:rsid w:val="006B03A1"/>
    <w:rsid w:val="006B06A7"/>
    <w:rsid w:val="006B67D9"/>
    <w:rsid w:val="006C11C0"/>
    <w:rsid w:val="006C5535"/>
    <w:rsid w:val="006D0589"/>
    <w:rsid w:val="006D4426"/>
    <w:rsid w:val="006D5DB2"/>
    <w:rsid w:val="006D6BF1"/>
    <w:rsid w:val="006E4DA3"/>
    <w:rsid w:val="006E564B"/>
    <w:rsid w:val="006E7154"/>
    <w:rsid w:val="006F05F9"/>
    <w:rsid w:val="006F2FB1"/>
    <w:rsid w:val="006F309C"/>
    <w:rsid w:val="007003CD"/>
    <w:rsid w:val="0070701E"/>
    <w:rsid w:val="0070702F"/>
    <w:rsid w:val="0071198D"/>
    <w:rsid w:val="0071480B"/>
    <w:rsid w:val="00716F94"/>
    <w:rsid w:val="0072632A"/>
    <w:rsid w:val="007358E8"/>
    <w:rsid w:val="00736ECE"/>
    <w:rsid w:val="0074533B"/>
    <w:rsid w:val="0075471E"/>
    <w:rsid w:val="0076383B"/>
    <w:rsid w:val="0076432E"/>
    <w:rsid w:val="007643BC"/>
    <w:rsid w:val="00771BFC"/>
    <w:rsid w:val="00771C51"/>
    <w:rsid w:val="007739ED"/>
    <w:rsid w:val="00776B45"/>
    <w:rsid w:val="0078131A"/>
    <w:rsid w:val="00781790"/>
    <w:rsid w:val="00787CBC"/>
    <w:rsid w:val="007959FE"/>
    <w:rsid w:val="007A0CF1"/>
    <w:rsid w:val="007A7CC0"/>
    <w:rsid w:val="007B2AAE"/>
    <w:rsid w:val="007B6A61"/>
    <w:rsid w:val="007B6BA5"/>
    <w:rsid w:val="007C3390"/>
    <w:rsid w:val="007C42D8"/>
    <w:rsid w:val="007C4F4B"/>
    <w:rsid w:val="007C68C8"/>
    <w:rsid w:val="007D0DAA"/>
    <w:rsid w:val="007D6C62"/>
    <w:rsid w:val="007D7362"/>
    <w:rsid w:val="007E4914"/>
    <w:rsid w:val="007E6826"/>
    <w:rsid w:val="007F5CE2"/>
    <w:rsid w:val="007F6611"/>
    <w:rsid w:val="00806661"/>
    <w:rsid w:val="00810BAC"/>
    <w:rsid w:val="0081306C"/>
    <w:rsid w:val="008175E9"/>
    <w:rsid w:val="008242D7"/>
    <w:rsid w:val="00825578"/>
    <w:rsid w:val="0082577B"/>
    <w:rsid w:val="0084355D"/>
    <w:rsid w:val="00850479"/>
    <w:rsid w:val="00852CA7"/>
    <w:rsid w:val="008558E7"/>
    <w:rsid w:val="00862545"/>
    <w:rsid w:val="00866893"/>
    <w:rsid w:val="00866F02"/>
    <w:rsid w:val="00867D18"/>
    <w:rsid w:val="00871F9A"/>
    <w:rsid w:val="00871FD5"/>
    <w:rsid w:val="00875F26"/>
    <w:rsid w:val="008762E1"/>
    <w:rsid w:val="00876B8E"/>
    <w:rsid w:val="0088172E"/>
    <w:rsid w:val="00881EFA"/>
    <w:rsid w:val="00883E28"/>
    <w:rsid w:val="00883F4B"/>
    <w:rsid w:val="008979B1"/>
    <w:rsid w:val="008A6B25"/>
    <w:rsid w:val="008A6C4F"/>
    <w:rsid w:val="008B1D83"/>
    <w:rsid w:val="008B2013"/>
    <w:rsid w:val="008B389E"/>
    <w:rsid w:val="008C4438"/>
    <w:rsid w:val="008C5BCB"/>
    <w:rsid w:val="008C66F5"/>
    <w:rsid w:val="008D045E"/>
    <w:rsid w:val="008D3F25"/>
    <w:rsid w:val="008D4D82"/>
    <w:rsid w:val="008E0E09"/>
    <w:rsid w:val="008E0E46"/>
    <w:rsid w:val="008E2DEA"/>
    <w:rsid w:val="008E31B9"/>
    <w:rsid w:val="008E4372"/>
    <w:rsid w:val="008E6C86"/>
    <w:rsid w:val="008E7116"/>
    <w:rsid w:val="008F143B"/>
    <w:rsid w:val="008F2ECC"/>
    <w:rsid w:val="008F3882"/>
    <w:rsid w:val="008F3C40"/>
    <w:rsid w:val="008F4B7C"/>
    <w:rsid w:val="0090355B"/>
    <w:rsid w:val="009137F1"/>
    <w:rsid w:val="00913E10"/>
    <w:rsid w:val="00914DC3"/>
    <w:rsid w:val="009165A7"/>
    <w:rsid w:val="00926E47"/>
    <w:rsid w:val="009427B2"/>
    <w:rsid w:val="0094470A"/>
    <w:rsid w:val="00945971"/>
    <w:rsid w:val="00946811"/>
    <w:rsid w:val="00947162"/>
    <w:rsid w:val="00953163"/>
    <w:rsid w:val="009601FF"/>
    <w:rsid w:val="00960D5D"/>
    <w:rsid w:val="009610D0"/>
    <w:rsid w:val="0096375C"/>
    <w:rsid w:val="009662E6"/>
    <w:rsid w:val="0097095E"/>
    <w:rsid w:val="00975A25"/>
    <w:rsid w:val="00977DF3"/>
    <w:rsid w:val="00980F57"/>
    <w:rsid w:val="00981EB2"/>
    <w:rsid w:val="00982A06"/>
    <w:rsid w:val="00984784"/>
    <w:rsid w:val="0098592B"/>
    <w:rsid w:val="00985FC4"/>
    <w:rsid w:val="0098674B"/>
    <w:rsid w:val="00990766"/>
    <w:rsid w:val="00991261"/>
    <w:rsid w:val="00992C68"/>
    <w:rsid w:val="009964C4"/>
    <w:rsid w:val="009970DD"/>
    <w:rsid w:val="009A3888"/>
    <w:rsid w:val="009A7B81"/>
    <w:rsid w:val="009A7C95"/>
    <w:rsid w:val="009B3C4E"/>
    <w:rsid w:val="009D01C0"/>
    <w:rsid w:val="009D4C99"/>
    <w:rsid w:val="009D5B67"/>
    <w:rsid w:val="009D6A08"/>
    <w:rsid w:val="009D7D28"/>
    <w:rsid w:val="009E0A16"/>
    <w:rsid w:val="009E7970"/>
    <w:rsid w:val="009F2EAC"/>
    <w:rsid w:val="009F57E3"/>
    <w:rsid w:val="00A02421"/>
    <w:rsid w:val="00A10F4F"/>
    <w:rsid w:val="00A11067"/>
    <w:rsid w:val="00A12C9A"/>
    <w:rsid w:val="00A14877"/>
    <w:rsid w:val="00A1704A"/>
    <w:rsid w:val="00A23E9E"/>
    <w:rsid w:val="00A3503E"/>
    <w:rsid w:val="00A425EB"/>
    <w:rsid w:val="00A43F39"/>
    <w:rsid w:val="00A446D0"/>
    <w:rsid w:val="00A45CB7"/>
    <w:rsid w:val="00A47439"/>
    <w:rsid w:val="00A47B2D"/>
    <w:rsid w:val="00A5132E"/>
    <w:rsid w:val="00A67A9F"/>
    <w:rsid w:val="00A72F22"/>
    <w:rsid w:val="00A733BC"/>
    <w:rsid w:val="00A748A6"/>
    <w:rsid w:val="00A749C1"/>
    <w:rsid w:val="00A76A69"/>
    <w:rsid w:val="00A77D0C"/>
    <w:rsid w:val="00A80EF4"/>
    <w:rsid w:val="00A824E7"/>
    <w:rsid w:val="00A879A4"/>
    <w:rsid w:val="00A9061E"/>
    <w:rsid w:val="00A933E2"/>
    <w:rsid w:val="00A96CEB"/>
    <w:rsid w:val="00AA0236"/>
    <w:rsid w:val="00AA0FF8"/>
    <w:rsid w:val="00AA2BB7"/>
    <w:rsid w:val="00AA47CD"/>
    <w:rsid w:val="00AA5632"/>
    <w:rsid w:val="00AC00F1"/>
    <w:rsid w:val="00AC0F2C"/>
    <w:rsid w:val="00AC502A"/>
    <w:rsid w:val="00AF3A98"/>
    <w:rsid w:val="00AF58C1"/>
    <w:rsid w:val="00B03E68"/>
    <w:rsid w:val="00B03FBD"/>
    <w:rsid w:val="00B06643"/>
    <w:rsid w:val="00B07A2A"/>
    <w:rsid w:val="00B108D2"/>
    <w:rsid w:val="00B13D3A"/>
    <w:rsid w:val="00B15055"/>
    <w:rsid w:val="00B17B93"/>
    <w:rsid w:val="00B17FC5"/>
    <w:rsid w:val="00B217B0"/>
    <w:rsid w:val="00B233F3"/>
    <w:rsid w:val="00B30179"/>
    <w:rsid w:val="00B303D7"/>
    <w:rsid w:val="00B35415"/>
    <w:rsid w:val="00B37B15"/>
    <w:rsid w:val="00B42645"/>
    <w:rsid w:val="00B4482F"/>
    <w:rsid w:val="00B45C02"/>
    <w:rsid w:val="00B46382"/>
    <w:rsid w:val="00B46FAC"/>
    <w:rsid w:val="00B66011"/>
    <w:rsid w:val="00B72A1E"/>
    <w:rsid w:val="00B81E12"/>
    <w:rsid w:val="00BA339B"/>
    <w:rsid w:val="00BC1E7E"/>
    <w:rsid w:val="00BC2E45"/>
    <w:rsid w:val="00BC74E9"/>
    <w:rsid w:val="00BD2B47"/>
    <w:rsid w:val="00BD6422"/>
    <w:rsid w:val="00BE36A9"/>
    <w:rsid w:val="00BE618E"/>
    <w:rsid w:val="00BE7315"/>
    <w:rsid w:val="00BE7A1E"/>
    <w:rsid w:val="00BE7BEC"/>
    <w:rsid w:val="00BF0A5A"/>
    <w:rsid w:val="00BF0AE7"/>
    <w:rsid w:val="00BF0E63"/>
    <w:rsid w:val="00BF12A3"/>
    <w:rsid w:val="00BF16D7"/>
    <w:rsid w:val="00BF2373"/>
    <w:rsid w:val="00BF6606"/>
    <w:rsid w:val="00C03283"/>
    <w:rsid w:val="00C044E2"/>
    <w:rsid w:val="00C048CB"/>
    <w:rsid w:val="00C066F3"/>
    <w:rsid w:val="00C06865"/>
    <w:rsid w:val="00C07CA9"/>
    <w:rsid w:val="00C10783"/>
    <w:rsid w:val="00C10FA2"/>
    <w:rsid w:val="00C112DB"/>
    <w:rsid w:val="00C12459"/>
    <w:rsid w:val="00C203E2"/>
    <w:rsid w:val="00C413F6"/>
    <w:rsid w:val="00C44604"/>
    <w:rsid w:val="00C44BB0"/>
    <w:rsid w:val="00C45BBB"/>
    <w:rsid w:val="00C463DD"/>
    <w:rsid w:val="00C70809"/>
    <w:rsid w:val="00C73AED"/>
    <w:rsid w:val="00C745C3"/>
    <w:rsid w:val="00C805A7"/>
    <w:rsid w:val="00CA2221"/>
    <w:rsid w:val="00CA24A4"/>
    <w:rsid w:val="00CA3137"/>
    <w:rsid w:val="00CB348D"/>
    <w:rsid w:val="00CB34BE"/>
    <w:rsid w:val="00CB763D"/>
    <w:rsid w:val="00CD46F5"/>
    <w:rsid w:val="00CD6C29"/>
    <w:rsid w:val="00CE4A8F"/>
    <w:rsid w:val="00CE52ED"/>
    <w:rsid w:val="00CF071D"/>
    <w:rsid w:val="00CF116C"/>
    <w:rsid w:val="00D018CB"/>
    <w:rsid w:val="00D15B04"/>
    <w:rsid w:val="00D15C92"/>
    <w:rsid w:val="00D2031B"/>
    <w:rsid w:val="00D2075F"/>
    <w:rsid w:val="00D21084"/>
    <w:rsid w:val="00D228D4"/>
    <w:rsid w:val="00D23EAC"/>
    <w:rsid w:val="00D25EC1"/>
    <w:rsid w:val="00D25FE2"/>
    <w:rsid w:val="00D26898"/>
    <w:rsid w:val="00D27894"/>
    <w:rsid w:val="00D3269E"/>
    <w:rsid w:val="00D37DA9"/>
    <w:rsid w:val="00D406A7"/>
    <w:rsid w:val="00D43252"/>
    <w:rsid w:val="00D433EA"/>
    <w:rsid w:val="00D43DDF"/>
    <w:rsid w:val="00D4420D"/>
    <w:rsid w:val="00D44D86"/>
    <w:rsid w:val="00D4707D"/>
    <w:rsid w:val="00D50B7D"/>
    <w:rsid w:val="00D52012"/>
    <w:rsid w:val="00D540F1"/>
    <w:rsid w:val="00D64DF4"/>
    <w:rsid w:val="00D67CDF"/>
    <w:rsid w:val="00D704E5"/>
    <w:rsid w:val="00D72727"/>
    <w:rsid w:val="00D731DD"/>
    <w:rsid w:val="00D75F65"/>
    <w:rsid w:val="00D824D1"/>
    <w:rsid w:val="00D908A9"/>
    <w:rsid w:val="00D91EAF"/>
    <w:rsid w:val="00D978C6"/>
    <w:rsid w:val="00DA0956"/>
    <w:rsid w:val="00DA357F"/>
    <w:rsid w:val="00DA3E12"/>
    <w:rsid w:val="00DA5BF0"/>
    <w:rsid w:val="00DB4E06"/>
    <w:rsid w:val="00DB66FA"/>
    <w:rsid w:val="00DB7B13"/>
    <w:rsid w:val="00DC18AD"/>
    <w:rsid w:val="00DC2BDB"/>
    <w:rsid w:val="00DC4FD9"/>
    <w:rsid w:val="00DD1FB0"/>
    <w:rsid w:val="00DD5DCD"/>
    <w:rsid w:val="00DE0CB9"/>
    <w:rsid w:val="00DE1486"/>
    <w:rsid w:val="00DE5105"/>
    <w:rsid w:val="00DF0EA0"/>
    <w:rsid w:val="00DF1A1E"/>
    <w:rsid w:val="00DF2E7E"/>
    <w:rsid w:val="00DF6A82"/>
    <w:rsid w:val="00DF7CAE"/>
    <w:rsid w:val="00E02011"/>
    <w:rsid w:val="00E04E04"/>
    <w:rsid w:val="00E1773B"/>
    <w:rsid w:val="00E36A38"/>
    <w:rsid w:val="00E423C0"/>
    <w:rsid w:val="00E6414C"/>
    <w:rsid w:val="00E7260F"/>
    <w:rsid w:val="00E76CE7"/>
    <w:rsid w:val="00E82C50"/>
    <w:rsid w:val="00E86772"/>
    <w:rsid w:val="00E8702D"/>
    <w:rsid w:val="00E916A9"/>
    <w:rsid w:val="00E916DE"/>
    <w:rsid w:val="00E93BF3"/>
    <w:rsid w:val="00E96630"/>
    <w:rsid w:val="00EA614B"/>
    <w:rsid w:val="00EC0ED7"/>
    <w:rsid w:val="00EC6D78"/>
    <w:rsid w:val="00ED18DC"/>
    <w:rsid w:val="00ED6201"/>
    <w:rsid w:val="00ED7A2A"/>
    <w:rsid w:val="00EE2A27"/>
    <w:rsid w:val="00EE4690"/>
    <w:rsid w:val="00EE4832"/>
    <w:rsid w:val="00EE6B55"/>
    <w:rsid w:val="00EF1D7F"/>
    <w:rsid w:val="00EF4426"/>
    <w:rsid w:val="00F0137E"/>
    <w:rsid w:val="00F132D5"/>
    <w:rsid w:val="00F1354F"/>
    <w:rsid w:val="00F1361D"/>
    <w:rsid w:val="00F143EF"/>
    <w:rsid w:val="00F207BA"/>
    <w:rsid w:val="00F21786"/>
    <w:rsid w:val="00F21F15"/>
    <w:rsid w:val="00F24996"/>
    <w:rsid w:val="00F301F5"/>
    <w:rsid w:val="00F3023F"/>
    <w:rsid w:val="00F336D1"/>
    <w:rsid w:val="00F3742B"/>
    <w:rsid w:val="00F41FDB"/>
    <w:rsid w:val="00F5337D"/>
    <w:rsid w:val="00F56D63"/>
    <w:rsid w:val="00F5724F"/>
    <w:rsid w:val="00F609A9"/>
    <w:rsid w:val="00F74DFC"/>
    <w:rsid w:val="00F77E67"/>
    <w:rsid w:val="00F80C99"/>
    <w:rsid w:val="00F867EC"/>
    <w:rsid w:val="00F91B2B"/>
    <w:rsid w:val="00F94459"/>
    <w:rsid w:val="00FB5453"/>
    <w:rsid w:val="00FB6F24"/>
    <w:rsid w:val="00FC03CD"/>
    <w:rsid w:val="00FC0646"/>
    <w:rsid w:val="00FC0826"/>
    <w:rsid w:val="00FC0D31"/>
    <w:rsid w:val="00FC1652"/>
    <w:rsid w:val="00FC68B7"/>
    <w:rsid w:val="00FD380A"/>
    <w:rsid w:val="00FE6985"/>
    <w:rsid w:val="00FE7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BEF4A7-F42D-42CF-B18C-B0FF1CB8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71E"/>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uiPriority w:val="99"/>
    <w:rsid w:val="00A23E9E"/>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ChGChar">
    <w:name w:val="_ H _Ch_G Char"/>
    <w:link w:val="HChG"/>
    <w:rsid w:val="0075471E"/>
    <w:rPr>
      <w:b/>
      <w:sz w:val="2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SingleTxtGChar">
    <w:name w:val="_ Single Txt_G Char"/>
    <w:link w:val="SingleTxtG"/>
    <w:rsid w:val="003307FE"/>
    <w:rPr>
      <w:lang w:val="en-GB" w:eastAsia="en-US" w:bidi="ar-SA"/>
    </w:rPr>
  </w:style>
  <w:style w:type="paragraph" w:styleId="BalloonText">
    <w:name w:val="Balloon Text"/>
    <w:basedOn w:val="Normal"/>
    <w:link w:val="BalloonTextChar"/>
    <w:rsid w:val="008F2ECC"/>
    <w:pPr>
      <w:spacing w:line="240" w:lineRule="auto"/>
    </w:pPr>
    <w:rPr>
      <w:rFonts w:ascii="Tahoma" w:hAnsi="Tahoma" w:cs="Tahoma"/>
      <w:sz w:val="16"/>
      <w:szCs w:val="16"/>
    </w:rPr>
  </w:style>
  <w:style w:type="character" w:customStyle="1" w:styleId="BalloonTextChar">
    <w:name w:val="Balloon Text Char"/>
    <w:link w:val="BalloonText"/>
    <w:rsid w:val="008F2ECC"/>
    <w:rPr>
      <w:rFonts w:ascii="Tahoma" w:hAnsi="Tahoma" w:cs="Tahoma"/>
      <w:sz w:val="16"/>
      <w:szCs w:val="16"/>
      <w:lang w:eastAsia="en-US"/>
    </w:rPr>
  </w:style>
  <w:style w:type="character" w:customStyle="1" w:styleId="FootnoteTextChar">
    <w:name w:val="Footnote Text Char"/>
    <w:aliases w:val="5_G Char"/>
    <w:link w:val="FootnoteText"/>
    <w:rsid w:val="00946811"/>
    <w:rPr>
      <w:sz w:val="18"/>
      <w:lang w:eastAsia="en-US"/>
    </w:rPr>
  </w:style>
  <w:style w:type="paragraph" w:styleId="TOC1">
    <w:name w:val="toc 1"/>
    <w:basedOn w:val="Normal"/>
    <w:next w:val="Normal"/>
    <w:autoRedefine/>
    <w:uiPriority w:val="39"/>
    <w:rsid w:val="00F24996"/>
  </w:style>
  <w:style w:type="paragraph" w:styleId="TOC2">
    <w:name w:val="toc 2"/>
    <w:basedOn w:val="Normal"/>
    <w:next w:val="Normal"/>
    <w:autoRedefine/>
    <w:uiPriority w:val="39"/>
    <w:rsid w:val="00F24996"/>
    <w:pPr>
      <w:ind w:left="200"/>
    </w:pPr>
  </w:style>
  <w:style w:type="paragraph" w:styleId="TOC3">
    <w:name w:val="toc 3"/>
    <w:basedOn w:val="Normal"/>
    <w:next w:val="Normal"/>
    <w:autoRedefine/>
    <w:uiPriority w:val="39"/>
    <w:rsid w:val="00F24996"/>
    <w:pPr>
      <w:ind w:left="400"/>
    </w:pPr>
  </w:style>
  <w:style w:type="paragraph" w:styleId="HTMLPreformatted">
    <w:name w:val="HTML Preformatted"/>
    <w:basedOn w:val="Normal"/>
    <w:link w:val="HTMLPreformattedChar"/>
    <w:semiHidden/>
    <w:unhideWhenUsed/>
    <w:rsid w:val="00975A25"/>
    <w:pPr>
      <w:spacing w:line="240" w:lineRule="auto"/>
    </w:pPr>
    <w:rPr>
      <w:rFonts w:ascii="Consolas" w:hAnsi="Consolas" w:cs="Consolas"/>
    </w:rPr>
  </w:style>
  <w:style w:type="character" w:customStyle="1" w:styleId="HTMLPreformattedChar">
    <w:name w:val="HTML Preformatted Char"/>
    <w:basedOn w:val="DefaultParagraphFont"/>
    <w:link w:val="HTMLPreformatted"/>
    <w:semiHidden/>
    <w:rsid w:val="00975A25"/>
    <w:rPr>
      <w:rFonts w:ascii="Consolas"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78168">
      <w:bodyDiv w:val="1"/>
      <w:marLeft w:val="0"/>
      <w:marRight w:val="0"/>
      <w:marTop w:val="0"/>
      <w:marBottom w:val="0"/>
      <w:divBdr>
        <w:top w:val="none" w:sz="0" w:space="0" w:color="auto"/>
        <w:left w:val="none" w:sz="0" w:space="0" w:color="auto"/>
        <w:bottom w:val="none" w:sz="0" w:space="0" w:color="auto"/>
        <w:right w:val="none" w:sz="0" w:space="0" w:color="auto"/>
      </w:divBdr>
    </w:div>
    <w:div w:id="16489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FB597-0F98-4B48-82AB-5EB17DE9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7263</Words>
  <Characters>39947</Characters>
  <Application>Microsoft Office Word</Application>
  <DocSecurity>0</DocSecurity>
  <Lines>332</Lines>
  <Paragraphs>94</Paragraphs>
  <ScaleCrop>false</ScaleCrop>
  <HeadingPairs>
    <vt:vector size="2" baseType="variant">
      <vt:variant>
        <vt:lpstr>Title</vt:lpstr>
      </vt:variant>
      <vt:variant>
        <vt:i4>1</vt:i4>
      </vt:variant>
    </vt:vector>
  </HeadingPairs>
  <TitlesOfParts>
    <vt:vector size="1" baseType="lpstr">
      <vt:lpstr>ECE/TRANS/WP</vt:lpstr>
    </vt:vector>
  </TitlesOfParts>
  <Company>UNECE</Company>
  <LinksUpToDate>false</LinksUpToDate>
  <CharactersWithSpaces>47116</CharactersWithSpaces>
  <SharedDoc>false</SharedDoc>
  <HLinks>
    <vt:vector size="288" baseType="variant">
      <vt:variant>
        <vt:i4>1441842</vt:i4>
      </vt:variant>
      <vt:variant>
        <vt:i4>278</vt:i4>
      </vt:variant>
      <vt:variant>
        <vt:i4>0</vt:i4>
      </vt:variant>
      <vt:variant>
        <vt:i4>5</vt:i4>
      </vt:variant>
      <vt:variant>
        <vt:lpwstr/>
      </vt:variant>
      <vt:variant>
        <vt:lpwstr>_Toc410740277</vt:lpwstr>
      </vt:variant>
      <vt:variant>
        <vt:i4>1441842</vt:i4>
      </vt:variant>
      <vt:variant>
        <vt:i4>272</vt:i4>
      </vt:variant>
      <vt:variant>
        <vt:i4>0</vt:i4>
      </vt:variant>
      <vt:variant>
        <vt:i4>5</vt:i4>
      </vt:variant>
      <vt:variant>
        <vt:lpwstr/>
      </vt:variant>
      <vt:variant>
        <vt:lpwstr>_Toc410740273</vt:lpwstr>
      </vt:variant>
      <vt:variant>
        <vt:i4>1441842</vt:i4>
      </vt:variant>
      <vt:variant>
        <vt:i4>269</vt:i4>
      </vt:variant>
      <vt:variant>
        <vt:i4>0</vt:i4>
      </vt:variant>
      <vt:variant>
        <vt:i4>5</vt:i4>
      </vt:variant>
      <vt:variant>
        <vt:lpwstr/>
      </vt:variant>
      <vt:variant>
        <vt:lpwstr>_Toc410740275</vt:lpwstr>
      </vt:variant>
      <vt:variant>
        <vt:i4>1441842</vt:i4>
      </vt:variant>
      <vt:variant>
        <vt:i4>266</vt:i4>
      </vt:variant>
      <vt:variant>
        <vt:i4>0</vt:i4>
      </vt:variant>
      <vt:variant>
        <vt:i4>5</vt:i4>
      </vt:variant>
      <vt:variant>
        <vt:lpwstr/>
      </vt:variant>
      <vt:variant>
        <vt:lpwstr>_Toc410740272</vt:lpwstr>
      </vt:variant>
      <vt:variant>
        <vt:i4>1441842</vt:i4>
      </vt:variant>
      <vt:variant>
        <vt:i4>260</vt:i4>
      </vt:variant>
      <vt:variant>
        <vt:i4>0</vt:i4>
      </vt:variant>
      <vt:variant>
        <vt:i4>5</vt:i4>
      </vt:variant>
      <vt:variant>
        <vt:lpwstr/>
      </vt:variant>
      <vt:variant>
        <vt:lpwstr>_Toc410740271</vt:lpwstr>
      </vt:variant>
      <vt:variant>
        <vt:i4>1441842</vt:i4>
      </vt:variant>
      <vt:variant>
        <vt:i4>254</vt:i4>
      </vt:variant>
      <vt:variant>
        <vt:i4>0</vt:i4>
      </vt:variant>
      <vt:variant>
        <vt:i4>5</vt:i4>
      </vt:variant>
      <vt:variant>
        <vt:lpwstr/>
      </vt:variant>
      <vt:variant>
        <vt:lpwstr>_Toc410740270</vt:lpwstr>
      </vt:variant>
      <vt:variant>
        <vt:i4>1507378</vt:i4>
      </vt:variant>
      <vt:variant>
        <vt:i4>248</vt:i4>
      </vt:variant>
      <vt:variant>
        <vt:i4>0</vt:i4>
      </vt:variant>
      <vt:variant>
        <vt:i4>5</vt:i4>
      </vt:variant>
      <vt:variant>
        <vt:lpwstr/>
      </vt:variant>
      <vt:variant>
        <vt:lpwstr>_Toc410740269</vt:lpwstr>
      </vt:variant>
      <vt:variant>
        <vt:i4>1507378</vt:i4>
      </vt:variant>
      <vt:variant>
        <vt:i4>242</vt:i4>
      </vt:variant>
      <vt:variant>
        <vt:i4>0</vt:i4>
      </vt:variant>
      <vt:variant>
        <vt:i4>5</vt:i4>
      </vt:variant>
      <vt:variant>
        <vt:lpwstr/>
      </vt:variant>
      <vt:variant>
        <vt:lpwstr>_Toc410740268</vt:lpwstr>
      </vt:variant>
      <vt:variant>
        <vt:i4>1507378</vt:i4>
      </vt:variant>
      <vt:variant>
        <vt:i4>236</vt:i4>
      </vt:variant>
      <vt:variant>
        <vt:i4>0</vt:i4>
      </vt:variant>
      <vt:variant>
        <vt:i4>5</vt:i4>
      </vt:variant>
      <vt:variant>
        <vt:lpwstr/>
      </vt:variant>
      <vt:variant>
        <vt:lpwstr>_Toc410740267</vt:lpwstr>
      </vt:variant>
      <vt:variant>
        <vt:i4>1507378</vt:i4>
      </vt:variant>
      <vt:variant>
        <vt:i4>230</vt:i4>
      </vt:variant>
      <vt:variant>
        <vt:i4>0</vt:i4>
      </vt:variant>
      <vt:variant>
        <vt:i4>5</vt:i4>
      </vt:variant>
      <vt:variant>
        <vt:lpwstr/>
      </vt:variant>
      <vt:variant>
        <vt:lpwstr>_Toc410740266</vt:lpwstr>
      </vt:variant>
      <vt:variant>
        <vt:i4>1507378</vt:i4>
      </vt:variant>
      <vt:variant>
        <vt:i4>224</vt:i4>
      </vt:variant>
      <vt:variant>
        <vt:i4>0</vt:i4>
      </vt:variant>
      <vt:variant>
        <vt:i4>5</vt:i4>
      </vt:variant>
      <vt:variant>
        <vt:lpwstr/>
      </vt:variant>
      <vt:variant>
        <vt:lpwstr>_Toc410740265</vt:lpwstr>
      </vt:variant>
      <vt:variant>
        <vt:i4>1507378</vt:i4>
      </vt:variant>
      <vt:variant>
        <vt:i4>218</vt:i4>
      </vt:variant>
      <vt:variant>
        <vt:i4>0</vt:i4>
      </vt:variant>
      <vt:variant>
        <vt:i4>5</vt:i4>
      </vt:variant>
      <vt:variant>
        <vt:lpwstr/>
      </vt:variant>
      <vt:variant>
        <vt:lpwstr>_Toc410740264</vt:lpwstr>
      </vt:variant>
      <vt:variant>
        <vt:i4>1507378</vt:i4>
      </vt:variant>
      <vt:variant>
        <vt:i4>212</vt:i4>
      </vt:variant>
      <vt:variant>
        <vt:i4>0</vt:i4>
      </vt:variant>
      <vt:variant>
        <vt:i4>5</vt:i4>
      </vt:variant>
      <vt:variant>
        <vt:lpwstr/>
      </vt:variant>
      <vt:variant>
        <vt:lpwstr>_Toc410740263</vt:lpwstr>
      </vt:variant>
      <vt:variant>
        <vt:i4>1507378</vt:i4>
      </vt:variant>
      <vt:variant>
        <vt:i4>206</vt:i4>
      </vt:variant>
      <vt:variant>
        <vt:i4>0</vt:i4>
      </vt:variant>
      <vt:variant>
        <vt:i4>5</vt:i4>
      </vt:variant>
      <vt:variant>
        <vt:lpwstr/>
      </vt:variant>
      <vt:variant>
        <vt:lpwstr>_Toc410740262</vt:lpwstr>
      </vt:variant>
      <vt:variant>
        <vt:i4>1507378</vt:i4>
      </vt:variant>
      <vt:variant>
        <vt:i4>200</vt:i4>
      </vt:variant>
      <vt:variant>
        <vt:i4>0</vt:i4>
      </vt:variant>
      <vt:variant>
        <vt:i4>5</vt:i4>
      </vt:variant>
      <vt:variant>
        <vt:lpwstr/>
      </vt:variant>
      <vt:variant>
        <vt:lpwstr>_Toc410740261</vt:lpwstr>
      </vt:variant>
      <vt:variant>
        <vt:i4>1507378</vt:i4>
      </vt:variant>
      <vt:variant>
        <vt:i4>194</vt:i4>
      </vt:variant>
      <vt:variant>
        <vt:i4>0</vt:i4>
      </vt:variant>
      <vt:variant>
        <vt:i4>5</vt:i4>
      </vt:variant>
      <vt:variant>
        <vt:lpwstr/>
      </vt:variant>
      <vt:variant>
        <vt:lpwstr>_Toc410740260</vt:lpwstr>
      </vt:variant>
      <vt:variant>
        <vt:i4>1310770</vt:i4>
      </vt:variant>
      <vt:variant>
        <vt:i4>188</vt:i4>
      </vt:variant>
      <vt:variant>
        <vt:i4>0</vt:i4>
      </vt:variant>
      <vt:variant>
        <vt:i4>5</vt:i4>
      </vt:variant>
      <vt:variant>
        <vt:lpwstr/>
      </vt:variant>
      <vt:variant>
        <vt:lpwstr>_Toc410740259</vt:lpwstr>
      </vt:variant>
      <vt:variant>
        <vt:i4>1310770</vt:i4>
      </vt:variant>
      <vt:variant>
        <vt:i4>182</vt:i4>
      </vt:variant>
      <vt:variant>
        <vt:i4>0</vt:i4>
      </vt:variant>
      <vt:variant>
        <vt:i4>5</vt:i4>
      </vt:variant>
      <vt:variant>
        <vt:lpwstr/>
      </vt:variant>
      <vt:variant>
        <vt:lpwstr>_Toc410740258</vt:lpwstr>
      </vt:variant>
      <vt:variant>
        <vt:i4>1310770</vt:i4>
      </vt:variant>
      <vt:variant>
        <vt:i4>176</vt:i4>
      </vt:variant>
      <vt:variant>
        <vt:i4>0</vt:i4>
      </vt:variant>
      <vt:variant>
        <vt:i4>5</vt:i4>
      </vt:variant>
      <vt:variant>
        <vt:lpwstr/>
      </vt:variant>
      <vt:variant>
        <vt:lpwstr>_Toc410740257</vt:lpwstr>
      </vt:variant>
      <vt:variant>
        <vt:i4>1310770</vt:i4>
      </vt:variant>
      <vt:variant>
        <vt:i4>170</vt:i4>
      </vt:variant>
      <vt:variant>
        <vt:i4>0</vt:i4>
      </vt:variant>
      <vt:variant>
        <vt:i4>5</vt:i4>
      </vt:variant>
      <vt:variant>
        <vt:lpwstr/>
      </vt:variant>
      <vt:variant>
        <vt:lpwstr>_Toc410740256</vt:lpwstr>
      </vt:variant>
      <vt:variant>
        <vt:i4>1310770</vt:i4>
      </vt:variant>
      <vt:variant>
        <vt:i4>164</vt:i4>
      </vt:variant>
      <vt:variant>
        <vt:i4>0</vt:i4>
      </vt:variant>
      <vt:variant>
        <vt:i4>5</vt:i4>
      </vt:variant>
      <vt:variant>
        <vt:lpwstr/>
      </vt:variant>
      <vt:variant>
        <vt:lpwstr>_Toc410740255</vt:lpwstr>
      </vt:variant>
      <vt:variant>
        <vt:i4>1310770</vt:i4>
      </vt:variant>
      <vt:variant>
        <vt:i4>158</vt:i4>
      </vt:variant>
      <vt:variant>
        <vt:i4>0</vt:i4>
      </vt:variant>
      <vt:variant>
        <vt:i4>5</vt:i4>
      </vt:variant>
      <vt:variant>
        <vt:lpwstr/>
      </vt:variant>
      <vt:variant>
        <vt:lpwstr>_Toc410740254</vt:lpwstr>
      </vt:variant>
      <vt:variant>
        <vt:i4>1310770</vt:i4>
      </vt:variant>
      <vt:variant>
        <vt:i4>152</vt:i4>
      </vt:variant>
      <vt:variant>
        <vt:i4>0</vt:i4>
      </vt:variant>
      <vt:variant>
        <vt:i4>5</vt:i4>
      </vt:variant>
      <vt:variant>
        <vt:lpwstr/>
      </vt:variant>
      <vt:variant>
        <vt:lpwstr>_Toc410740253</vt:lpwstr>
      </vt:variant>
      <vt:variant>
        <vt:i4>1310770</vt:i4>
      </vt:variant>
      <vt:variant>
        <vt:i4>146</vt:i4>
      </vt:variant>
      <vt:variant>
        <vt:i4>0</vt:i4>
      </vt:variant>
      <vt:variant>
        <vt:i4>5</vt:i4>
      </vt:variant>
      <vt:variant>
        <vt:lpwstr/>
      </vt:variant>
      <vt:variant>
        <vt:lpwstr>_Toc410740252</vt:lpwstr>
      </vt:variant>
      <vt:variant>
        <vt:i4>1310770</vt:i4>
      </vt:variant>
      <vt:variant>
        <vt:i4>140</vt:i4>
      </vt:variant>
      <vt:variant>
        <vt:i4>0</vt:i4>
      </vt:variant>
      <vt:variant>
        <vt:i4>5</vt:i4>
      </vt:variant>
      <vt:variant>
        <vt:lpwstr/>
      </vt:variant>
      <vt:variant>
        <vt:lpwstr>_Toc410740251</vt:lpwstr>
      </vt:variant>
      <vt:variant>
        <vt:i4>1310770</vt:i4>
      </vt:variant>
      <vt:variant>
        <vt:i4>134</vt:i4>
      </vt:variant>
      <vt:variant>
        <vt:i4>0</vt:i4>
      </vt:variant>
      <vt:variant>
        <vt:i4>5</vt:i4>
      </vt:variant>
      <vt:variant>
        <vt:lpwstr/>
      </vt:variant>
      <vt:variant>
        <vt:lpwstr>_Toc410740250</vt:lpwstr>
      </vt:variant>
      <vt:variant>
        <vt:i4>1376306</vt:i4>
      </vt:variant>
      <vt:variant>
        <vt:i4>128</vt:i4>
      </vt:variant>
      <vt:variant>
        <vt:i4>0</vt:i4>
      </vt:variant>
      <vt:variant>
        <vt:i4>5</vt:i4>
      </vt:variant>
      <vt:variant>
        <vt:lpwstr/>
      </vt:variant>
      <vt:variant>
        <vt:lpwstr>_Toc410740249</vt:lpwstr>
      </vt:variant>
      <vt:variant>
        <vt:i4>1376306</vt:i4>
      </vt:variant>
      <vt:variant>
        <vt:i4>122</vt:i4>
      </vt:variant>
      <vt:variant>
        <vt:i4>0</vt:i4>
      </vt:variant>
      <vt:variant>
        <vt:i4>5</vt:i4>
      </vt:variant>
      <vt:variant>
        <vt:lpwstr/>
      </vt:variant>
      <vt:variant>
        <vt:lpwstr>_Toc410740248</vt:lpwstr>
      </vt:variant>
      <vt:variant>
        <vt:i4>1376306</vt:i4>
      </vt:variant>
      <vt:variant>
        <vt:i4>116</vt:i4>
      </vt:variant>
      <vt:variant>
        <vt:i4>0</vt:i4>
      </vt:variant>
      <vt:variant>
        <vt:i4>5</vt:i4>
      </vt:variant>
      <vt:variant>
        <vt:lpwstr/>
      </vt:variant>
      <vt:variant>
        <vt:lpwstr>_Toc410740247</vt:lpwstr>
      </vt:variant>
      <vt:variant>
        <vt:i4>1376306</vt:i4>
      </vt:variant>
      <vt:variant>
        <vt:i4>110</vt:i4>
      </vt:variant>
      <vt:variant>
        <vt:i4>0</vt:i4>
      </vt:variant>
      <vt:variant>
        <vt:i4>5</vt:i4>
      </vt:variant>
      <vt:variant>
        <vt:lpwstr/>
      </vt:variant>
      <vt:variant>
        <vt:lpwstr>_Toc410740246</vt:lpwstr>
      </vt:variant>
      <vt:variant>
        <vt:i4>1376306</vt:i4>
      </vt:variant>
      <vt:variant>
        <vt:i4>104</vt:i4>
      </vt:variant>
      <vt:variant>
        <vt:i4>0</vt:i4>
      </vt:variant>
      <vt:variant>
        <vt:i4>5</vt:i4>
      </vt:variant>
      <vt:variant>
        <vt:lpwstr/>
      </vt:variant>
      <vt:variant>
        <vt:lpwstr>_Toc410740245</vt:lpwstr>
      </vt:variant>
      <vt:variant>
        <vt:i4>1376306</vt:i4>
      </vt:variant>
      <vt:variant>
        <vt:i4>98</vt:i4>
      </vt:variant>
      <vt:variant>
        <vt:i4>0</vt:i4>
      </vt:variant>
      <vt:variant>
        <vt:i4>5</vt:i4>
      </vt:variant>
      <vt:variant>
        <vt:lpwstr/>
      </vt:variant>
      <vt:variant>
        <vt:lpwstr>_Toc410740244</vt:lpwstr>
      </vt:variant>
      <vt:variant>
        <vt:i4>1376306</vt:i4>
      </vt:variant>
      <vt:variant>
        <vt:i4>92</vt:i4>
      </vt:variant>
      <vt:variant>
        <vt:i4>0</vt:i4>
      </vt:variant>
      <vt:variant>
        <vt:i4>5</vt:i4>
      </vt:variant>
      <vt:variant>
        <vt:lpwstr/>
      </vt:variant>
      <vt:variant>
        <vt:lpwstr>_Toc410740243</vt:lpwstr>
      </vt:variant>
      <vt:variant>
        <vt:i4>1376306</vt:i4>
      </vt:variant>
      <vt:variant>
        <vt:i4>86</vt:i4>
      </vt:variant>
      <vt:variant>
        <vt:i4>0</vt:i4>
      </vt:variant>
      <vt:variant>
        <vt:i4>5</vt:i4>
      </vt:variant>
      <vt:variant>
        <vt:lpwstr/>
      </vt:variant>
      <vt:variant>
        <vt:lpwstr>_Toc410740242</vt:lpwstr>
      </vt:variant>
      <vt:variant>
        <vt:i4>1376306</vt:i4>
      </vt:variant>
      <vt:variant>
        <vt:i4>80</vt:i4>
      </vt:variant>
      <vt:variant>
        <vt:i4>0</vt:i4>
      </vt:variant>
      <vt:variant>
        <vt:i4>5</vt:i4>
      </vt:variant>
      <vt:variant>
        <vt:lpwstr/>
      </vt:variant>
      <vt:variant>
        <vt:lpwstr>_Toc410740241</vt:lpwstr>
      </vt:variant>
      <vt:variant>
        <vt:i4>1376306</vt:i4>
      </vt:variant>
      <vt:variant>
        <vt:i4>74</vt:i4>
      </vt:variant>
      <vt:variant>
        <vt:i4>0</vt:i4>
      </vt:variant>
      <vt:variant>
        <vt:i4>5</vt:i4>
      </vt:variant>
      <vt:variant>
        <vt:lpwstr/>
      </vt:variant>
      <vt:variant>
        <vt:lpwstr>_Toc410740240</vt:lpwstr>
      </vt:variant>
      <vt:variant>
        <vt:i4>1179698</vt:i4>
      </vt:variant>
      <vt:variant>
        <vt:i4>68</vt:i4>
      </vt:variant>
      <vt:variant>
        <vt:i4>0</vt:i4>
      </vt:variant>
      <vt:variant>
        <vt:i4>5</vt:i4>
      </vt:variant>
      <vt:variant>
        <vt:lpwstr/>
      </vt:variant>
      <vt:variant>
        <vt:lpwstr>_Toc410740239</vt:lpwstr>
      </vt:variant>
      <vt:variant>
        <vt:i4>1179698</vt:i4>
      </vt:variant>
      <vt:variant>
        <vt:i4>62</vt:i4>
      </vt:variant>
      <vt:variant>
        <vt:i4>0</vt:i4>
      </vt:variant>
      <vt:variant>
        <vt:i4>5</vt:i4>
      </vt:variant>
      <vt:variant>
        <vt:lpwstr/>
      </vt:variant>
      <vt:variant>
        <vt:lpwstr>_Toc410740238</vt:lpwstr>
      </vt:variant>
      <vt:variant>
        <vt:i4>1179698</vt:i4>
      </vt:variant>
      <vt:variant>
        <vt:i4>56</vt:i4>
      </vt:variant>
      <vt:variant>
        <vt:i4>0</vt:i4>
      </vt:variant>
      <vt:variant>
        <vt:i4>5</vt:i4>
      </vt:variant>
      <vt:variant>
        <vt:lpwstr/>
      </vt:variant>
      <vt:variant>
        <vt:lpwstr>_Toc410740237</vt:lpwstr>
      </vt:variant>
      <vt:variant>
        <vt:i4>1179698</vt:i4>
      </vt:variant>
      <vt:variant>
        <vt:i4>50</vt:i4>
      </vt:variant>
      <vt:variant>
        <vt:i4>0</vt:i4>
      </vt:variant>
      <vt:variant>
        <vt:i4>5</vt:i4>
      </vt:variant>
      <vt:variant>
        <vt:lpwstr/>
      </vt:variant>
      <vt:variant>
        <vt:lpwstr>_Toc410740236</vt:lpwstr>
      </vt:variant>
      <vt:variant>
        <vt:i4>1179698</vt:i4>
      </vt:variant>
      <vt:variant>
        <vt:i4>44</vt:i4>
      </vt:variant>
      <vt:variant>
        <vt:i4>0</vt:i4>
      </vt:variant>
      <vt:variant>
        <vt:i4>5</vt:i4>
      </vt:variant>
      <vt:variant>
        <vt:lpwstr/>
      </vt:variant>
      <vt:variant>
        <vt:lpwstr>_Toc410740235</vt:lpwstr>
      </vt:variant>
      <vt:variant>
        <vt:i4>1179698</vt:i4>
      </vt:variant>
      <vt:variant>
        <vt:i4>38</vt:i4>
      </vt:variant>
      <vt:variant>
        <vt:i4>0</vt:i4>
      </vt:variant>
      <vt:variant>
        <vt:i4>5</vt:i4>
      </vt:variant>
      <vt:variant>
        <vt:lpwstr/>
      </vt:variant>
      <vt:variant>
        <vt:lpwstr>_Toc410740234</vt:lpwstr>
      </vt:variant>
      <vt:variant>
        <vt:i4>1179698</vt:i4>
      </vt:variant>
      <vt:variant>
        <vt:i4>32</vt:i4>
      </vt:variant>
      <vt:variant>
        <vt:i4>0</vt:i4>
      </vt:variant>
      <vt:variant>
        <vt:i4>5</vt:i4>
      </vt:variant>
      <vt:variant>
        <vt:lpwstr/>
      </vt:variant>
      <vt:variant>
        <vt:lpwstr>_Toc410740233</vt:lpwstr>
      </vt:variant>
      <vt:variant>
        <vt:i4>1179698</vt:i4>
      </vt:variant>
      <vt:variant>
        <vt:i4>26</vt:i4>
      </vt:variant>
      <vt:variant>
        <vt:i4>0</vt:i4>
      </vt:variant>
      <vt:variant>
        <vt:i4>5</vt:i4>
      </vt:variant>
      <vt:variant>
        <vt:lpwstr/>
      </vt:variant>
      <vt:variant>
        <vt:lpwstr>_Toc410740232</vt:lpwstr>
      </vt:variant>
      <vt:variant>
        <vt:i4>1179698</vt:i4>
      </vt:variant>
      <vt:variant>
        <vt:i4>20</vt:i4>
      </vt:variant>
      <vt:variant>
        <vt:i4>0</vt:i4>
      </vt:variant>
      <vt:variant>
        <vt:i4>5</vt:i4>
      </vt:variant>
      <vt:variant>
        <vt:lpwstr/>
      </vt:variant>
      <vt:variant>
        <vt:lpwstr>_Toc410740231</vt:lpwstr>
      </vt:variant>
      <vt:variant>
        <vt:i4>1179698</vt:i4>
      </vt:variant>
      <vt:variant>
        <vt:i4>14</vt:i4>
      </vt:variant>
      <vt:variant>
        <vt:i4>0</vt:i4>
      </vt:variant>
      <vt:variant>
        <vt:i4>5</vt:i4>
      </vt:variant>
      <vt:variant>
        <vt:lpwstr/>
      </vt:variant>
      <vt:variant>
        <vt:lpwstr>_Toc410740230</vt:lpwstr>
      </vt:variant>
      <vt:variant>
        <vt:i4>1245234</vt:i4>
      </vt:variant>
      <vt:variant>
        <vt:i4>8</vt:i4>
      </vt:variant>
      <vt:variant>
        <vt:i4>0</vt:i4>
      </vt:variant>
      <vt:variant>
        <vt:i4>5</vt:i4>
      </vt:variant>
      <vt:variant>
        <vt:lpwstr/>
      </vt:variant>
      <vt:variant>
        <vt:lpwstr>_Toc410740229</vt:lpwstr>
      </vt:variant>
      <vt:variant>
        <vt:i4>1245234</vt:i4>
      </vt:variant>
      <vt:variant>
        <vt:i4>2</vt:i4>
      </vt:variant>
      <vt:variant>
        <vt:i4>0</vt:i4>
      </vt:variant>
      <vt:variant>
        <vt:i4>5</vt:i4>
      </vt:variant>
      <vt:variant>
        <vt:lpwstr/>
      </vt:variant>
      <vt:variant>
        <vt:lpwstr>_Toc410740228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dc:title>
  <dc:creator>Collet</dc:creator>
  <cp:lastModifiedBy>Caillot</cp:lastModifiedBy>
  <cp:revision>2</cp:revision>
  <cp:lastPrinted>2015-03-05T15:24:00Z</cp:lastPrinted>
  <dcterms:created xsi:type="dcterms:W3CDTF">2015-10-16T08:00:00Z</dcterms:created>
  <dcterms:modified xsi:type="dcterms:W3CDTF">2015-10-16T08:00:00Z</dcterms:modified>
</cp:coreProperties>
</file>