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C3" w:rsidRPr="00C95F47" w:rsidRDefault="005405C3" w:rsidP="005405C3">
      <w:pPr>
        <w:spacing w:line="240" w:lineRule="auto"/>
        <w:rPr>
          <w:sz w:val="2"/>
          <w:lang w:val="fr-CH"/>
        </w:rPr>
        <w:sectPr w:rsidR="005405C3" w:rsidRPr="00C95F47" w:rsidSect="005405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5405C3" w:rsidRPr="00C95F47" w:rsidRDefault="005405C3" w:rsidP="00EB30A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95F47">
        <w:rPr>
          <w:lang w:val="fr-CH"/>
        </w:rPr>
        <w:lastRenderedPageBreak/>
        <w:t>Commission économique pour l</w:t>
      </w:r>
      <w:r w:rsidR="00C95F47" w:rsidRPr="00C95F47">
        <w:rPr>
          <w:lang w:val="fr-CH"/>
        </w:rPr>
        <w:t>’</w:t>
      </w:r>
      <w:r w:rsidRPr="00C95F47">
        <w:rPr>
          <w:lang w:val="fr-CH"/>
        </w:rPr>
        <w:t>Europe</w:t>
      </w:r>
    </w:p>
    <w:p w:rsidR="00EB30A6" w:rsidRPr="00C95F47" w:rsidRDefault="00EB30A6" w:rsidP="00EB30A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5405C3" w:rsidRPr="00C95F47" w:rsidRDefault="005405C3" w:rsidP="00EB30A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C95F47">
        <w:rPr>
          <w:b w:val="0"/>
          <w:bCs/>
          <w:lang w:val="fr-CH"/>
        </w:rPr>
        <w:t>Comité des transports intérieurs</w:t>
      </w:r>
    </w:p>
    <w:p w:rsidR="005405C3" w:rsidRPr="00C95F47" w:rsidRDefault="005405C3" w:rsidP="00EB30A6">
      <w:pPr>
        <w:pStyle w:val="H1"/>
        <w:spacing w:line="120" w:lineRule="exact"/>
        <w:rPr>
          <w:b w:val="0"/>
          <w:sz w:val="10"/>
          <w:lang w:val="fr-CH"/>
        </w:rPr>
      </w:pPr>
    </w:p>
    <w:p w:rsidR="00EB30A6" w:rsidRPr="00C95F47" w:rsidRDefault="00EB30A6" w:rsidP="00EB30A6">
      <w:pPr>
        <w:rPr>
          <w:b/>
          <w:lang w:val="fr-CH"/>
        </w:rPr>
      </w:pPr>
      <w:r w:rsidRPr="00C95F47">
        <w:rPr>
          <w:b/>
          <w:lang w:val="fr-CH"/>
        </w:rPr>
        <w:t>Forum mondial de l</w:t>
      </w:r>
      <w:r w:rsidR="00C95F47" w:rsidRPr="00C95F47">
        <w:rPr>
          <w:b/>
          <w:lang w:val="fr-CH"/>
        </w:rPr>
        <w:t>’</w:t>
      </w:r>
      <w:r w:rsidRPr="00C95F47">
        <w:rPr>
          <w:b/>
          <w:lang w:val="fr-CH"/>
        </w:rPr>
        <w:t xml:space="preserve">harmonisation </w:t>
      </w:r>
      <w:r w:rsidRPr="00C95F47">
        <w:rPr>
          <w:b/>
          <w:lang w:val="fr-CH"/>
        </w:rPr>
        <w:br/>
        <w:t>des Règlements concernant les véhicules</w:t>
      </w:r>
    </w:p>
    <w:p w:rsidR="00EB30A6" w:rsidRPr="00C95F47" w:rsidRDefault="00EB30A6" w:rsidP="00EB30A6">
      <w:pPr>
        <w:spacing w:line="120" w:lineRule="exact"/>
        <w:rPr>
          <w:b/>
          <w:sz w:val="10"/>
          <w:lang w:val="fr-CH"/>
        </w:rPr>
      </w:pPr>
    </w:p>
    <w:p w:rsidR="00EB30A6" w:rsidRPr="00C95F47" w:rsidRDefault="00EB30A6" w:rsidP="00EB30A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95F47">
        <w:rPr>
          <w:lang w:val="fr-CH"/>
        </w:rPr>
        <w:t>167</w:t>
      </w:r>
      <w:r w:rsidRPr="00C95F47">
        <w:rPr>
          <w:vertAlign w:val="superscript"/>
          <w:lang w:val="fr-CH"/>
        </w:rPr>
        <w:t>e</w:t>
      </w:r>
      <w:r w:rsidR="00BE13E5" w:rsidRPr="00C95F47">
        <w:rPr>
          <w:lang w:val="fr-CH"/>
        </w:rPr>
        <w:t> </w:t>
      </w:r>
      <w:r w:rsidRPr="00C95F47">
        <w:rPr>
          <w:lang w:val="fr-CH"/>
        </w:rPr>
        <w:t xml:space="preserve">session </w:t>
      </w:r>
    </w:p>
    <w:p w:rsidR="00EB30A6" w:rsidRPr="00C95F47" w:rsidRDefault="00BE13E5" w:rsidP="00EB30A6">
      <w:pPr>
        <w:rPr>
          <w:lang w:val="fr-CH"/>
        </w:rPr>
      </w:pPr>
      <w:r w:rsidRPr="00C95F47">
        <w:rPr>
          <w:lang w:val="fr-CH"/>
        </w:rPr>
        <w:t>Genève, 10-13 </w:t>
      </w:r>
      <w:r w:rsidR="00EB30A6" w:rsidRPr="00C95F47">
        <w:rPr>
          <w:lang w:val="fr-CH"/>
        </w:rPr>
        <w:t>novembre 2015</w:t>
      </w:r>
    </w:p>
    <w:p w:rsidR="00EB30A6" w:rsidRPr="00C95F47" w:rsidRDefault="00EB30A6" w:rsidP="00EB30A6">
      <w:pPr>
        <w:rPr>
          <w:lang w:val="fr-CH"/>
        </w:rPr>
      </w:pPr>
      <w:r w:rsidRPr="00C95F47">
        <w:rPr>
          <w:lang w:val="fr-CH"/>
        </w:rPr>
        <w:t>Point</w:t>
      </w:r>
      <w:r w:rsidR="00BE13E5" w:rsidRPr="00C95F47">
        <w:rPr>
          <w:lang w:val="fr-CH"/>
        </w:rPr>
        <w:t> </w:t>
      </w:r>
      <w:r w:rsidRPr="00C95F47">
        <w:rPr>
          <w:lang w:val="fr-CH"/>
        </w:rPr>
        <w:t>4.13.2 de l</w:t>
      </w:r>
      <w:r w:rsidR="00C95F47" w:rsidRPr="00C95F47">
        <w:rPr>
          <w:lang w:val="fr-CH"/>
        </w:rPr>
        <w:t>’</w:t>
      </w:r>
      <w:r w:rsidRPr="00C95F47">
        <w:rPr>
          <w:lang w:val="fr-CH"/>
        </w:rPr>
        <w:t>ordre du jour provisoire</w:t>
      </w:r>
    </w:p>
    <w:p w:rsidR="00EB30A6" w:rsidRPr="00C95F47" w:rsidRDefault="00EB30A6" w:rsidP="00EB30A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95F47">
        <w:rPr>
          <w:lang w:val="fr-CH"/>
        </w:rPr>
        <w:t xml:space="preserve">Accord de 1958 – Examen de propositions de nouveaux </w:t>
      </w:r>
      <w:r w:rsidR="00D9182A" w:rsidRPr="00C95F47">
        <w:rPr>
          <w:lang w:val="fr-CH"/>
        </w:rPr>
        <w:t xml:space="preserve">Règlements </w:t>
      </w:r>
      <w:r w:rsidRPr="00C95F47">
        <w:rPr>
          <w:lang w:val="fr-CH"/>
        </w:rPr>
        <w:br/>
        <w:t>soumises par les groupes de travail subsidiaires du Forum mondial</w:t>
      </w:r>
    </w:p>
    <w:p w:rsidR="00EB30A6" w:rsidRPr="00C95F47" w:rsidRDefault="00EB30A6" w:rsidP="00EB30A6">
      <w:pPr>
        <w:spacing w:line="120" w:lineRule="exact"/>
        <w:rPr>
          <w:sz w:val="10"/>
          <w:lang w:val="fr-CH"/>
        </w:rPr>
      </w:pPr>
    </w:p>
    <w:p w:rsidR="00EB30A6" w:rsidRPr="00C95F47" w:rsidRDefault="00EB30A6" w:rsidP="00EB30A6">
      <w:pPr>
        <w:spacing w:line="120" w:lineRule="exact"/>
        <w:rPr>
          <w:sz w:val="10"/>
          <w:lang w:val="fr-CH"/>
        </w:rPr>
      </w:pPr>
    </w:p>
    <w:p w:rsidR="00EB30A6" w:rsidRPr="00C95F47" w:rsidRDefault="00EB30A6" w:rsidP="00EB30A6">
      <w:pPr>
        <w:spacing w:line="120" w:lineRule="exact"/>
        <w:rPr>
          <w:sz w:val="10"/>
          <w:lang w:val="fr-CH"/>
        </w:rPr>
      </w:pPr>
    </w:p>
    <w:p w:rsidR="00EB30A6" w:rsidRPr="00C95F47" w:rsidRDefault="00EB30A6" w:rsidP="00EB30A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95F47">
        <w:rPr>
          <w:lang w:val="fr-CH"/>
        </w:rPr>
        <w:tab/>
      </w:r>
      <w:r w:rsidRPr="00C95F47">
        <w:rPr>
          <w:lang w:val="fr-CH"/>
        </w:rPr>
        <w:tab/>
      </w:r>
      <w:r w:rsidR="00BE13E5" w:rsidRPr="00C95F47">
        <w:rPr>
          <w:lang w:val="fr-CH"/>
        </w:rPr>
        <w:t>Proposition de série </w:t>
      </w:r>
      <w:r w:rsidRPr="00C95F47">
        <w:rPr>
          <w:lang w:val="fr-CH"/>
        </w:rPr>
        <w:t>01 d</w:t>
      </w:r>
      <w:r w:rsidR="00C95F47" w:rsidRPr="00C95F47">
        <w:rPr>
          <w:lang w:val="fr-CH"/>
        </w:rPr>
        <w:t>’</w:t>
      </w:r>
      <w:r w:rsidRPr="00C95F47">
        <w:rPr>
          <w:lang w:val="fr-CH"/>
        </w:rPr>
        <w:t xml:space="preserve">amendements </w:t>
      </w:r>
      <w:r w:rsidRPr="00C95F47">
        <w:rPr>
          <w:lang w:val="fr-CH"/>
        </w:rPr>
        <w:br/>
        <w:t xml:space="preserve">au nouveau Règlement sur le choc avant, </w:t>
      </w:r>
      <w:r w:rsidRPr="00C95F47">
        <w:rPr>
          <w:lang w:val="fr-CH"/>
        </w:rPr>
        <w:br/>
        <w:t>axé en particulier sur le système de retenue</w:t>
      </w:r>
    </w:p>
    <w:p w:rsidR="00EB30A6" w:rsidRPr="00C95F47" w:rsidRDefault="00EB30A6" w:rsidP="00EB30A6">
      <w:pPr>
        <w:pStyle w:val="SingleTxt"/>
        <w:spacing w:after="0" w:line="120" w:lineRule="exact"/>
        <w:rPr>
          <w:b/>
          <w:sz w:val="10"/>
          <w:lang w:val="fr-CH"/>
        </w:rPr>
      </w:pPr>
    </w:p>
    <w:p w:rsidR="00EB30A6" w:rsidRPr="00C95F47" w:rsidRDefault="00EB30A6" w:rsidP="00EB30A6">
      <w:pPr>
        <w:pStyle w:val="SingleTxt"/>
        <w:spacing w:after="0" w:line="120" w:lineRule="exact"/>
        <w:rPr>
          <w:b/>
          <w:sz w:val="10"/>
          <w:lang w:val="fr-CH"/>
        </w:rPr>
      </w:pPr>
    </w:p>
    <w:p w:rsidR="00EB30A6" w:rsidRPr="00C95F47" w:rsidRDefault="00EB30A6" w:rsidP="00EB30A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95F47">
        <w:rPr>
          <w:lang w:val="fr-CH"/>
        </w:rPr>
        <w:tab/>
      </w:r>
      <w:r w:rsidRPr="00C95F47">
        <w:rPr>
          <w:lang w:val="fr-CH"/>
        </w:rPr>
        <w:tab/>
        <w:t>Communication du Groupe de travail de la sécurité passive</w:t>
      </w:r>
      <w:r w:rsidRPr="00C95F47">
        <w:rPr>
          <w:rStyle w:val="FootnoteReference"/>
          <w:b w:val="0"/>
          <w:bCs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EB30A6" w:rsidRPr="00C95F47" w:rsidRDefault="00EB30A6" w:rsidP="00EB30A6">
      <w:pPr>
        <w:pStyle w:val="SingleTxt"/>
        <w:spacing w:after="0" w:line="120" w:lineRule="exact"/>
        <w:rPr>
          <w:sz w:val="10"/>
          <w:lang w:val="fr-CH"/>
        </w:rPr>
      </w:pPr>
    </w:p>
    <w:p w:rsidR="00EB30A6" w:rsidRPr="00C95F47" w:rsidRDefault="00EB30A6" w:rsidP="00EB30A6">
      <w:pPr>
        <w:pStyle w:val="SingleTxt"/>
        <w:spacing w:after="0" w:line="120" w:lineRule="exact"/>
        <w:rPr>
          <w:sz w:val="10"/>
          <w:lang w:val="fr-CH"/>
        </w:rPr>
      </w:pPr>
    </w:p>
    <w:p w:rsidR="00EB30A6" w:rsidRPr="00C95F47" w:rsidRDefault="00EB30A6" w:rsidP="00BE13E5">
      <w:pPr>
        <w:pStyle w:val="SingleTxt"/>
        <w:rPr>
          <w:lang w:val="fr-CH"/>
        </w:rPr>
      </w:pPr>
      <w:r w:rsidRPr="00C95F47">
        <w:rPr>
          <w:lang w:val="fr-CH"/>
        </w:rPr>
        <w:tab/>
        <w:t>Le texte ci-après a été adopté par le Groupe de travail de la sécurité passive (GRSP) à sa cinquante-septième session (ECE/TRANS/WP.29/GRSP/57, par.</w:t>
      </w:r>
      <w:r w:rsidR="00BE13E5" w:rsidRPr="00C95F47">
        <w:rPr>
          <w:lang w:val="fr-CH"/>
        </w:rPr>
        <w:t> </w:t>
      </w:r>
      <w:r w:rsidR="00D9182A">
        <w:rPr>
          <w:lang w:val="fr-CH"/>
        </w:rPr>
        <w:t>33)</w:t>
      </w:r>
      <w:r w:rsidRPr="00C95F47">
        <w:rPr>
          <w:lang w:val="fr-CH"/>
        </w:rPr>
        <w:t>. Il est fondé sur le document ECE/TRANS/WP.29/GRSG/2015/12, tel que modifié par l</w:t>
      </w:r>
      <w:r w:rsidR="00C95F47" w:rsidRPr="00C95F47">
        <w:rPr>
          <w:lang w:val="fr-CH"/>
        </w:rPr>
        <w:t>’</w:t>
      </w:r>
      <w:r w:rsidR="00BE13E5" w:rsidRPr="00C95F47">
        <w:rPr>
          <w:lang w:val="fr-CH"/>
        </w:rPr>
        <w:t>annexe </w:t>
      </w:r>
      <w:r w:rsidRPr="00C95F47">
        <w:rPr>
          <w:lang w:val="fr-CH"/>
        </w:rPr>
        <w:t>V du rapport. Il est soumis au Forum mondial de l</w:t>
      </w:r>
      <w:r w:rsidR="00C95F47" w:rsidRPr="00C95F47">
        <w:rPr>
          <w:lang w:val="fr-CH"/>
        </w:rPr>
        <w:t>’</w:t>
      </w:r>
      <w:r w:rsidRPr="00C95F47">
        <w:rPr>
          <w:lang w:val="fr-CH"/>
        </w:rPr>
        <w:t>harmonisation des Règlements concernant les véhicules (WP.29) et au Comité d</w:t>
      </w:r>
      <w:r w:rsidR="00C95F47" w:rsidRPr="00C95F47">
        <w:rPr>
          <w:lang w:val="fr-CH"/>
        </w:rPr>
        <w:t>’</w:t>
      </w:r>
      <w:r w:rsidRPr="00C95F47">
        <w:rPr>
          <w:lang w:val="fr-CH"/>
        </w:rPr>
        <w:t>administration (AC.1) pour examen.</w:t>
      </w:r>
    </w:p>
    <w:p w:rsidR="00EB30A6" w:rsidRPr="00C95F47" w:rsidRDefault="00EB30A6" w:rsidP="00BE13E5">
      <w:pPr>
        <w:pStyle w:val="SingleTxt"/>
        <w:rPr>
          <w:lang w:val="fr-CH"/>
        </w:rPr>
      </w:pPr>
      <w:r w:rsidRPr="00C95F47">
        <w:rPr>
          <w:lang w:val="fr-CH"/>
        </w:rPr>
        <w:br w:type="page"/>
      </w:r>
      <w:r w:rsidRPr="00C95F47">
        <w:rPr>
          <w:i/>
          <w:lang w:val="fr-CH"/>
        </w:rPr>
        <w:lastRenderedPageBreak/>
        <w:t>Paragraphe 4.2</w:t>
      </w:r>
      <w:r w:rsidRPr="00C95F47">
        <w:rPr>
          <w:iCs/>
          <w:lang w:val="fr-CH"/>
        </w:rPr>
        <w:t>,</w:t>
      </w:r>
      <w:r w:rsidRPr="00C95F47">
        <w:rPr>
          <w:lang w:val="fr-CH"/>
        </w:rPr>
        <w:t xml:space="preserve"> lire</w:t>
      </w:r>
      <w:r w:rsidR="00BE13E5" w:rsidRPr="00C95F47">
        <w:rPr>
          <w:lang w:val="fr-CH"/>
        </w:rPr>
        <w:t> </w:t>
      </w:r>
      <w:r w:rsidRPr="00C95F47">
        <w:rPr>
          <w:lang w:val="fr-CH"/>
        </w:rPr>
        <w:t>:</w:t>
      </w:r>
    </w:p>
    <w:p w:rsidR="00EB30A6" w:rsidRPr="00C95F47" w:rsidRDefault="00BE13E5" w:rsidP="00BE13E5">
      <w:pPr>
        <w:pStyle w:val="SingleTxt"/>
        <w:ind w:left="2218" w:hanging="951"/>
        <w:rPr>
          <w:lang w:val="fr-CH"/>
        </w:rPr>
      </w:pPr>
      <w:r w:rsidRPr="00C95F47">
        <w:rPr>
          <w:lang w:val="fr-CH"/>
        </w:rPr>
        <w:t>« </w:t>
      </w:r>
      <w:r w:rsidR="00EB30A6" w:rsidRPr="00C95F47">
        <w:rPr>
          <w:lang w:val="fr-CH"/>
        </w:rPr>
        <w:t>4.2</w:t>
      </w:r>
      <w:r w:rsidRPr="00C95F47">
        <w:rPr>
          <w:lang w:val="fr-CH"/>
        </w:rPr>
        <w:tab/>
      </w:r>
      <w:r w:rsidR="00EB30A6" w:rsidRPr="00C95F47">
        <w:rPr>
          <w:lang w:val="fr-CH"/>
        </w:rPr>
        <w:tab/>
        <w:t>Chaque type homologué reçoit un numéro d</w:t>
      </w:r>
      <w:r w:rsidR="00C95F47" w:rsidRPr="00C95F47">
        <w:rPr>
          <w:lang w:val="fr-CH"/>
        </w:rPr>
        <w:t>’</w:t>
      </w:r>
      <w:r w:rsidR="00EB30A6" w:rsidRPr="00C95F47">
        <w:rPr>
          <w:lang w:val="fr-CH"/>
        </w:rPr>
        <w:t xml:space="preserve">homologation dont les deux </w:t>
      </w:r>
      <w:r w:rsidRPr="00C95F47">
        <w:rPr>
          <w:lang w:val="fr-CH"/>
        </w:rPr>
        <w:t>premiers chiffres (actuellement </w:t>
      </w:r>
      <w:r w:rsidR="00EB30A6" w:rsidRPr="00C95F47">
        <w:rPr>
          <w:lang w:val="fr-CH"/>
        </w:rPr>
        <w:t xml:space="preserve">01 pour </w:t>
      </w:r>
      <w:r w:rsidRPr="00C95F47">
        <w:rPr>
          <w:lang w:val="fr-CH"/>
        </w:rPr>
        <w:t>la série </w:t>
      </w:r>
      <w:r w:rsidR="00EB30A6" w:rsidRPr="00C95F47">
        <w:rPr>
          <w:lang w:val="fr-CH"/>
        </w:rPr>
        <w:t>01 d</w:t>
      </w:r>
      <w:r w:rsidR="00C95F47" w:rsidRPr="00C95F47">
        <w:rPr>
          <w:lang w:val="fr-CH"/>
        </w:rPr>
        <w:t>’</w:t>
      </w:r>
      <w:r w:rsidR="00EB30A6" w:rsidRPr="00C95F47">
        <w:rPr>
          <w:lang w:val="fr-CH"/>
        </w:rPr>
        <w:t>amendements) indiquent la série d</w:t>
      </w:r>
      <w:r w:rsidR="00C95F47" w:rsidRPr="00C95F47">
        <w:rPr>
          <w:lang w:val="fr-CH"/>
        </w:rPr>
        <w:t>’</w:t>
      </w:r>
      <w:r w:rsidR="00EB30A6" w:rsidRPr="00C95F47">
        <w:rPr>
          <w:lang w:val="fr-CH"/>
        </w:rPr>
        <w:t>amendements contenant les plus récentes modifications techniques majeures apportées au Règlement à la date de délivrance de l</w:t>
      </w:r>
      <w:r w:rsidR="00C95F47" w:rsidRPr="00C95F47">
        <w:rPr>
          <w:lang w:val="fr-CH"/>
        </w:rPr>
        <w:t>’</w:t>
      </w:r>
      <w:r w:rsidR="00EB30A6" w:rsidRPr="00C95F47">
        <w:rPr>
          <w:lang w:val="fr-CH"/>
        </w:rPr>
        <w:t>homologation. Une même Partie contractante ne peut pas attribuer ce numéro à un autre type de véhicule tel qu</w:t>
      </w:r>
      <w:r w:rsidR="00C95F47" w:rsidRPr="00C95F47">
        <w:rPr>
          <w:lang w:val="fr-CH"/>
        </w:rPr>
        <w:t>’</w:t>
      </w:r>
      <w:r w:rsidR="00EB30A6" w:rsidRPr="00C95F47">
        <w:rPr>
          <w:lang w:val="fr-CH"/>
        </w:rPr>
        <w:t>il est défini dans le présent Règlement</w:t>
      </w:r>
      <w:r w:rsidRPr="00C95F47">
        <w:rPr>
          <w:lang w:val="fr-CH"/>
        </w:rPr>
        <w:t>. ».</w:t>
      </w:r>
    </w:p>
    <w:p w:rsidR="00EB30A6" w:rsidRPr="00C95F47" w:rsidRDefault="00EB30A6" w:rsidP="00BE13E5">
      <w:pPr>
        <w:pStyle w:val="SingleTxt"/>
        <w:rPr>
          <w:i/>
          <w:lang w:val="fr-CH"/>
        </w:rPr>
      </w:pPr>
      <w:r w:rsidRPr="00C95F47">
        <w:rPr>
          <w:i/>
          <w:lang w:val="fr-CH"/>
        </w:rPr>
        <w:t>Paragraphe 5.2.1.2.3</w:t>
      </w:r>
      <w:r w:rsidRPr="00C95F47">
        <w:rPr>
          <w:iCs/>
          <w:lang w:val="fr-CH"/>
        </w:rPr>
        <w:t>,</w:t>
      </w:r>
      <w:r w:rsidRPr="00C95F47">
        <w:rPr>
          <w:lang w:val="fr-CH"/>
        </w:rPr>
        <w:t xml:space="preserve"> lire</w:t>
      </w:r>
      <w:r w:rsidR="00BE13E5" w:rsidRPr="00C95F47">
        <w:rPr>
          <w:lang w:val="fr-CH"/>
        </w:rPr>
        <w:t> </w:t>
      </w:r>
      <w:r w:rsidRPr="00C95F47">
        <w:rPr>
          <w:lang w:val="fr-CH"/>
        </w:rPr>
        <w:t>:</w:t>
      </w:r>
    </w:p>
    <w:p w:rsidR="00EB30A6" w:rsidRPr="00C95F47" w:rsidRDefault="00BE13E5" w:rsidP="00BE13E5">
      <w:pPr>
        <w:pStyle w:val="SingleTxt"/>
        <w:ind w:left="2218" w:hanging="951"/>
        <w:rPr>
          <w:lang w:val="fr-CH"/>
        </w:rPr>
      </w:pPr>
      <w:r w:rsidRPr="00C95F47">
        <w:rPr>
          <w:lang w:val="fr-CH"/>
        </w:rPr>
        <w:t>« </w:t>
      </w:r>
      <w:r w:rsidR="00EB30A6" w:rsidRPr="00C95F47">
        <w:rPr>
          <w:lang w:val="fr-CH"/>
        </w:rPr>
        <w:t>5.2.1.2.3</w:t>
      </w:r>
      <w:r w:rsidR="00EB30A6" w:rsidRPr="00C95F47">
        <w:rPr>
          <w:lang w:val="fr-CH"/>
        </w:rPr>
        <w:tab/>
        <w:t xml:space="preserve">Le critère de compression du thorax (THCC) </w:t>
      </w:r>
      <w:r w:rsidRPr="00C95F47">
        <w:rPr>
          <w:lang w:val="fr-CH"/>
        </w:rPr>
        <w:t>ne doit pas être supérieur à 34 </w:t>
      </w:r>
      <w:r w:rsidR="00EB30A6" w:rsidRPr="00C95F47">
        <w:rPr>
          <w:lang w:val="fr-CH"/>
        </w:rPr>
        <w:t>mm</w:t>
      </w:r>
      <w:r w:rsidR="00EB30A6" w:rsidRPr="00C95F47">
        <w:rPr>
          <w:rStyle w:val="FootnoteReference"/>
          <w:lang w:val="fr-CH"/>
        </w:rPr>
        <w:t>1</w:t>
      </w:r>
      <w:r w:rsidRPr="00C95F47">
        <w:rPr>
          <w:lang w:val="fr-CH"/>
        </w:rPr>
        <w:t>.</w:t>
      </w:r>
    </w:p>
    <w:p w:rsidR="00C95F47" w:rsidRPr="00C95F47" w:rsidRDefault="00C95F47" w:rsidP="00C95F47">
      <w:pPr>
        <w:pStyle w:val="SingleTxt"/>
        <w:rPr>
          <w:lang w:val="fr-CH"/>
        </w:rPr>
      </w:pPr>
    </w:p>
    <w:p w:rsidR="00EB30A6" w:rsidRPr="00C95F47" w:rsidRDefault="00C95F47" w:rsidP="00C95F47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fr-CH"/>
        </w:rPr>
      </w:pPr>
      <w:r w:rsidRPr="00C95F47">
        <w:rPr>
          <w:noProof/>
          <w:w w:val="100"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D759BDF" wp14:editId="03E99355">
                <wp:simplePos x="0" y="0"/>
                <wp:positionH relativeFrom="column">
                  <wp:posOffset>648970</wp:posOffset>
                </wp:positionH>
                <wp:positionV relativeFrom="paragraph">
                  <wp:posOffset>-71120</wp:posOffset>
                </wp:positionV>
                <wp:extent cx="996315" cy="0"/>
                <wp:effectExtent l="0" t="0" r="13335" b="19050"/>
                <wp:wrapNone/>
                <wp:docPr id="184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-5.6pt" to="129.5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MFHQIAADkEAAAOAAAAZHJzL2Uyb0RvYy54bWysU8GO2jAQvVfqP1i+QwhkKU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" strokeweight=".25pt">
                <w10:anchorlock/>
              </v:line>
            </w:pict>
          </mc:Fallback>
        </mc:AlternateContent>
      </w:r>
      <w:r w:rsidR="00BE13E5" w:rsidRPr="00C95F47">
        <w:rPr>
          <w:vertAlign w:val="superscript"/>
          <w:lang w:val="fr-CH"/>
        </w:rPr>
        <w:tab/>
      </w:r>
      <w:r w:rsidR="00EB30A6" w:rsidRPr="00C95F47">
        <w:rPr>
          <w:vertAlign w:val="superscript"/>
          <w:lang w:val="fr-CH"/>
        </w:rPr>
        <w:t>1</w:t>
      </w:r>
      <w:r w:rsidR="00EB30A6" w:rsidRPr="00C95F47">
        <w:rPr>
          <w:vertAlign w:val="superscript"/>
          <w:lang w:val="fr-CH"/>
        </w:rPr>
        <w:tab/>
      </w:r>
      <w:r w:rsidR="00EB30A6" w:rsidRPr="00C95F47">
        <w:rPr>
          <w:lang w:val="fr-CH"/>
        </w:rPr>
        <w:t xml:space="preserve">Cette valeur limite se fonde sur les critères de blessure applicables au mannequin </w:t>
      </w:r>
      <w:proofErr w:type="spellStart"/>
      <w:r w:rsidR="00EB30A6" w:rsidRPr="00C95F47">
        <w:rPr>
          <w:lang w:val="fr-CH"/>
        </w:rPr>
        <w:t>Hybrid</w:t>
      </w:r>
      <w:proofErr w:type="spellEnd"/>
      <w:r w:rsidR="00EB30A6" w:rsidRPr="00C95F47">
        <w:rPr>
          <w:lang w:val="fr-CH"/>
        </w:rPr>
        <w:t xml:space="preserve"> III Femme du 5</w:t>
      </w:r>
      <w:r w:rsidR="00EB30A6" w:rsidRPr="00C95F47">
        <w:rPr>
          <w:vertAlign w:val="superscript"/>
          <w:lang w:val="fr-CH"/>
        </w:rPr>
        <w:t>e</w:t>
      </w:r>
      <w:r w:rsidR="00BE13E5" w:rsidRPr="00C95F47">
        <w:rPr>
          <w:lang w:val="fr-CH"/>
        </w:rPr>
        <w:t> centile âgée de 65 </w:t>
      </w:r>
      <w:r w:rsidR="00EB30A6" w:rsidRPr="00C95F47">
        <w:rPr>
          <w:lang w:val="fr-CH"/>
        </w:rPr>
        <w:t>ans, et il devrait s</w:t>
      </w:r>
      <w:r w:rsidRPr="00C95F47">
        <w:rPr>
          <w:lang w:val="fr-CH"/>
        </w:rPr>
        <w:t>’</w:t>
      </w:r>
      <w:r w:rsidR="00EB30A6" w:rsidRPr="00C95F47">
        <w:rPr>
          <w:lang w:val="fr-CH"/>
        </w:rPr>
        <w:t>appliquer uniquement au siège passager latéral avant dans les conditions de charge et d</w:t>
      </w:r>
      <w:r w:rsidRPr="00C95F47">
        <w:rPr>
          <w:lang w:val="fr-CH"/>
        </w:rPr>
        <w:t>’</w:t>
      </w:r>
      <w:r w:rsidR="00EB30A6" w:rsidRPr="00C95F47">
        <w:rPr>
          <w:lang w:val="fr-CH"/>
        </w:rPr>
        <w:t xml:space="preserve">essai spécifiées dans </w:t>
      </w:r>
      <w:r w:rsidR="00BE13E5" w:rsidRPr="00C95F47">
        <w:rPr>
          <w:lang w:val="fr-CH"/>
        </w:rPr>
        <w:t>le présent Règlement. Il </w:t>
      </w:r>
      <w:r w:rsidR="00EB30A6" w:rsidRPr="00C95F47">
        <w:rPr>
          <w:lang w:val="fr-CH"/>
        </w:rPr>
        <w:t>conviendra de n</w:t>
      </w:r>
      <w:r w:rsidRPr="00C95F47">
        <w:rPr>
          <w:lang w:val="fr-CH"/>
        </w:rPr>
        <w:t>’</w:t>
      </w:r>
      <w:r w:rsidR="00EB30A6" w:rsidRPr="00C95F47">
        <w:rPr>
          <w:lang w:val="fr-CH"/>
        </w:rPr>
        <w:t>en étendre l</w:t>
      </w:r>
      <w:r w:rsidRPr="00C95F47">
        <w:rPr>
          <w:lang w:val="fr-CH"/>
        </w:rPr>
        <w:t>’</w:t>
      </w:r>
      <w:r w:rsidR="00EB30A6" w:rsidRPr="00C95F47">
        <w:rPr>
          <w:lang w:val="fr-CH"/>
        </w:rPr>
        <w:t>utilisation qu</w:t>
      </w:r>
      <w:r w:rsidRPr="00C95F47">
        <w:rPr>
          <w:lang w:val="fr-CH"/>
        </w:rPr>
        <w:t>’</w:t>
      </w:r>
      <w:r w:rsidR="00EB30A6" w:rsidRPr="00C95F47">
        <w:rPr>
          <w:lang w:val="fr-CH"/>
        </w:rPr>
        <w:t>après des études plus poussées.</w:t>
      </w:r>
      <w:r w:rsidR="00BE13E5" w:rsidRPr="00C95F47">
        <w:rPr>
          <w:lang w:val="fr-CH"/>
        </w:rPr>
        <w:t> </w:t>
      </w:r>
      <w:r w:rsidR="00BE13E5" w:rsidRPr="00C95F47">
        <w:rPr>
          <w:sz w:val="20"/>
          <w:lang w:val="fr-CH"/>
        </w:rPr>
        <w:t>».</w:t>
      </w:r>
    </w:p>
    <w:p w:rsidR="00BE13E5" w:rsidRPr="00C95F47" w:rsidRDefault="00BE13E5" w:rsidP="00BE13E5">
      <w:pPr>
        <w:pStyle w:val="SingleTxt"/>
        <w:spacing w:after="0" w:line="120" w:lineRule="exact"/>
        <w:rPr>
          <w:i/>
          <w:sz w:val="10"/>
          <w:lang w:val="fr-CH"/>
        </w:rPr>
      </w:pPr>
    </w:p>
    <w:p w:rsidR="00BE13E5" w:rsidRPr="00C95F47" w:rsidRDefault="00BE13E5" w:rsidP="00BE13E5">
      <w:pPr>
        <w:pStyle w:val="SingleTxt"/>
        <w:spacing w:after="0" w:line="120" w:lineRule="exact"/>
        <w:rPr>
          <w:i/>
          <w:sz w:val="10"/>
          <w:lang w:val="fr-CH"/>
        </w:rPr>
      </w:pPr>
    </w:p>
    <w:p w:rsidR="00EB30A6" w:rsidRPr="00C95F47" w:rsidRDefault="00EB30A6" w:rsidP="00BE13E5">
      <w:pPr>
        <w:pStyle w:val="SingleTxt"/>
        <w:rPr>
          <w:lang w:val="fr-CH"/>
        </w:rPr>
      </w:pPr>
      <w:r w:rsidRPr="00C95F47">
        <w:rPr>
          <w:i/>
          <w:lang w:val="fr-CH"/>
        </w:rPr>
        <w:t>Ajouter les nouveaux paragraphes</w:t>
      </w:r>
      <w:r w:rsidRPr="00C95F47">
        <w:rPr>
          <w:lang w:val="fr-CH"/>
        </w:rPr>
        <w:t xml:space="preserve"> </w:t>
      </w:r>
      <w:r w:rsidRPr="00C95F47">
        <w:rPr>
          <w:i/>
          <w:lang w:val="fr-CH"/>
        </w:rPr>
        <w:t>11. to 11.4</w:t>
      </w:r>
      <w:r w:rsidRPr="00C95F47">
        <w:rPr>
          <w:iCs/>
          <w:lang w:val="fr-CH"/>
        </w:rPr>
        <w:t>,</w:t>
      </w:r>
      <w:r w:rsidRPr="00C95F47">
        <w:rPr>
          <w:lang w:val="fr-CH"/>
        </w:rPr>
        <w:t xml:space="preserve"> comme suit</w:t>
      </w:r>
      <w:r w:rsidR="00BE13E5" w:rsidRPr="00C95F47">
        <w:rPr>
          <w:lang w:val="fr-CH"/>
        </w:rPr>
        <w:t> </w:t>
      </w:r>
      <w:r w:rsidRPr="00C95F47">
        <w:rPr>
          <w:lang w:val="fr-CH"/>
        </w:rPr>
        <w:t>:</w:t>
      </w:r>
    </w:p>
    <w:p w:rsidR="00BE13E5" w:rsidRPr="00C95F47" w:rsidRDefault="00BE13E5" w:rsidP="00BE13E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  <w:szCs w:val="20"/>
          <w:lang w:val="fr-CH"/>
        </w:rPr>
      </w:pPr>
    </w:p>
    <w:p w:rsidR="00BE13E5" w:rsidRPr="00C95F47" w:rsidRDefault="00BE13E5" w:rsidP="00BE13E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  <w:szCs w:val="20"/>
          <w:lang w:val="fr-CH"/>
        </w:rPr>
      </w:pPr>
    </w:p>
    <w:p w:rsidR="00EB30A6" w:rsidRPr="00C95F47" w:rsidRDefault="00BE13E5" w:rsidP="00BE13E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95F47">
        <w:rPr>
          <w:lang w:val="fr-CH"/>
        </w:rPr>
        <w:tab/>
      </w:r>
      <w:r w:rsidRPr="00C95F47">
        <w:rPr>
          <w:lang w:val="fr-CH"/>
        </w:rPr>
        <w:tab/>
      </w:r>
      <w:r w:rsidR="00C95F47" w:rsidRPr="00C95F47">
        <w:rPr>
          <w:b w:val="0"/>
          <w:bCs/>
          <w:sz w:val="20"/>
          <w:szCs w:val="20"/>
          <w:lang w:val="fr-CH"/>
        </w:rPr>
        <w:t>« </w:t>
      </w:r>
      <w:r w:rsidR="00EB30A6" w:rsidRPr="00C95F47">
        <w:rPr>
          <w:lang w:val="fr-CH"/>
        </w:rPr>
        <w:t>11.</w:t>
      </w:r>
      <w:r w:rsidRPr="00C95F47">
        <w:rPr>
          <w:lang w:val="fr-CH"/>
        </w:rPr>
        <w:tab/>
      </w:r>
      <w:r w:rsidR="00EB30A6" w:rsidRPr="00C95F47">
        <w:rPr>
          <w:lang w:val="fr-CH"/>
        </w:rPr>
        <w:t>Dispositions transitoires</w:t>
      </w:r>
    </w:p>
    <w:p w:rsidR="00BE13E5" w:rsidRPr="00C95F47" w:rsidRDefault="00BE13E5" w:rsidP="00BE13E5">
      <w:pPr>
        <w:pStyle w:val="SingleTxt"/>
        <w:spacing w:after="0" w:line="120" w:lineRule="exact"/>
        <w:ind w:left="2218" w:hanging="951"/>
        <w:rPr>
          <w:b/>
          <w:sz w:val="10"/>
          <w:lang w:val="fr-CH"/>
        </w:rPr>
      </w:pPr>
    </w:p>
    <w:p w:rsidR="00BE13E5" w:rsidRPr="00C95F47" w:rsidRDefault="00BE13E5" w:rsidP="00BE13E5">
      <w:pPr>
        <w:pStyle w:val="SingleTxt"/>
        <w:spacing w:after="0" w:line="120" w:lineRule="exact"/>
        <w:ind w:left="2218" w:hanging="951"/>
        <w:rPr>
          <w:b/>
          <w:sz w:val="10"/>
          <w:lang w:val="fr-CH"/>
        </w:rPr>
      </w:pPr>
    </w:p>
    <w:p w:rsidR="00EB30A6" w:rsidRPr="00C95F47" w:rsidRDefault="00EB30A6" w:rsidP="00BE13E5">
      <w:pPr>
        <w:pStyle w:val="SingleTxt"/>
        <w:ind w:left="2218" w:hanging="951"/>
        <w:rPr>
          <w:b/>
          <w:lang w:val="fr-CH"/>
        </w:rPr>
      </w:pPr>
      <w:r w:rsidRPr="00C95F47">
        <w:rPr>
          <w:b/>
          <w:lang w:val="fr-CH"/>
        </w:rPr>
        <w:t>11.1</w:t>
      </w:r>
      <w:r w:rsidRPr="00C95F47">
        <w:rPr>
          <w:b/>
          <w:lang w:val="fr-CH"/>
        </w:rPr>
        <w:tab/>
      </w:r>
      <w:r w:rsidR="00BE13E5" w:rsidRPr="00C95F47">
        <w:rPr>
          <w:b/>
          <w:lang w:val="fr-CH"/>
        </w:rPr>
        <w:tab/>
      </w:r>
      <w:r w:rsidRPr="00C95F47">
        <w:rPr>
          <w:b/>
          <w:lang w:val="fr-CH"/>
        </w:rPr>
        <w:t>À compter de la date officielle d</w:t>
      </w:r>
      <w:r w:rsidR="00C95F47" w:rsidRPr="00C95F47">
        <w:rPr>
          <w:b/>
          <w:lang w:val="fr-CH"/>
        </w:rPr>
        <w:t>’</w:t>
      </w:r>
      <w:r w:rsidRPr="00C95F47">
        <w:rPr>
          <w:b/>
          <w:lang w:val="fr-CH"/>
        </w:rPr>
        <w:t>entrée en vigueur de la</w:t>
      </w:r>
      <w:r w:rsidR="00BE13E5" w:rsidRPr="00C95F47">
        <w:rPr>
          <w:b/>
          <w:lang w:val="fr-CH"/>
        </w:rPr>
        <w:t xml:space="preserve"> série </w:t>
      </w:r>
      <w:r w:rsidRPr="00C95F47">
        <w:rPr>
          <w:b/>
          <w:lang w:val="fr-CH"/>
        </w:rPr>
        <w:t>01 d</w:t>
      </w:r>
      <w:r w:rsidR="00C95F47" w:rsidRPr="00C95F47">
        <w:rPr>
          <w:b/>
          <w:lang w:val="fr-CH"/>
        </w:rPr>
        <w:t>’</w:t>
      </w:r>
      <w:r w:rsidRPr="00C95F47">
        <w:rPr>
          <w:b/>
          <w:lang w:val="fr-CH"/>
        </w:rPr>
        <w:t>amendements au présent Règlement, aucune Partie contractante appliquant ledit Règlement ne pourra refuser d</w:t>
      </w:r>
      <w:r w:rsidR="00C95F47" w:rsidRPr="00C95F47">
        <w:rPr>
          <w:b/>
          <w:lang w:val="fr-CH"/>
        </w:rPr>
        <w:t>’</w:t>
      </w:r>
      <w:r w:rsidRPr="00C95F47">
        <w:rPr>
          <w:b/>
          <w:lang w:val="fr-CH"/>
        </w:rPr>
        <w:t>accorder ou refuser d</w:t>
      </w:r>
      <w:r w:rsidR="00C95F47" w:rsidRPr="00C95F47">
        <w:rPr>
          <w:b/>
          <w:lang w:val="fr-CH"/>
        </w:rPr>
        <w:t>’</w:t>
      </w:r>
      <w:r w:rsidRPr="00C95F47">
        <w:rPr>
          <w:b/>
          <w:lang w:val="fr-CH"/>
        </w:rPr>
        <w:t>accepter une homologation de type au titre du présent</w:t>
      </w:r>
      <w:r w:rsidR="00BE13E5" w:rsidRPr="00C95F47">
        <w:rPr>
          <w:b/>
          <w:lang w:val="fr-CH"/>
        </w:rPr>
        <w:t xml:space="preserve"> Règlement modifié par la série </w:t>
      </w:r>
      <w:r w:rsidRPr="00C95F47">
        <w:rPr>
          <w:b/>
          <w:lang w:val="fr-CH"/>
        </w:rPr>
        <w:t>01 d</w:t>
      </w:r>
      <w:r w:rsidR="00C95F47" w:rsidRPr="00C95F47">
        <w:rPr>
          <w:b/>
          <w:lang w:val="fr-CH"/>
        </w:rPr>
        <w:t>’</w:t>
      </w:r>
      <w:r w:rsidRPr="00C95F47">
        <w:rPr>
          <w:b/>
          <w:lang w:val="fr-CH"/>
        </w:rPr>
        <w:t>amendements.</w:t>
      </w:r>
    </w:p>
    <w:p w:rsidR="00EB30A6" w:rsidRPr="00C95F47" w:rsidRDefault="00EB30A6" w:rsidP="00BE13E5">
      <w:pPr>
        <w:pStyle w:val="SingleTxt"/>
        <w:ind w:left="2218" w:hanging="951"/>
        <w:rPr>
          <w:b/>
          <w:lang w:val="fr-CH"/>
        </w:rPr>
      </w:pPr>
      <w:r w:rsidRPr="00C95F47">
        <w:rPr>
          <w:b/>
          <w:lang w:val="fr-CH"/>
        </w:rPr>
        <w:t>11.2</w:t>
      </w:r>
      <w:r w:rsidRPr="00C95F47">
        <w:rPr>
          <w:b/>
          <w:lang w:val="fr-CH"/>
        </w:rPr>
        <w:tab/>
      </w:r>
      <w:r w:rsidR="00BE13E5" w:rsidRPr="00C95F47">
        <w:rPr>
          <w:b/>
          <w:lang w:val="fr-CH"/>
        </w:rPr>
        <w:tab/>
      </w:r>
      <w:r w:rsidRPr="00C95F47">
        <w:rPr>
          <w:b/>
          <w:lang w:val="fr-CH"/>
        </w:rPr>
        <w:t>Même après l</w:t>
      </w:r>
      <w:r w:rsidR="00C95F47" w:rsidRPr="00C95F47">
        <w:rPr>
          <w:b/>
          <w:lang w:val="fr-CH"/>
        </w:rPr>
        <w:t>’</w:t>
      </w:r>
      <w:r w:rsidR="00BE13E5" w:rsidRPr="00C95F47">
        <w:rPr>
          <w:b/>
          <w:lang w:val="fr-CH"/>
        </w:rPr>
        <w:t>entrée en vigueur de la série </w:t>
      </w:r>
      <w:r w:rsidRPr="00C95F47">
        <w:rPr>
          <w:b/>
          <w:lang w:val="fr-CH"/>
        </w:rPr>
        <w:t>01 d</w:t>
      </w:r>
      <w:r w:rsidR="00C95F47" w:rsidRPr="00C95F47">
        <w:rPr>
          <w:b/>
          <w:lang w:val="fr-CH"/>
        </w:rPr>
        <w:t>’</w:t>
      </w:r>
      <w:r w:rsidRPr="00C95F47">
        <w:rPr>
          <w:b/>
          <w:lang w:val="fr-CH"/>
        </w:rPr>
        <w:t>amendements, les Parties contractantes appliquant le présent Règlement pourront continuer à délivrer des homologations de type et ne pourront refuser de délivrer des extensions d</w:t>
      </w:r>
      <w:r w:rsidR="00C95F47" w:rsidRPr="00C95F47">
        <w:rPr>
          <w:b/>
          <w:lang w:val="fr-CH"/>
        </w:rPr>
        <w:t>’</w:t>
      </w:r>
      <w:r w:rsidRPr="00C95F47">
        <w:rPr>
          <w:b/>
          <w:lang w:val="fr-CH"/>
        </w:rPr>
        <w:t>homologation au titre du présent Règlement sous sa forme initiale.</w:t>
      </w:r>
    </w:p>
    <w:p w:rsidR="00EB30A6" w:rsidRPr="00C95F47" w:rsidRDefault="00EB30A6" w:rsidP="00BE13E5">
      <w:pPr>
        <w:pStyle w:val="SingleTxt"/>
        <w:ind w:left="2218" w:hanging="951"/>
        <w:rPr>
          <w:b/>
          <w:lang w:val="fr-CH"/>
        </w:rPr>
      </w:pPr>
      <w:r w:rsidRPr="00C95F47">
        <w:rPr>
          <w:b/>
          <w:lang w:val="fr-CH"/>
        </w:rPr>
        <w:t>11.3</w:t>
      </w:r>
      <w:r w:rsidR="00BE13E5" w:rsidRPr="00C95F47">
        <w:rPr>
          <w:b/>
          <w:lang w:val="fr-CH"/>
        </w:rPr>
        <w:tab/>
      </w:r>
      <w:r w:rsidR="00BE13E5" w:rsidRPr="00C95F47">
        <w:rPr>
          <w:b/>
          <w:lang w:val="fr-CH"/>
        </w:rPr>
        <w:tab/>
        <w:t>À compter du 1</w:t>
      </w:r>
      <w:r w:rsidR="00BE13E5" w:rsidRPr="00C95F47">
        <w:rPr>
          <w:b/>
          <w:vertAlign w:val="superscript"/>
          <w:lang w:val="fr-CH"/>
        </w:rPr>
        <w:t>er</w:t>
      </w:r>
      <w:r w:rsidR="00BE13E5" w:rsidRPr="00C95F47">
        <w:rPr>
          <w:b/>
          <w:lang w:val="fr-CH"/>
        </w:rPr>
        <w:t> </w:t>
      </w:r>
      <w:r w:rsidRPr="00C95F47">
        <w:rPr>
          <w:b/>
          <w:lang w:val="fr-CH"/>
        </w:rPr>
        <w:t>septembre 2020, les Parties contractantes appliquant le présent Règlement ne seront plus tenues d</w:t>
      </w:r>
      <w:r w:rsidR="00C95F47" w:rsidRPr="00C95F47">
        <w:rPr>
          <w:b/>
          <w:lang w:val="fr-CH"/>
        </w:rPr>
        <w:t>’</w:t>
      </w:r>
      <w:r w:rsidRPr="00C95F47">
        <w:rPr>
          <w:b/>
          <w:lang w:val="fr-CH"/>
        </w:rPr>
        <w:t>accepter des homologations de type délivrées au titre dudit Règlement sous sa forme initiale.</w:t>
      </w:r>
    </w:p>
    <w:p w:rsidR="00EB30A6" w:rsidRPr="00C95F47" w:rsidRDefault="00EB30A6" w:rsidP="00BE13E5">
      <w:pPr>
        <w:pStyle w:val="SingleTxt"/>
        <w:ind w:left="2218" w:hanging="951"/>
        <w:rPr>
          <w:lang w:val="fr-CH"/>
        </w:rPr>
      </w:pPr>
      <w:r w:rsidRPr="00C95F47">
        <w:rPr>
          <w:b/>
          <w:lang w:val="fr-CH"/>
        </w:rPr>
        <w:t>11.4</w:t>
      </w:r>
      <w:r w:rsidR="00BE13E5" w:rsidRPr="00C95F47">
        <w:rPr>
          <w:b/>
          <w:lang w:val="fr-CH"/>
        </w:rPr>
        <w:tab/>
      </w:r>
      <w:r w:rsidRPr="00C95F47">
        <w:rPr>
          <w:b/>
          <w:lang w:val="fr-CH"/>
        </w:rPr>
        <w:tab/>
        <w:t>Après</w:t>
      </w:r>
      <w:r w:rsidR="00BE13E5" w:rsidRPr="00C95F47">
        <w:rPr>
          <w:b/>
          <w:lang w:val="fr-CH"/>
        </w:rPr>
        <w:t xml:space="preserve"> le 1</w:t>
      </w:r>
      <w:r w:rsidR="00BE13E5" w:rsidRPr="00C95F47">
        <w:rPr>
          <w:b/>
          <w:vertAlign w:val="superscript"/>
          <w:lang w:val="fr-CH"/>
        </w:rPr>
        <w:t>er</w:t>
      </w:r>
      <w:r w:rsidR="00BE13E5" w:rsidRPr="00C95F47">
        <w:rPr>
          <w:b/>
          <w:lang w:val="fr-CH"/>
        </w:rPr>
        <w:t> </w:t>
      </w:r>
      <w:r w:rsidRPr="00C95F47">
        <w:rPr>
          <w:b/>
          <w:lang w:val="fr-CH"/>
        </w:rPr>
        <w:t>septembre 2020, les Parties contractantes appliquant le présent Règlement devront continuer d</w:t>
      </w:r>
      <w:r w:rsidR="00C95F47" w:rsidRPr="00C95F47">
        <w:rPr>
          <w:b/>
          <w:lang w:val="fr-CH"/>
        </w:rPr>
        <w:t>’</w:t>
      </w:r>
      <w:r w:rsidRPr="00C95F47">
        <w:rPr>
          <w:b/>
          <w:lang w:val="fr-CH"/>
        </w:rPr>
        <w:t>accepter les homologations de type qui ont été délivrées au titre dudit Règlement avant cette date.</w:t>
      </w:r>
      <w:r w:rsidR="00BE13E5" w:rsidRPr="00C95F47">
        <w:rPr>
          <w:lang w:val="fr-CH"/>
        </w:rPr>
        <w:t> ».</w:t>
      </w:r>
    </w:p>
    <w:p w:rsidR="00EB30A6" w:rsidRPr="00C95F47" w:rsidRDefault="00EB30A6" w:rsidP="00C95F47">
      <w:pPr>
        <w:pStyle w:val="SingleTxt"/>
        <w:keepNext/>
        <w:rPr>
          <w:lang w:val="fr-CH"/>
        </w:rPr>
      </w:pPr>
      <w:r w:rsidRPr="00C95F47">
        <w:rPr>
          <w:i/>
          <w:lang w:val="fr-CH"/>
        </w:rPr>
        <w:lastRenderedPageBreak/>
        <w:t>Annexe 2</w:t>
      </w:r>
      <w:r w:rsidRPr="00C95F47">
        <w:rPr>
          <w:iCs/>
          <w:lang w:val="fr-CH"/>
        </w:rPr>
        <w:t>,</w:t>
      </w:r>
      <w:r w:rsidRPr="00C95F47">
        <w:rPr>
          <w:lang w:val="fr-CH"/>
        </w:rPr>
        <w:t xml:space="preserve"> </w:t>
      </w:r>
      <w:proofErr w:type="gramStart"/>
      <w:r w:rsidRPr="00C95F47">
        <w:rPr>
          <w:lang w:val="fr-CH"/>
        </w:rPr>
        <w:t>modifier</w:t>
      </w:r>
      <w:proofErr w:type="gramEnd"/>
      <w:r w:rsidRPr="00C95F47">
        <w:rPr>
          <w:lang w:val="fr-CH"/>
        </w:rPr>
        <w:t xml:space="preserve"> comme suit</w:t>
      </w:r>
      <w:r w:rsidR="00BE13E5" w:rsidRPr="00C95F47">
        <w:rPr>
          <w:lang w:val="fr-CH"/>
        </w:rPr>
        <w:t> </w:t>
      </w:r>
      <w:r w:rsidRPr="00C95F47">
        <w:rPr>
          <w:lang w:val="fr-CH"/>
        </w:rPr>
        <w:t>:</w:t>
      </w:r>
    </w:p>
    <w:p w:rsidR="00EB30A6" w:rsidRPr="00C95F47" w:rsidRDefault="00BE13E5" w:rsidP="00C95F4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95F47">
        <w:rPr>
          <w:sz w:val="20"/>
          <w:szCs w:val="20"/>
          <w:lang w:val="fr-CH"/>
        </w:rPr>
        <w:t>« </w:t>
      </w:r>
      <w:r w:rsidR="00EB30A6" w:rsidRPr="00C95F47">
        <w:rPr>
          <w:lang w:val="fr-CH"/>
        </w:rPr>
        <w:t>Annexe 2</w:t>
      </w:r>
    </w:p>
    <w:p w:rsidR="00BE13E5" w:rsidRPr="00C95F47" w:rsidRDefault="00BE13E5" w:rsidP="00C95F47">
      <w:pPr>
        <w:pStyle w:val="SingleTxt"/>
        <w:keepNext/>
        <w:spacing w:after="0" w:line="120" w:lineRule="exact"/>
        <w:rPr>
          <w:sz w:val="10"/>
          <w:lang w:val="fr-CH"/>
        </w:rPr>
      </w:pPr>
    </w:p>
    <w:p w:rsidR="00EB30A6" w:rsidRPr="00C95F47" w:rsidRDefault="00BE13E5" w:rsidP="00C95F4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95F47">
        <w:rPr>
          <w:lang w:val="fr-CH"/>
        </w:rPr>
        <w:tab/>
      </w:r>
      <w:r w:rsidRPr="00C95F47">
        <w:rPr>
          <w:lang w:val="fr-CH"/>
        </w:rPr>
        <w:tab/>
      </w:r>
      <w:r w:rsidR="00EB30A6" w:rsidRPr="00C95F47">
        <w:rPr>
          <w:lang w:val="fr-CH"/>
        </w:rPr>
        <w:t>Exemples de marques d</w:t>
      </w:r>
      <w:r w:rsidR="00C95F47" w:rsidRPr="00C95F47">
        <w:rPr>
          <w:lang w:val="fr-CH"/>
        </w:rPr>
        <w:t>’</w:t>
      </w:r>
      <w:r w:rsidR="00EB30A6" w:rsidRPr="00C95F47">
        <w:rPr>
          <w:lang w:val="fr-CH"/>
        </w:rPr>
        <w:t>homologation</w:t>
      </w:r>
    </w:p>
    <w:p w:rsidR="00BE13E5" w:rsidRPr="00C95F47" w:rsidRDefault="00BE13E5" w:rsidP="00C95F47">
      <w:pPr>
        <w:pStyle w:val="SingleTxt"/>
        <w:keepNext/>
        <w:spacing w:after="0" w:line="120" w:lineRule="exact"/>
        <w:rPr>
          <w:sz w:val="10"/>
          <w:lang w:val="fr-CH"/>
        </w:rPr>
      </w:pPr>
    </w:p>
    <w:p w:rsidR="00BE13E5" w:rsidRPr="00C95F47" w:rsidRDefault="00BE13E5" w:rsidP="00C95F47">
      <w:pPr>
        <w:pStyle w:val="SingleTxt"/>
        <w:keepNext/>
        <w:spacing w:after="0" w:line="120" w:lineRule="exact"/>
        <w:rPr>
          <w:sz w:val="10"/>
          <w:lang w:val="fr-CH"/>
        </w:rPr>
      </w:pPr>
    </w:p>
    <w:p w:rsidR="00EB30A6" w:rsidRPr="00C95F47" w:rsidRDefault="00EB30A6" w:rsidP="00C95F47">
      <w:pPr>
        <w:pStyle w:val="SingleTxt"/>
        <w:keepNext/>
        <w:rPr>
          <w:lang w:val="fr-CH"/>
        </w:rPr>
      </w:pPr>
      <w:r w:rsidRPr="00C95F47">
        <w:rPr>
          <w:lang w:val="fr-CH"/>
        </w:rPr>
        <w:t>Modèle A</w:t>
      </w:r>
    </w:p>
    <w:p w:rsidR="00EB30A6" w:rsidRPr="00C95F47" w:rsidRDefault="00EB30A6" w:rsidP="00C95F47">
      <w:pPr>
        <w:pStyle w:val="SingleTxt"/>
        <w:keepNext/>
        <w:rPr>
          <w:lang w:val="fr-CH"/>
        </w:rPr>
      </w:pPr>
      <w:r w:rsidRPr="00C95F47">
        <w:rPr>
          <w:lang w:val="fr-CH"/>
        </w:rPr>
        <w:t>(Voir par.</w:t>
      </w:r>
      <w:r w:rsidR="00C95F47" w:rsidRPr="00C95F47">
        <w:rPr>
          <w:lang w:val="fr-CH"/>
        </w:rPr>
        <w:t> </w:t>
      </w:r>
      <w:r w:rsidRPr="00C95F47">
        <w:rPr>
          <w:lang w:val="fr-CH"/>
        </w:rPr>
        <w:t>4.4 du présent Règlement)</w:t>
      </w:r>
    </w:p>
    <w:p w:rsidR="00C95F47" w:rsidRPr="00C95F47" w:rsidRDefault="00C95F47" w:rsidP="00C95F47">
      <w:pPr>
        <w:pStyle w:val="SingleTxt"/>
        <w:keepNext/>
        <w:spacing w:after="0" w:line="120" w:lineRule="exact"/>
        <w:rPr>
          <w:sz w:val="10"/>
          <w:lang w:val="fr-CH"/>
        </w:rPr>
      </w:pPr>
    </w:p>
    <w:p w:rsidR="00C95F47" w:rsidRPr="00C95F47" w:rsidRDefault="00C95F47" w:rsidP="00C95F47">
      <w:pPr>
        <w:pStyle w:val="SingleTxt"/>
        <w:keepNext/>
        <w:spacing w:after="0" w:line="120" w:lineRule="exact"/>
        <w:rPr>
          <w:sz w:val="10"/>
          <w:lang w:val="fr-CH"/>
        </w:rPr>
      </w:pPr>
    </w:p>
    <w:p w:rsidR="00DD37F2" w:rsidRPr="00C95F47" w:rsidRDefault="00DD37F2" w:rsidP="00830141">
      <w:pPr>
        <w:pStyle w:val="SingleTxt"/>
        <w:spacing w:after="0" w:line="240" w:lineRule="auto"/>
        <w:rPr>
          <w:lang w:val="fr-CH"/>
        </w:rPr>
      </w:pPr>
      <w:r w:rsidRPr="00C95F47">
        <w:rPr>
          <w:noProof/>
          <w:lang w:val="en-GB" w:eastAsia="en-GB"/>
        </w:rPr>
        <w:drawing>
          <wp:inline distT="0" distB="0" distL="0" distR="0" wp14:anchorId="32C5C4C6" wp14:editId="681AAFCD">
            <wp:extent cx="4067175" cy="914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F47" w:rsidRPr="00C95F47" w:rsidRDefault="00C95F47" w:rsidP="00C95F47">
      <w:pPr>
        <w:pStyle w:val="SingleTxt"/>
        <w:spacing w:after="0" w:line="120" w:lineRule="exact"/>
        <w:rPr>
          <w:sz w:val="10"/>
          <w:lang w:val="fr-CH"/>
        </w:rPr>
      </w:pPr>
    </w:p>
    <w:p w:rsidR="00C95F47" w:rsidRPr="00C95F47" w:rsidRDefault="00C95F47" w:rsidP="00C95F47">
      <w:pPr>
        <w:pStyle w:val="SingleTxt"/>
        <w:spacing w:after="0" w:line="120" w:lineRule="exact"/>
        <w:rPr>
          <w:sz w:val="10"/>
          <w:lang w:val="fr-CH"/>
        </w:rPr>
      </w:pPr>
    </w:p>
    <w:p w:rsidR="00EB30A6" w:rsidRPr="00C95F47" w:rsidRDefault="00EB30A6" w:rsidP="00D9182A">
      <w:pPr>
        <w:pStyle w:val="SingleTxt"/>
        <w:rPr>
          <w:lang w:val="fr-CH"/>
        </w:rPr>
      </w:pPr>
      <w:r w:rsidRPr="00C95F47">
        <w:rPr>
          <w:lang w:val="fr-CH"/>
        </w:rPr>
        <w:tab/>
        <w:t>La marque d</w:t>
      </w:r>
      <w:r w:rsidR="00C95F47" w:rsidRPr="00C95F47">
        <w:rPr>
          <w:lang w:val="fr-CH"/>
        </w:rPr>
        <w:t>’</w:t>
      </w:r>
      <w:r w:rsidRPr="00C95F47">
        <w:rPr>
          <w:lang w:val="fr-CH"/>
        </w:rPr>
        <w:t>homologation ci-dessus, apposée sur un véhicule, indique que le type de ce véhicule a été homologué en France (E2) en ce qui concerne la protection des occupants en cas de choc avant, en application du Règlement n</w:t>
      </w:r>
      <w:r w:rsidRPr="00C95F47">
        <w:rPr>
          <w:vertAlign w:val="superscript"/>
          <w:lang w:val="fr-CH"/>
        </w:rPr>
        <w:t>o</w:t>
      </w:r>
      <w:r w:rsidR="00C95F47" w:rsidRPr="00C95F47">
        <w:rPr>
          <w:lang w:val="fr-CH"/>
        </w:rPr>
        <w:t> </w:t>
      </w:r>
      <w:r w:rsidRPr="00C95F47">
        <w:rPr>
          <w:lang w:val="fr-CH"/>
        </w:rPr>
        <w:t>[137], sous le numéro d</w:t>
      </w:r>
      <w:r w:rsidR="00C95F47" w:rsidRPr="00C95F47">
        <w:rPr>
          <w:lang w:val="fr-CH"/>
        </w:rPr>
        <w:t>’</w:t>
      </w:r>
      <w:r w:rsidRPr="00C95F47">
        <w:rPr>
          <w:lang w:val="fr-CH"/>
        </w:rPr>
        <w:t>homologation 011424.</w:t>
      </w:r>
      <w:r w:rsidR="00D9182A">
        <w:rPr>
          <w:lang w:val="fr-CH"/>
        </w:rPr>
        <w:t xml:space="preserve"> </w:t>
      </w:r>
      <w:r w:rsidRPr="00C95F47">
        <w:rPr>
          <w:lang w:val="fr-CH"/>
        </w:rPr>
        <w:t>Le numéro d</w:t>
      </w:r>
      <w:r w:rsidR="00C95F47" w:rsidRPr="00C95F47">
        <w:rPr>
          <w:lang w:val="fr-CH"/>
        </w:rPr>
        <w:t>’</w:t>
      </w:r>
      <w:r w:rsidRPr="00C95F47">
        <w:rPr>
          <w:lang w:val="fr-CH"/>
        </w:rPr>
        <w:t>homologation indique que l</w:t>
      </w:r>
      <w:r w:rsidR="00C95F47" w:rsidRPr="00C95F47">
        <w:rPr>
          <w:lang w:val="fr-CH"/>
        </w:rPr>
        <w:t>’</w:t>
      </w:r>
      <w:r w:rsidRPr="00C95F47">
        <w:rPr>
          <w:lang w:val="fr-CH"/>
        </w:rPr>
        <w:t>homologation a été délivrée conformément aux prescriptions du Règlement n</w:t>
      </w:r>
      <w:r w:rsidRPr="00C95F47">
        <w:rPr>
          <w:vertAlign w:val="superscript"/>
          <w:lang w:val="fr-CH"/>
        </w:rPr>
        <w:t>o</w:t>
      </w:r>
      <w:r w:rsidR="00C95F47" w:rsidRPr="00C95F47">
        <w:rPr>
          <w:lang w:val="fr-CH"/>
        </w:rPr>
        <w:t> </w:t>
      </w:r>
      <w:r w:rsidRPr="00C95F47">
        <w:rPr>
          <w:lang w:val="fr-CH"/>
        </w:rPr>
        <w:t>[137</w:t>
      </w:r>
      <w:r w:rsidR="00C95F47" w:rsidRPr="00C95F47">
        <w:rPr>
          <w:lang w:val="fr-CH"/>
        </w:rPr>
        <w:t>] tel que modifié par la série </w:t>
      </w:r>
      <w:r w:rsidRPr="00C95F47">
        <w:rPr>
          <w:lang w:val="fr-CH"/>
        </w:rPr>
        <w:t>01 d</w:t>
      </w:r>
      <w:r w:rsidR="00C95F47" w:rsidRPr="00C95F47">
        <w:rPr>
          <w:lang w:val="fr-CH"/>
        </w:rPr>
        <w:t>’</w:t>
      </w:r>
      <w:r w:rsidRPr="00C95F47">
        <w:rPr>
          <w:lang w:val="fr-CH"/>
        </w:rPr>
        <w:t>amendements.</w:t>
      </w:r>
    </w:p>
    <w:p w:rsidR="00EB30A6" w:rsidRPr="00C95F47" w:rsidRDefault="00EB30A6" w:rsidP="00EB30A6">
      <w:pPr>
        <w:pStyle w:val="SingleTxt"/>
        <w:rPr>
          <w:lang w:val="fr-CH"/>
        </w:rPr>
      </w:pPr>
      <w:r w:rsidRPr="00C95F47">
        <w:rPr>
          <w:lang w:val="fr-CH"/>
        </w:rPr>
        <w:t>Modèle B</w:t>
      </w:r>
    </w:p>
    <w:p w:rsidR="00EB30A6" w:rsidRPr="00C95F47" w:rsidRDefault="00EB30A6" w:rsidP="00EB30A6">
      <w:pPr>
        <w:pStyle w:val="SingleTxt"/>
        <w:rPr>
          <w:lang w:val="fr-CH"/>
        </w:rPr>
      </w:pPr>
      <w:r w:rsidRPr="00C95F47">
        <w:rPr>
          <w:lang w:val="fr-CH"/>
        </w:rPr>
        <w:t>(Voir par.</w:t>
      </w:r>
      <w:r w:rsidR="00C95F47" w:rsidRPr="00C95F47">
        <w:rPr>
          <w:lang w:val="fr-CH"/>
        </w:rPr>
        <w:t> </w:t>
      </w:r>
      <w:r w:rsidRPr="00C95F47">
        <w:rPr>
          <w:lang w:val="fr-CH"/>
        </w:rPr>
        <w:t>4.5 du présent Règlement)</w:t>
      </w:r>
    </w:p>
    <w:p w:rsidR="00C95F47" w:rsidRPr="00C95F47" w:rsidRDefault="00C95F47" w:rsidP="00C95F47">
      <w:pPr>
        <w:pStyle w:val="SingleTxt"/>
        <w:spacing w:after="0" w:line="120" w:lineRule="exact"/>
        <w:rPr>
          <w:sz w:val="10"/>
          <w:lang w:val="fr-CH"/>
        </w:rPr>
      </w:pPr>
    </w:p>
    <w:p w:rsidR="00C95F47" w:rsidRPr="00C95F47" w:rsidRDefault="00C95F47" w:rsidP="00C95F47">
      <w:pPr>
        <w:pStyle w:val="SingleTxt"/>
        <w:spacing w:after="0" w:line="120" w:lineRule="exact"/>
        <w:rPr>
          <w:sz w:val="10"/>
          <w:lang w:val="fr-CH"/>
        </w:rPr>
      </w:pPr>
    </w:p>
    <w:p w:rsidR="00BE13E5" w:rsidRPr="00C95F47" w:rsidRDefault="00BE13E5" w:rsidP="00830141">
      <w:pPr>
        <w:pStyle w:val="SingleTxt"/>
        <w:spacing w:after="0" w:line="240" w:lineRule="auto"/>
        <w:rPr>
          <w:lang w:val="fr-CH"/>
        </w:rPr>
      </w:pPr>
      <w:r w:rsidRPr="00C95F47">
        <w:rPr>
          <w:noProof/>
          <w:lang w:val="en-GB" w:eastAsia="en-GB"/>
        </w:rPr>
        <w:drawing>
          <wp:inline distT="0" distB="0" distL="0" distR="0" wp14:anchorId="62D73D70" wp14:editId="765CD617">
            <wp:extent cx="3848100" cy="962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F47" w:rsidRPr="00C95F47" w:rsidRDefault="00C95F47" w:rsidP="00C95F47">
      <w:pPr>
        <w:pStyle w:val="SingleTxt"/>
        <w:spacing w:after="0" w:line="120" w:lineRule="exact"/>
        <w:rPr>
          <w:sz w:val="10"/>
          <w:lang w:val="fr-CH"/>
        </w:rPr>
      </w:pPr>
    </w:p>
    <w:p w:rsidR="00C95F47" w:rsidRPr="00C95F47" w:rsidRDefault="00C95F47" w:rsidP="00C95F47">
      <w:pPr>
        <w:pStyle w:val="SingleTxt"/>
        <w:spacing w:after="0" w:line="120" w:lineRule="exact"/>
        <w:rPr>
          <w:sz w:val="10"/>
          <w:lang w:val="fr-CH"/>
        </w:rPr>
      </w:pPr>
    </w:p>
    <w:p w:rsidR="00BE13E5" w:rsidRPr="00C95F47" w:rsidRDefault="00BE13E5" w:rsidP="00D9182A">
      <w:pPr>
        <w:pStyle w:val="SingleTxt"/>
        <w:rPr>
          <w:lang w:val="fr-CH"/>
        </w:rPr>
      </w:pPr>
      <w:r w:rsidRPr="00C95F47">
        <w:rPr>
          <w:lang w:val="fr-CH"/>
        </w:rPr>
        <w:tab/>
        <w:t>La marque d</w:t>
      </w:r>
      <w:r w:rsidR="00C95F47" w:rsidRPr="00C95F47">
        <w:rPr>
          <w:lang w:val="fr-CH"/>
        </w:rPr>
        <w:t>’</w:t>
      </w:r>
      <w:r w:rsidRPr="00C95F47">
        <w:rPr>
          <w:lang w:val="fr-CH"/>
        </w:rPr>
        <w:t>homologation ci-dessus, apposée sur un véhicule, indique que le type de ce véhicule a été homologué aux Pays-Bas (E4), en application des Règlements n</w:t>
      </w:r>
      <w:r w:rsidRPr="00C95F47">
        <w:rPr>
          <w:vertAlign w:val="superscript"/>
          <w:lang w:val="fr-CH"/>
        </w:rPr>
        <w:t>os</w:t>
      </w:r>
      <w:r w:rsidR="00C95F47" w:rsidRPr="00C95F47">
        <w:rPr>
          <w:lang w:val="fr-CH"/>
        </w:rPr>
        <w:t> </w:t>
      </w:r>
      <w:r w:rsidRPr="00C95F47">
        <w:rPr>
          <w:lang w:val="fr-CH"/>
        </w:rPr>
        <w:t>[137] et 11</w:t>
      </w:r>
      <w:r w:rsidRPr="00C95F47">
        <w:rPr>
          <w:rStyle w:val="FootnoteReference"/>
          <w:lang w:val="fr-CH"/>
        </w:rPr>
        <w:footnoteReference w:id="2"/>
      </w:r>
      <w:r w:rsidRPr="00C95F47">
        <w:rPr>
          <w:lang w:val="fr-CH"/>
        </w:rPr>
        <w:t>.</w:t>
      </w:r>
      <w:bookmarkStart w:id="1" w:name="insstart"/>
      <w:bookmarkEnd w:id="1"/>
      <w:r w:rsidR="00D9182A">
        <w:rPr>
          <w:lang w:val="fr-CH"/>
        </w:rPr>
        <w:t xml:space="preserve"> </w:t>
      </w:r>
      <w:r w:rsidRPr="00C95F47">
        <w:rPr>
          <w:lang w:val="fr-CH"/>
        </w:rPr>
        <w:t>Les deux premiers chiffres des numéros d</w:t>
      </w:r>
      <w:r w:rsidR="00C95F47" w:rsidRPr="00C95F47">
        <w:rPr>
          <w:lang w:val="fr-CH"/>
        </w:rPr>
        <w:t>’</w:t>
      </w:r>
      <w:r w:rsidRPr="00C95F47">
        <w:rPr>
          <w:lang w:val="fr-CH"/>
        </w:rPr>
        <w:t>homologation signifient qu</w:t>
      </w:r>
      <w:r w:rsidR="00C95F47" w:rsidRPr="00C95F47">
        <w:rPr>
          <w:lang w:val="fr-CH"/>
        </w:rPr>
        <w:t>’</w:t>
      </w:r>
      <w:r w:rsidRPr="00C95F47">
        <w:rPr>
          <w:lang w:val="fr-CH"/>
        </w:rPr>
        <w:t>aux dates où les homologations respectives ont été délivrées, le Règlement n</w:t>
      </w:r>
      <w:r w:rsidRPr="00C95F47">
        <w:rPr>
          <w:vertAlign w:val="superscript"/>
          <w:lang w:val="fr-CH"/>
        </w:rPr>
        <w:t>o</w:t>
      </w:r>
      <w:r w:rsidRPr="00C95F47">
        <w:rPr>
          <w:lang w:val="fr-CH"/>
        </w:rPr>
        <w:t> [137] incluait</w:t>
      </w:r>
      <w:r w:rsidR="00C95F47" w:rsidRPr="00C95F47">
        <w:rPr>
          <w:lang w:val="fr-CH"/>
        </w:rPr>
        <w:t xml:space="preserve"> la série </w:t>
      </w:r>
      <w:r w:rsidRPr="00C95F47">
        <w:rPr>
          <w:lang w:val="fr-CH"/>
        </w:rPr>
        <w:t>01 d</w:t>
      </w:r>
      <w:r w:rsidR="00C95F47" w:rsidRPr="00C95F47">
        <w:rPr>
          <w:lang w:val="fr-CH"/>
        </w:rPr>
        <w:t>’</w:t>
      </w:r>
      <w:r w:rsidRPr="00C95F47">
        <w:rPr>
          <w:lang w:val="fr-CH"/>
        </w:rPr>
        <w:t>amendements et le Règlement n</w:t>
      </w:r>
      <w:r w:rsidRPr="00C95F47">
        <w:rPr>
          <w:vertAlign w:val="superscript"/>
          <w:lang w:val="fr-CH"/>
        </w:rPr>
        <w:t>o</w:t>
      </w:r>
      <w:r w:rsidRPr="00C95F47">
        <w:rPr>
          <w:lang w:val="fr-CH"/>
        </w:rPr>
        <w:t> </w:t>
      </w:r>
      <w:r w:rsidR="00C95F47" w:rsidRPr="00C95F47">
        <w:rPr>
          <w:lang w:val="fr-CH"/>
        </w:rPr>
        <w:t>11 la série </w:t>
      </w:r>
      <w:r w:rsidRPr="00C95F47">
        <w:rPr>
          <w:lang w:val="fr-CH"/>
        </w:rPr>
        <w:t>02 d</w:t>
      </w:r>
      <w:r w:rsidR="00C95F47" w:rsidRPr="00C95F47">
        <w:rPr>
          <w:lang w:val="fr-CH"/>
        </w:rPr>
        <w:t>’</w:t>
      </w:r>
      <w:r w:rsidRPr="00C95F47">
        <w:rPr>
          <w:lang w:val="fr-CH"/>
        </w:rPr>
        <w:t>amendements. »</w:t>
      </w:r>
      <w:r w:rsidR="00C95F47" w:rsidRPr="00C95F47">
        <w:rPr>
          <w:lang w:val="fr-CH"/>
        </w:rPr>
        <w:t>.</w:t>
      </w:r>
    </w:p>
    <w:p w:rsidR="00BE13E5" w:rsidRPr="00C95F47" w:rsidRDefault="00BE13E5" w:rsidP="00BE13E5">
      <w:pPr>
        <w:pStyle w:val="SingleTxt"/>
        <w:spacing w:after="0" w:line="240" w:lineRule="auto"/>
        <w:rPr>
          <w:lang w:val="fr-CH"/>
        </w:rPr>
      </w:pPr>
      <w:r w:rsidRPr="00C95F47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E197A" wp14:editId="00745788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AI&#10;dJTs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BE13E5" w:rsidRPr="00C95F47" w:rsidSect="005405C3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E0" w:rsidRDefault="007D78E0" w:rsidP="00F3330B">
      <w:pPr>
        <w:spacing w:line="240" w:lineRule="auto"/>
      </w:pPr>
      <w:r>
        <w:separator/>
      </w:r>
    </w:p>
  </w:endnote>
  <w:endnote w:type="continuationSeparator" w:id="0">
    <w:p w:rsidR="007D78E0" w:rsidRDefault="007D78E0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5405C3" w:rsidTr="005405C3">
      <w:trPr>
        <w:jc w:val="center"/>
      </w:trPr>
      <w:tc>
        <w:tcPr>
          <w:tcW w:w="5088" w:type="dxa"/>
          <w:shd w:val="clear" w:color="auto" w:fill="auto"/>
        </w:tcPr>
        <w:p w:rsidR="005405C3" w:rsidRPr="005405C3" w:rsidRDefault="005405C3" w:rsidP="005405C3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94CC8">
            <w:rPr>
              <w:b w:val="0"/>
              <w:w w:val="103"/>
              <w:sz w:val="14"/>
            </w:rPr>
            <w:t>GE.15-14280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5405C3" w:rsidRPr="005405C3" w:rsidRDefault="005405C3" w:rsidP="005405C3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C384E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C384E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5405C3" w:rsidRPr="005405C3" w:rsidRDefault="005405C3" w:rsidP="00540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5405C3" w:rsidTr="005405C3">
      <w:trPr>
        <w:jc w:val="center"/>
      </w:trPr>
      <w:tc>
        <w:tcPr>
          <w:tcW w:w="5088" w:type="dxa"/>
          <w:shd w:val="clear" w:color="auto" w:fill="auto"/>
        </w:tcPr>
        <w:p w:rsidR="005405C3" w:rsidRPr="005405C3" w:rsidRDefault="005405C3" w:rsidP="005405C3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C384E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C384E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5405C3" w:rsidRPr="005405C3" w:rsidRDefault="005405C3" w:rsidP="005405C3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94CC8">
            <w:rPr>
              <w:b w:val="0"/>
              <w:w w:val="103"/>
              <w:sz w:val="14"/>
            </w:rPr>
            <w:t>GE.15-14280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5405C3" w:rsidRPr="005405C3" w:rsidRDefault="005405C3" w:rsidP="005405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C3" w:rsidRDefault="005405C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0F3A54D" wp14:editId="5E196179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106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106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5405C3" w:rsidTr="005405C3">
      <w:tc>
        <w:tcPr>
          <w:tcW w:w="3859" w:type="dxa"/>
        </w:tcPr>
        <w:p w:rsidR="005405C3" w:rsidRDefault="005405C3" w:rsidP="005405C3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E94CC8">
            <w:rPr>
              <w:b w:val="0"/>
              <w:sz w:val="20"/>
            </w:rPr>
            <w:t>GE.15-14280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301015    301015</w:t>
          </w:r>
        </w:p>
        <w:p w:rsidR="005405C3" w:rsidRPr="005405C3" w:rsidRDefault="005405C3" w:rsidP="005405C3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E94CC8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*1514280*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5405C3" w:rsidRDefault="005405C3" w:rsidP="005405C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EBD4B62" wp14:editId="0F019BB6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405C3" w:rsidRPr="005405C3" w:rsidRDefault="005405C3" w:rsidP="005405C3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E0" w:rsidRPr="00EB30A6" w:rsidRDefault="00EB30A6" w:rsidP="00EB30A6">
      <w:pPr>
        <w:pStyle w:val="Footer"/>
        <w:spacing w:after="80"/>
        <w:ind w:left="792"/>
        <w:rPr>
          <w:sz w:val="16"/>
        </w:rPr>
      </w:pPr>
      <w:r w:rsidRPr="00EB30A6">
        <w:rPr>
          <w:sz w:val="16"/>
        </w:rPr>
        <w:t>__________________</w:t>
      </w:r>
    </w:p>
  </w:footnote>
  <w:footnote w:type="continuationSeparator" w:id="0">
    <w:p w:rsidR="007D78E0" w:rsidRPr="00EB30A6" w:rsidRDefault="00EB30A6" w:rsidP="00EB30A6">
      <w:pPr>
        <w:pStyle w:val="Footer"/>
        <w:spacing w:after="80"/>
        <w:ind w:left="792"/>
        <w:rPr>
          <w:sz w:val="16"/>
        </w:rPr>
      </w:pPr>
      <w:r w:rsidRPr="00EB30A6">
        <w:rPr>
          <w:sz w:val="16"/>
        </w:rPr>
        <w:t>__________________</w:t>
      </w:r>
    </w:p>
  </w:footnote>
  <w:footnote w:id="1">
    <w:p w:rsidR="00EB30A6" w:rsidRPr="00EB30A6" w:rsidRDefault="00EB30A6" w:rsidP="00EB30A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 w:rsidRPr="00EB30A6">
        <w:tab/>
      </w:r>
      <w:r w:rsidRPr="00EB30A6">
        <w:rPr>
          <w:rStyle w:val="FootnoteReference"/>
          <w:vertAlign w:val="baseline"/>
        </w:rPr>
        <w:t>*</w:t>
      </w:r>
      <w:r w:rsidRPr="00EB30A6">
        <w:rPr>
          <w:rStyle w:val="FootnoteReference"/>
          <w:vertAlign w:val="baseline"/>
        </w:rPr>
        <w:tab/>
      </w:r>
      <w:r>
        <w:t>Conformément au programme de travail du Comité des transports intérieurs pour la période 2012-2016 (ECE/TRANS/224, par.</w:t>
      </w:r>
      <w:r w:rsidR="00BE13E5">
        <w:t> </w:t>
      </w:r>
      <w:r>
        <w:t>94,</w:t>
      </w:r>
      <w:r w:rsidR="00BE13E5">
        <w:t xml:space="preserve"> et ECE/TRANS/2012/12, activité </w:t>
      </w:r>
      <w:r>
        <w:t>02.4), le Forum mondial a pour mission d</w:t>
      </w:r>
      <w:r w:rsidR="00C95F47">
        <w:t>’</w:t>
      </w:r>
      <w:r>
        <w:t>élaborer, d</w:t>
      </w:r>
      <w:r w:rsidR="00C95F47">
        <w:t>’</w:t>
      </w:r>
      <w:r>
        <w:t>harmoniser et de mettre à jour les Règlements en vue d</w:t>
      </w:r>
      <w:r w:rsidR="00C95F47">
        <w:t>’</w:t>
      </w:r>
      <w:r>
        <w:t>améliorer les caractéristiques fonctionnelles des véhicules. Le présent document est soumis en vertu de ce mandat.</w:t>
      </w:r>
    </w:p>
  </w:footnote>
  <w:footnote w:id="2">
    <w:p w:rsidR="00BE13E5" w:rsidRPr="00BE13E5" w:rsidRDefault="00BE13E5" w:rsidP="00BE13E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spacing w:val="5"/>
          <w:w w:val="104"/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BE13E5">
        <w:rPr>
          <w:lang w:val="fr-CH"/>
        </w:rPr>
        <w:t>Le second numéro n</w:t>
      </w:r>
      <w:r w:rsidR="00C95F47">
        <w:rPr>
          <w:lang w:val="fr-CH"/>
        </w:rPr>
        <w:t>’</w:t>
      </w:r>
      <w:r w:rsidRPr="00BE13E5">
        <w:rPr>
          <w:lang w:val="fr-CH"/>
        </w:rPr>
        <w:t>est donné qu</w:t>
      </w:r>
      <w:r w:rsidR="00C95F47">
        <w:rPr>
          <w:lang w:val="fr-CH"/>
        </w:rPr>
        <w:t>’</w:t>
      </w:r>
      <w:r w:rsidRPr="00BE13E5">
        <w:rPr>
          <w:lang w:val="fr-CH"/>
        </w:rPr>
        <w:t>à titre d</w:t>
      </w:r>
      <w:r w:rsidR="00C95F47">
        <w:rPr>
          <w:lang w:val="fr-CH"/>
        </w:rPr>
        <w:t>’</w:t>
      </w:r>
      <w:r w:rsidRPr="00BE13E5">
        <w:rPr>
          <w:lang w:val="fr-CH"/>
        </w:rPr>
        <w:t>exemple.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5405C3" w:rsidTr="005405C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405C3" w:rsidRPr="005405C3" w:rsidRDefault="005405C3" w:rsidP="005405C3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E94CC8">
            <w:rPr>
              <w:b/>
              <w:color w:val="000000"/>
            </w:rPr>
            <w:t>ECE/TRANS/WP.29/2015/106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5405C3" w:rsidRDefault="005405C3" w:rsidP="005405C3">
          <w:pPr>
            <w:pStyle w:val="Header"/>
          </w:pPr>
        </w:p>
      </w:tc>
    </w:tr>
  </w:tbl>
  <w:p w:rsidR="005405C3" w:rsidRPr="005405C3" w:rsidRDefault="005405C3" w:rsidP="005405C3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5405C3" w:rsidTr="005405C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405C3" w:rsidRDefault="005405C3" w:rsidP="005405C3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5405C3" w:rsidRPr="005405C3" w:rsidRDefault="005405C3" w:rsidP="005405C3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E94CC8">
            <w:rPr>
              <w:b/>
              <w:color w:val="000000"/>
            </w:rPr>
            <w:t>ECE/TRANS/WP.29/2015/106</w:t>
          </w:r>
          <w:r>
            <w:rPr>
              <w:b/>
              <w:color w:val="000000"/>
            </w:rPr>
            <w:fldChar w:fldCharType="end"/>
          </w:r>
        </w:p>
      </w:tc>
    </w:tr>
  </w:tbl>
  <w:p w:rsidR="005405C3" w:rsidRPr="005405C3" w:rsidRDefault="005405C3" w:rsidP="005405C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5405C3" w:rsidRPr="00EB30A6" w:rsidTr="005405C3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405C3" w:rsidRPr="00EB30A6" w:rsidRDefault="005405C3" w:rsidP="005405C3">
          <w:pPr>
            <w:pStyle w:val="Header"/>
            <w:spacing w:after="120"/>
            <w:rPr>
              <w:lang w:val="fr-CH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405C3" w:rsidRPr="00EB30A6" w:rsidRDefault="005405C3" w:rsidP="005405C3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CH"/>
            </w:rPr>
          </w:pPr>
          <w:r w:rsidRPr="00EB30A6">
            <w:rPr>
              <w:b w:val="0"/>
              <w:color w:val="010000"/>
              <w:spacing w:val="2"/>
              <w:w w:val="96"/>
              <w:lang w:val="fr-CH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405C3" w:rsidRPr="00EB30A6" w:rsidRDefault="005405C3" w:rsidP="005405C3">
          <w:pPr>
            <w:pStyle w:val="Header"/>
            <w:spacing w:after="120"/>
            <w:rPr>
              <w:lang w:val="fr-CH"/>
            </w:rPr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5405C3" w:rsidRPr="00EB30A6" w:rsidRDefault="005405C3" w:rsidP="005405C3">
          <w:pPr>
            <w:spacing w:after="80" w:line="240" w:lineRule="auto"/>
            <w:jc w:val="right"/>
            <w:rPr>
              <w:position w:val="-4"/>
              <w:lang w:val="fr-CH"/>
            </w:rPr>
          </w:pPr>
          <w:r w:rsidRPr="00EB30A6">
            <w:rPr>
              <w:position w:val="-4"/>
              <w:sz w:val="40"/>
              <w:lang w:val="fr-CH"/>
            </w:rPr>
            <w:t>ECE</w:t>
          </w:r>
          <w:r w:rsidRPr="00EB30A6">
            <w:rPr>
              <w:position w:val="-4"/>
              <w:lang w:val="fr-CH"/>
            </w:rPr>
            <w:t>/TRANS/WP.29/2015/106</w:t>
          </w:r>
        </w:p>
      </w:tc>
    </w:tr>
    <w:tr w:rsidR="005405C3" w:rsidRPr="00EB30A6" w:rsidTr="005405C3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405C3" w:rsidRPr="00EB30A6" w:rsidRDefault="005405C3" w:rsidP="005405C3">
          <w:pPr>
            <w:pStyle w:val="Header"/>
            <w:spacing w:before="120" w:line="240" w:lineRule="auto"/>
            <w:ind w:left="-72"/>
            <w:jc w:val="center"/>
            <w:rPr>
              <w:lang w:val="fr-CH"/>
            </w:rPr>
          </w:pPr>
          <w:r w:rsidRPr="00EB30A6">
            <w:rPr>
              <w:lang w:val="fr-CH"/>
            </w:rPr>
            <w:t xml:space="preserve">  </w:t>
          </w:r>
          <w:r w:rsidRPr="00EB30A6">
            <w:rPr>
              <w:noProof/>
              <w:lang w:val="en-GB" w:eastAsia="en-GB"/>
            </w:rPr>
            <w:drawing>
              <wp:inline distT="0" distB="0" distL="0" distR="0" wp14:anchorId="60481129" wp14:editId="47C73972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405C3" w:rsidRPr="00EB30A6" w:rsidRDefault="005405C3" w:rsidP="005405C3">
          <w:pPr>
            <w:pStyle w:val="XLarge"/>
            <w:spacing w:before="109"/>
            <w:rPr>
              <w:lang w:val="fr-CH"/>
            </w:rPr>
          </w:pPr>
          <w:r w:rsidRPr="00EB30A6">
            <w:rPr>
              <w:lang w:val="fr-CH"/>
            </w:rP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405C3" w:rsidRPr="00EB30A6" w:rsidRDefault="005405C3" w:rsidP="005405C3">
          <w:pPr>
            <w:pStyle w:val="Header"/>
            <w:spacing w:before="109"/>
            <w:rPr>
              <w:lang w:val="fr-CH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405C3" w:rsidRPr="00EB30A6" w:rsidRDefault="005405C3" w:rsidP="005405C3">
          <w:pPr>
            <w:pStyle w:val="Distribution"/>
            <w:rPr>
              <w:color w:val="000000"/>
              <w:lang w:val="fr-CH"/>
            </w:rPr>
          </w:pPr>
          <w:proofErr w:type="spellStart"/>
          <w:r w:rsidRPr="00EB30A6">
            <w:rPr>
              <w:color w:val="000000"/>
              <w:lang w:val="fr-CH"/>
            </w:rPr>
            <w:t>Distr</w:t>
          </w:r>
          <w:proofErr w:type="spellEnd"/>
          <w:r w:rsidRPr="00EB30A6">
            <w:rPr>
              <w:color w:val="000000"/>
              <w:lang w:val="fr-CH"/>
            </w:rPr>
            <w:t>. générale</w:t>
          </w:r>
        </w:p>
        <w:p w:rsidR="005405C3" w:rsidRPr="00EB30A6" w:rsidRDefault="00EB30A6" w:rsidP="00EB30A6">
          <w:pPr>
            <w:pStyle w:val="Publication"/>
            <w:rPr>
              <w:color w:val="000000"/>
              <w:lang w:val="fr-CH"/>
            </w:rPr>
          </w:pPr>
          <w:r w:rsidRPr="00EB30A6">
            <w:rPr>
              <w:color w:val="000000"/>
              <w:lang w:val="fr-CH"/>
            </w:rPr>
            <w:t>24 </w:t>
          </w:r>
          <w:r w:rsidR="005405C3" w:rsidRPr="00EB30A6">
            <w:rPr>
              <w:color w:val="000000"/>
              <w:lang w:val="fr-CH"/>
            </w:rPr>
            <w:t>août 2015</w:t>
          </w:r>
        </w:p>
        <w:p w:rsidR="005405C3" w:rsidRPr="00EB30A6" w:rsidRDefault="005405C3" w:rsidP="005405C3">
          <w:pPr>
            <w:rPr>
              <w:lang w:val="fr-CH"/>
            </w:rPr>
          </w:pPr>
          <w:r w:rsidRPr="00EB30A6">
            <w:rPr>
              <w:lang w:val="fr-CH"/>
            </w:rPr>
            <w:t>Français</w:t>
          </w:r>
        </w:p>
        <w:p w:rsidR="005405C3" w:rsidRPr="00EB30A6" w:rsidRDefault="00EB30A6" w:rsidP="005405C3">
          <w:pPr>
            <w:pStyle w:val="Original"/>
            <w:rPr>
              <w:color w:val="000000"/>
              <w:lang w:val="fr-CH"/>
            </w:rPr>
          </w:pPr>
          <w:r w:rsidRPr="00EB30A6">
            <w:rPr>
              <w:color w:val="000000"/>
              <w:lang w:val="fr-CH"/>
            </w:rPr>
            <w:t>Original </w:t>
          </w:r>
          <w:r w:rsidR="005405C3" w:rsidRPr="00EB30A6">
            <w:rPr>
              <w:color w:val="000000"/>
              <w:lang w:val="fr-CH"/>
            </w:rPr>
            <w:t>: anglais</w:t>
          </w:r>
        </w:p>
      </w:tc>
    </w:tr>
  </w:tbl>
  <w:p w:rsidR="005405C3" w:rsidRPr="00EB30A6" w:rsidRDefault="005405C3" w:rsidP="005405C3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280*"/>
    <w:docVar w:name="CreationDt" w:val="10/30/2015 2:04: PM"/>
    <w:docVar w:name="DocCategory" w:val="Doc"/>
    <w:docVar w:name="DocType" w:val="Final"/>
    <w:docVar w:name="DutyStation" w:val="Geneva"/>
    <w:docVar w:name="FooterJN" w:val="GE.15-14280"/>
    <w:docVar w:name="jobn" w:val="GE.15-14280 (F)"/>
    <w:docVar w:name="jobnDT" w:val="GE.15-14280 (F)   301015"/>
    <w:docVar w:name="jobnDTDT" w:val="GE.15-14280 (F)   301015   301015"/>
    <w:docVar w:name="JobNo" w:val="GE.1514280F"/>
    <w:docVar w:name="JobNo2" w:val="GE.1519047F"/>
    <w:docVar w:name="LocalDrive" w:val="0"/>
    <w:docVar w:name="OandT" w:val="N.Morin"/>
    <w:docVar w:name="PaperSize" w:val="A4"/>
    <w:docVar w:name="sss1" w:val="ECE/TRANS/WP.29/2015/106"/>
    <w:docVar w:name="sss2" w:val="-"/>
    <w:docVar w:name="Symbol1" w:val="ECE/TRANS/WP.29/2015/106"/>
    <w:docVar w:name="Symbol2" w:val="-"/>
  </w:docVars>
  <w:rsids>
    <w:rsidRoot w:val="007D78E0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34C2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E6C6A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05C3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CC8"/>
    <w:rsid w:val="006B64BE"/>
    <w:rsid w:val="006B6669"/>
    <w:rsid w:val="006C1A92"/>
    <w:rsid w:val="006C384E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33BA"/>
    <w:rsid w:val="007D385A"/>
    <w:rsid w:val="007D6FCB"/>
    <w:rsid w:val="007D78E0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014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02B4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3E5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5F47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182A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88"/>
    <w:rsid w:val="00DC23FE"/>
    <w:rsid w:val="00DC38B9"/>
    <w:rsid w:val="00DC5B37"/>
    <w:rsid w:val="00DC5DDD"/>
    <w:rsid w:val="00DD309E"/>
    <w:rsid w:val="00DD37F2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4CC8"/>
    <w:rsid w:val="00E952EF"/>
    <w:rsid w:val="00E96437"/>
    <w:rsid w:val="00E968A0"/>
    <w:rsid w:val="00E97145"/>
    <w:rsid w:val="00EA4196"/>
    <w:rsid w:val="00EB0BAE"/>
    <w:rsid w:val="00EB0F20"/>
    <w:rsid w:val="00EB1632"/>
    <w:rsid w:val="00EB30A6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54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5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5C3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5C3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54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5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5C3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5C3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A54D-75D4-4C29-A3AC-B755D6DD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UNECE</cp:lastModifiedBy>
  <cp:revision>2</cp:revision>
  <cp:lastPrinted>2015-10-30T16:24:00Z</cp:lastPrinted>
  <dcterms:created xsi:type="dcterms:W3CDTF">2015-11-03T11:52:00Z</dcterms:created>
  <dcterms:modified xsi:type="dcterms:W3CDTF">2015-11-03T11:52:00Z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1514280F</vt:lpwstr>
  </property>
  <property fmtid="{D5CDD505-2E9C-101B-9397-08002B2CF9AE}" pid="3" name="ODSRefJobNo">
    <vt:lpwstr>1519047F</vt:lpwstr>
  </property>
  <property fmtid="{D5CDD505-2E9C-101B-9397-08002B2CF9AE}" pid="4" name="Symbol1">
    <vt:lpwstr>ECE/TRANS/WP.29/2015/106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25 août 2015</vt:lpwstr>
  </property>
  <property fmtid="{D5CDD505-2E9C-101B-9397-08002B2CF9AE}" pid="12" name="Original">
    <vt:lpwstr>anglais</vt:lpwstr>
  </property>
  <property fmtid="{D5CDD505-2E9C-101B-9397-08002B2CF9AE}" pid="13" name="Release Date">
    <vt:lpwstr>301015</vt:lpwstr>
  </property>
</Properties>
</file>