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87"/>
        <w:tblW w:w="9180" w:type="dxa"/>
        <w:tblBorders>
          <w:bottom w:val="single" w:sz="4" w:space="0" w:color="auto"/>
        </w:tblBorders>
        <w:tblLayout w:type="fixed"/>
        <w:tblLook w:val="0000" w:firstRow="0" w:lastRow="0" w:firstColumn="0" w:lastColumn="0" w:noHBand="0" w:noVBand="0"/>
      </w:tblPr>
      <w:tblGrid>
        <w:gridCol w:w="5920"/>
        <w:gridCol w:w="3260"/>
      </w:tblGrid>
      <w:tr w:rsidR="00B92D0C" w:rsidRPr="00B92D0C" w:rsidTr="00330260">
        <w:tc>
          <w:tcPr>
            <w:tcW w:w="5920" w:type="dxa"/>
          </w:tcPr>
          <w:p w:rsidR="00B92D0C" w:rsidRPr="00B92D0C" w:rsidRDefault="00B92D0C" w:rsidP="00B92D0C">
            <w:pPr>
              <w:suppressAutoHyphens w:val="0"/>
              <w:spacing w:line="240" w:lineRule="exact"/>
              <w:ind w:right="807"/>
              <w:rPr>
                <w:lang w:val="en-US" w:eastAsia="ja-JP"/>
              </w:rPr>
            </w:pPr>
            <w:r w:rsidRPr="00B92D0C">
              <w:t xml:space="preserve">Transmitted by the </w:t>
            </w:r>
            <w:r w:rsidRPr="00B92D0C">
              <w:rPr>
                <w:rFonts w:hint="eastAsia"/>
                <w:lang w:eastAsia="ja-JP"/>
              </w:rPr>
              <w:t>expert</w:t>
            </w:r>
            <w:r w:rsidR="00EC2FD4">
              <w:rPr>
                <w:rFonts w:hint="eastAsia"/>
                <w:lang w:eastAsia="ja-JP"/>
              </w:rPr>
              <w:t>s</w:t>
            </w:r>
            <w:r w:rsidRPr="00B92D0C">
              <w:rPr>
                <w:rFonts w:hint="eastAsia"/>
                <w:lang w:eastAsia="ja-JP"/>
              </w:rPr>
              <w:t xml:space="preserve"> from</w:t>
            </w:r>
            <w:r w:rsidRPr="00B92D0C">
              <w:t xml:space="preserve"> </w:t>
            </w:r>
            <w:r w:rsidR="009276B7">
              <w:rPr>
                <w:lang w:val="en-US"/>
              </w:rPr>
              <w:t>Germany</w:t>
            </w:r>
            <w:r w:rsidR="00EC2FD4">
              <w:rPr>
                <w:rFonts w:hint="eastAsia"/>
                <w:lang w:val="en-US" w:eastAsia="ja-JP"/>
              </w:rPr>
              <w:t xml:space="preserve"> and Japan</w:t>
            </w:r>
          </w:p>
          <w:p w:rsidR="00B92D0C" w:rsidRPr="00B92D0C" w:rsidRDefault="00B92D0C" w:rsidP="00B92D0C">
            <w:pPr>
              <w:suppressAutoHyphens w:val="0"/>
              <w:spacing w:line="240" w:lineRule="exact"/>
              <w:ind w:right="807"/>
              <w:rPr>
                <w:u w:val="single"/>
              </w:rPr>
            </w:pPr>
          </w:p>
        </w:tc>
        <w:tc>
          <w:tcPr>
            <w:tcW w:w="3260" w:type="dxa"/>
          </w:tcPr>
          <w:p w:rsidR="00B92D0C" w:rsidRPr="00B92D0C" w:rsidRDefault="00B92D0C" w:rsidP="00B92D0C">
            <w:pPr>
              <w:suppressAutoHyphens w:val="0"/>
              <w:spacing w:line="240" w:lineRule="exact"/>
              <w:ind w:left="111" w:right="-334"/>
              <w:jc w:val="both"/>
              <w:rPr>
                <w:b/>
                <w:lang w:val="fr-FR" w:eastAsia="ja-JP"/>
              </w:rPr>
            </w:pPr>
            <w:r w:rsidRPr="00B92D0C">
              <w:rPr>
                <w:u w:val="single"/>
                <w:lang w:val="fr-FR"/>
              </w:rPr>
              <w:t>Informal document</w:t>
            </w:r>
            <w:r w:rsidRPr="00B92D0C">
              <w:rPr>
                <w:lang w:val="fr-FR"/>
              </w:rPr>
              <w:t xml:space="preserve"> </w:t>
            </w:r>
            <w:r w:rsidRPr="00B92D0C">
              <w:rPr>
                <w:rFonts w:hint="eastAsia"/>
                <w:b/>
                <w:lang w:val="fr-FR" w:eastAsia="ja-JP"/>
              </w:rPr>
              <w:t>GRE</w:t>
            </w:r>
            <w:r w:rsidRPr="00B92D0C">
              <w:rPr>
                <w:b/>
                <w:lang w:val="fr-FR"/>
              </w:rPr>
              <w:t>-7</w:t>
            </w:r>
            <w:r w:rsidR="009276B7">
              <w:rPr>
                <w:b/>
                <w:lang w:val="fr-FR"/>
              </w:rPr>
              <w:t>3</w:t>
            </w:r>
            <w:r w:rsidRPr="00B92D0C">
              <w:rPr>
                <w:b/>
                <w:lang w:val="fr-FR"/>
              </w:rPr>
              <w:t>-</w:t>
            </w:r>
            <w:r w:rsidR="00330260">
              <w:rPr>
                <w:b/>
                <w:lang w:val="fr-FR"/>
              </w:rPr>
              <w:t>17</w:t>
            </w:r>
          </w:p>
          <w:p w:rsidR="00B92D0C" w:rsidRPr="007D20F1" w:rsidRDefault="00B92D0C" w:rsidP="00B92D0C">
            <w:pPr>
              <w:suppressAutoHyphens w:val="0"/>
              <w:spacing w:line="240" w:lineRule="exact"/>
              <w:ind w:left="111"/>
              <w:jc w:val="both"/>
              <w:rPr>
                <w:rFonts w:eastAsia="MS Mincho"/>
                <w:lang w:val="en-US" w:eastAsia="ja-JP"/>
              </w:rPr>
            </w:pPr>
            <w:r w:rsidRPr="007D20F1">
              <w:rPr>
                <w:rFonts w:eastAsia="MS Mincho"/>
                <w:lang w:val="en-US" w:eastAsia="ja-JP"/>
              </w:rPr>
              <w:t>(7</w:t>
            </w:r>
            <w:r w:rsidR="009276B7">
              <w:rPr>
                <w:rFonts w:eastAsia="MS Mincho"/>
                <w:lang w:val="en-US" w:eastAsia="ja-JP"/>
              </w:rPr>
              <w:t>3</w:t>
            </w:r>
            <w:r w:rsidR="00330260">
              <w:rPr>
                <w:rFonts w:eastAsia="MS Mincho"/>
                <w:lang w:val="en-US" w:eastAsia="ja-JP"/>
              </w:rPr>
              <w:t>rd</w:t>
            </w:r>
            <w:r w:rsidRPr="007D20F1">
              <w:rPr>
                <w:rFonts w:eastAsia="MS Mincho"/>
                <w:lang w:val="en-US" w:eastAsia="ja-JP"/>
              </w:rPr>
              <w:t xml:space="preserve"> </w:t>
            </w:r>
            <w:r w:rsidRPr="007D20F1">
              <w:rPr>
                <w:rFonts w:eastAsia="MS Mincho" w:hint="eastAsia"/>
                <w:lang w:val="en-US" w:eastAsia="ja-JP"/>
              </w:rPr>
              <w:t>GRE</w:t>
            </w:r>
            <w:r w:rsidRPr="007D20F1">
              <w:rPr>
                <w:rFonts w:eastAsia="MS Mincho"/>
                <w:lang w:val="en-US"/>
              </w:rPr>
              <w:t xml:space="preserve">, </w:t>
            </w:r>
            <w:r w:rsidR="009276B7">
              <w:rPr>
                <w:bCs/>
                <w:lang w:val="en-US"/>
              </w:rPr>
              <w:t>14</w:t>
            </w:r>
            <w:r w:rsidRPr="007D20F1">
              <w:rPr>
                <w:bCs/>
                <w:lang w:val="en-US"/>
              </w:rPr>
              <w:t xml:space="preserve"> - </w:t>
            </w:r>
            <w:r w:rsidR="009276B7">
              <w:rPr>
                <w:bCs/>
                <w:lang w:val="en-US"/>
              </w:rPr>
              <w:t>17</w:t>
            </w:r>
            <w:r w:rsidRPr="007D20F1">
              <w:rPr>
                <w:bCs/>
                <w:lang w:val="en-US"/>
              </w:rPr>
              <w:t xml:space="preserve"> </w:t>
            </w:r>
            <w:r w:rsidR="009276B7">
              <w:rPr>
                <w:bCs/>
                <w:lang w:val="en-US"/>
              </w:rPr>
              <w:t>April</w:t>
            </w:r>
            <w:r w:rsidRPr="007D20F1">
              <w:rPr>
                <w:bCs/>
                <w:lang w:val="en-US"/>
              </w:rPr>
              <w:t xml:space="preserve"> 201</w:t>
            </w:r>
            <w:r w:rsidR="009276B7">
              <w:rPr>
                <w:bCs/>
                <w:lang w:val="en-US"/>
              </w:rPr>
              <w:t>5</w:t>
            </w:r>
            <w:r w:rsidRPr="007D20F1">
              <w:rPr>
                <w:bCs/>
                <w:lang w:val="en-US"/>
              </w:rPr>
              <w:t>,</w:t>
            </w:r>
          </w:p>
          <w:p w:rsidR="00B92D0C" w:rsidRPr="00B92D0C" w:rsidRDefault="00B92D0C" w:rsidP="00330260">
            <w:pPr>
              <w:suppressAutoHyphens w:val="0"/>
              <w:spacing w:line="240" w:lineRule="exact"/>
              <w:ind w:left="111"/>
              <w:jc w:val="both"/>
              <w:rPr>
                <w:u w:val="single"/>
                <w:lang w:eastAsia="ja-JP"/>
              </w:rPr>
            </w:pPr>
            <w:r w:rsidRPr="00625771">
              <w:t xml:space="preserve">agenda item </w:t>
            </w:r>
            <w:r w:rsidR="009276B7" w:rsidRPr="00625771">
              <w:t>6</w:t>
            </w:r>
            <w:r w:rsidRPr="00625771">
              <w:t xml:space="preserve"> </w:t>
            </w:r>
            <w:r w:rsidR="00625771" w:rsidRPr="00625771">
              <w:t>(</w:t>
            </w:r>
            <w:r w:rsidR="00625771" w:rsidRPr="00625771">
              <w:rPr>
                <w:rFonts w:hint="eastAsia"/>
                <w:lang w:eastAsia="ja-JP"/>
              </w:rPr>
              <w:t>b</w:t>
            </w:r>
            <w:r w:rsidR="009276B7" w:rsidRPr="00625771">
              <w:t>)</w:t>
            </w:r>
            <w:r w:rsidRPr="00625771">
              <w:t>)</w:t>
            </w:r>
          </w:p>
        </w:tc>
      </w:tr>
    </w:tbl>
    <w:p w:rsidR="00B92D0C" w:rsidRDefault="00B92D0C" w:rsidP="00B92D0C">
      <w:pPr>
        <w:ind w:right="1134"/>
        <w:jc w:val="both"/>
        <w:rPr>
          <w:bCs/>
        </w:rPr>
      </w:pPr>
    </w:p>
    <w:p w:rsidR="000C3EAA" w:rsidRDefault="000C3EAA" w:rsidP="000C227F">
      <w:pPr>
        <w:ind w:left="851" w:right="1134"/>
        <w:jc w:val="both"/>
        <w:rPr>
          <w:bCs/>
        </w:rPr>
      </w:pPr>
    </w:p>
    <w:p w:rsidR="00615029" w:rsidRDefault="000C3EAA" w:rsidP="00EC2FD4">
      <w:pPr>
        <w:ind w:left="567" w:right="1134"/>
        <w:jc w:val="center"/>
        <w:rPr>
          <w:lang w:eastAsia="ja-JP"/>
        </w:rPr>
      </w:pPr>
      <w:r w:rsidRPr="007D20F1">
        <w:rPr>
          <w:b/>
          <w:sz w:val="28"/>
          <w:szCs w:val="28"/>
        </w:rPr>
        <w:t xml:space="preserve">Proposal for </w:t>
      </w:r>
      <w:r w:rsidR="00EC2FD4">
        <w:rPr>
          <w:rFonts w:hint="eastAsia"/>
          <w:b/>
          <w:sz w:val="28"/>
          <w:szCs w:val="28"/>
          <w:lang w:eastAsia="ja-JP"/>
        </w:rPr>
        <w:t>the [07]</w:t>
      </w:r>
      <w:r w:rsidRPr="007D20F1">
        <w:rPr>
          <w:b/>
          <w:sz w:val="28"/>
          <w:szCs w:val="28"/>
        </w:rPr>
        <w:t xml:space="preserve"> series of amendments to Regulation No. 48 (Installation of lighting and light-signalling devices)</w:t>
      </w:r>
    </w:p>
    <w:p w:rsidR="00EC2FD4" w:rsidRPr="00EC2FD4" w:rsidRDefault="00EC2FD4" w:rsidP="00EC2FD4">
      <w:pPr>
        <w:ind w:left="567" w:right="1134"/>
        <w:jc w:val="center"/>
        <w:rPr>
          <w:b/>
          <w:bCs/>
          <w:sz w:val="28"/>
          <w:szCs w:val="28"/>
          <w:lang w:eastAsia="ja-JP"/>
        </w:rPr>
      </w:pPr>
    </w:p>
    <w:p w:rsidR="000C3EAA" w:rsidRPr="00615029" w:rsidRDefault="00EC2FD4" w:rsidP="00615029">
      <w:pPr>
        <w:spacing w:line="0" w:lineRule="atLeast"/>
        <w:ind w:left="851" w:right="1134"/>
        <w:jc w:val="both"/>
        <w:rPr>
          <w:b/>
          <w:bCs/>
          <w:sz w:val="24"/>
          <w:szCs w:val="24"/>
          <w:lang w:val="en-US"/>
        </w:rPr>
      </w:pPr>
      <w:r w:rsidRPr="00330260">
        <w:rPr>
          <w:rFonts w:hint="eastAsia"/>
          <w:lang w:eastAsia="ja-JP"/>
        </w:rPr>
        <w:t>T</w:t>
      </w:r>
      <w:r w:rsidRPr="00330260">
        <w:t xml:space="preserve">he text reproduced below was prepared by the experts from </w:t>
      </w:r>
      <w:r w:rsidRPr="00330260">
        <w:rPr>
          <w:bCs/>
        </w:rPr>
        <w:t>Germany and Japan</w:t>
      </w:r>
      <w:r w:rsidRPr="00330260">
        <w:t xml:space="preserve"> to </w:t>
      </w:r>
      <w:r w:rsidRPr="00330260">
        <w:rPr>
          <w:lang w:val="en-US"/>
        </w:rPr>
        <w:t xml:space="preserve">reduce glare problems for drivers </w:t>
      </w:r>
      <w:r w:rsidRPr="00330260">
        <w:rPr>
          <w:lang w:eastAsia="ja-JP"/>
        </w:rPr>
        <w:t xml:space="preserve">by imposing automatic </w:t>
      </w:r>
      <w:r w:rsidR="00330260" w:rsidRPr="00330260">
        <w:rPr>
          <w:lang w:eastAsia="ja-JP"/>
        </w:rPr>
        <w:t>levelling</w:t>
      </w:r>
      <w:r w:rsidRPr="00330260">
        <w:t>. The modifications to the existing text of the Regulation are marked in bold for new or strikethrough for deleted characters.</w:t>
      </w:r>
    </w:p>
    <w:p w:rsidR="00EC2FD4" w:rsidRDefault="00EC2FD4" w:rsidP="00EC2FD4">
      <w:pPr>
        <w:pStyle w:val="HChG"/>
      </w:pPr>
      <w:r>
        <w:tab/>
        <w:t>I.</w:t>
      </w:r>
      <w:r>
        <w:tab/>
        <w:t>Proposal</w:t>
      </w:r>
    </w:p>
    <w:p w:rsidR="00EC2FD4" w:rsidRPr="00B43036" w:rsidRDefault="00EC2FD4" w:rsidP="00EC2FD4">
      <w:pPr>
        <w:pStyle w:val="SingleTxtG"/>
        <w:rPr>
          <w:i/>
          <w:iCs/>
          <w:lang w:val="en-US"/>
        </w:rPr>
      </w:pPr>
      <w:r w:rsidRPr="00B43036">
        <w:rPr>
          <w:i/>
          <w:iCs/>
          <w:lang w:val="en-US"/>
        </w:rPr>
        <w:t>List of Annexes,</w:t>
      </w:r>
    </w:p>
    <w:p w:rsidR="00EC2FD4" w:rsidRDefault="00EC2FD4" w:rsidP="00EC2FD4">
      <w:pPr>
        <w:pStyle w:val="SingleTxtG"/>
        <w:rPr>
          <w:lang w:val="en-US"/>
        </w:rPr>
      </w:pPr>
      <w:r w:rsidRPr="00B43036">
        <w:rPr>
          <w:i/>
          <w:iCs/>
          <w:lang w:val="en-US"/>
        </w:rPr>
        <w:t>Annex 8</w:t>
      </w:r>
      <w:r>
        <w:rPr>
          <w:lang w:val="en-US"/>
        </w:rPr>
        <w:t xml:space="preserve">, shall be deleted </w:t>
      </w:r>
    </w:p>
    <w:p w:rsidR="00EC2FD4" w:rsidRDefault="00EC2FD4" w:rsidP="00EC2FD4">
      <w:pPr>
        <w:pStyle w:val="SingleTxtG"/>
        <w:rPr>
          <w:lang w:val="en-US"/>
        </w:rPr>
      </w:pPr>
      <w:r w:rsidRPr="007B601D">
        <w:rPr>
          <w:i/>
          <w:iCs/>
          <w:lang w:val="en-US"/>
        </w:rPr>
        <w:t>Annexes 9 to</w:t>
      </w:r>
      <w:r w:rsidRPr="007B601D">
        <w:rPr>
          <w:i/>
          <w:iCs/>
          <w:lang w:val="en-US"/>
        </w:rPr>
        <w:tab/>
      </w:r>
      <w:proofErr w:type="gramStart"/>
      <w:r>
        <w:rPr>
          <w:i/>
          <w:iCs/>
          <w:lang w:val="en-US"/>
        </w:rPr>
        <w:t>15</w:t>
      </w:r>
      <w:r>
        <w:rPr>
          <w:lang w:val="en-US"/>
        </w:rPr>
        <w:t>,</w:t>
      </w:r>
      <w:proofErr w:type="gramEnd"/>
      <w:r>
        <w:rPr>
          <w:lang w:val="en-US"/>
        </w:rPr>
        <w:t xml:space="preserve"> renumber as Annexes 8 to 14</w:t>
      </w:r>
    </w:p>
    <w:p w:rsidR="00EC2FD4" w:rsidRDefault="00EC2FD4" w:rsidP="00EC2FD4">
      <w:pPr>
        <w:pStyle w:val="SingleTxtG"/>
        <w:rPr>
          <w:b/>
          <w:i/>
          <w:lang w:val="en-US"/>
        </w:rPr>
      </w:pPr>
      <w:r w:rsidRPr="007B601D">
        <w:rPr>
          <w:i/>
          <w:lang w:val="en-US"/>
        </w:rPr>
        <w:t>Paragraph 2.7.1</w:t>
      </w:r>
      <w:r w:rsidRPr="007B601D">
        <w:rPr>
          <w:bCs/>
          <w:i/>
        </w:rPr>
        <w:t>.</w:t>
      </w:r>
      <w:r>
        <w:rPr>
          <w:bCs/>
          <w:i/>
        </w:rPr>
        <w:t>, foot</w:t>
      </w:r>
      <w:r w:rsidRPr="007B601D">
        <w:rPr>
          <w:bCs/>
          <w:i/>
        </w:rPr>
        <w:t>note *</w:t>
      </w:r>
      <w:r w:rsidRPr="00F273B6">
        <w:rPr>
          <w:bCs/>
        </w:rPr>
        <w:t>, amend to read</w:t>
      </w:r>
      <w:r w:rsidRPr="007C351A">
        <w:rPr>
          <w:bCs/>
          <w:iCs/>
          <w:lang w:val="en-US"/>
        </w:rPr>
        <w:t>:</w:t>
      </w:r>
    </w:p>
    <w:p w:rsidR="00EC2FD4" w:rsidRDefault="00EC2FD4" w:rsidP="00EC2FD4">
      <w:pPr>
        <w:pStyle w:val="SingleTxtG"/>
      </w:pPr>
      <w:r w:rsidRPr="007B601D">
        <w:rPr>
          <w:vertAlign w:val="superscript"/>
        </w:rPr>
        <w:sym w:font="Symbol" w:char="F02A"/>
      </w:r>
      <w:r w:rsidRPr="00F273B6">
        <w:tab/>
        <w:t xml:space="preserve">For clarification see Annex </w:t>
      </w:r>
      <w:r w:rsidRPr="00F273B6">
        <w:rPr>
          <w:b/>
        </w:rPr>
        <w:t>9</w:t>
      </w:r>
      <w:r w:rsidRPr="00F273B6">
        <w:t>.</w:t>
      </w:r>
    </w:p>
    <w:p w:rsidR="00EC2FD4" w:rsidRDefault="00EC2FD4" w:rsidP="00EC2FD4">
      <w:pPr>
        <w:pStyle w:val="SingleTxtG"/>
        <w:rPr>
          <w:b/>
          <w:i/>
          <w:lang w:val="en-US"/>
        </w:rPr>
      </w:pPr>
      <w:r w:rsidRPr="007B601D">
        <w:rPr>
          <w:i/>
          <w:lang w:val="en-US"/>
        </w:rPr>
        <w:t xml:space="preserve">Paragraph </w:t>
      </w:r>
      <w:r w:rsidRPr="00B27820">
        <w:rPr>
          <w:bCs/>
          <w:i/>
        </w:rPr>
        <w:t>2.34.</w:t>
      </w:r>
      <w:r w:rsidRPr="00F273B6">
        <w:rPr>
          <w:bCs/>
        </w:rPr>
        <w:t>, amend to read</w:t>
      </w:r>
      <w:r w:rsidRPr="007C351A">
        <w:rPr>
          <w:bCs/>
          <w:iCs/>
          <w:lang w:val="en-US"/>
        </w:rPr>
        <w:t>:</w:t>
      </w:r>
    </w:p>
    <w:p w:rsidR="00EC2FD4" w:rsidRPr="00EC2FD4" w:rsidRDefault="00EC2FD4" w:rsidP="00EC2FD4">
      <w:pPr>
        <w:pStyle w:val="SingleTxtG"/>
        <w:ind w:leftChars="567" w:left="2268" w:hangingChars="567" w:hanging="1134"/>
        <w:rPr>
          <w:lang w:val="en-US"/>
        </w:rPr>
      </w:pPr>
      <w:r>
        <w:rPr>
          <w:lang w:val="en-US"/>
        </w:rPr>
        <w:t>"</w:t>
      </w:r>
      <w:r w:rsidRPr="00321127">
        <w:rPr>
          <w:bCs/>
        </w:rPr>
        <w:t>2.34.</w:t>
      </w:r>
      <w:r w:rsidRPr="00321127">
        <w:rPr>
          <w:bCs/>
        </w:rPr>
        <w:tab/>
        <w:t>"</w:t>
      </w:r>
      <w:proofErr w:type="spellStart"/>
      <w:proofErr w:type="gramStart"/>
      <w:r w:rsidRPr="00321127">
        <w:rPr>
          <w:bCs/>
          <w:i/>
        </w:rPr>
        <w:t>Gonio</w:t>
      </w:r>
      <w:proofErr w:type="spellEnd"/>
      <w:r w:rsidRPr="00321127">
        <w:rPr>
          <w:bCs/>
          <w:i/>
        </w:rPr>
        <w:t>(</w:t>
      </w:r>
      <w:proofErr w:type="gramEnd"/>
      <w:r w:rsidRPr="00321127">
        <w:rPr>
          <w:bCs/>
          <w:i/>
        </w:rPr>
        <w:t>photo)meter system (</w:t>
      </w:r>
      <w:proofErr w:type="spellStart"/>
      <w:r w:rsidRPr="00316112">
        <w:rPr>
          <w:i/>
        </w:rPr>
        <w:t>i</w:t>
      </w:r>
      <w:proofErr w:type="spellEnd"/>
      <w:r w:rsidRPr="00321127">
        <w:rPr>
          <w:i/>
          <w:lang w:val="x-none"/>
        </w:rPr>
        <w:t>f not otherwise specified in a particular Regulation</w:t>
      </w:r>
      <w:r w:rsidRPr="00321127">
        <w:rPr>
          <w:bCs/>
          <w:i/>
        </w:rPr>
        <w:t>)</w:t>
      </w:r>
      <w:r w:rsidRPr="00321127">
        <w:rPr>
          <w:bCs/>
        </w:rPr>
        <w:t xml:space="preserve">" means </w:t>
      </w:r>
      <w:r>
        <w:rPr>
          <w:bCs/>
        </w:rPr>
        <w:t xml:space="preserve">... </w:t>
      </w:r>
      <w:r w:rsidRPr="00321127">
        <w:rPr>
          <w:bCs/>
        </w:rPr>
        <w:t>(see Annex</w:t>
      </w:r>
      <w:r w:rsidRPr="00EC2FD4">
        <w:rPr>
          <w:bCs/>
        </w:rPr>
        <w:t xml:space="preserve"> </w:t>
      </w:r>
      <w:r w:rsidRPr="00EC2FD4">
        <w:rPr>
          <w:b/>
          <w:bCs/>
        </w:rPr>
        <w:t>14</w:t>
      </w:r>
      <w:r w:rsidRPr="00EC2FD4">
        <w:rPr>
          <w:bCs/>
        </w:rPr>
        <w:t xml:space="preserve"> to this Regulation).</w:t>
      </w:r>
      <w:r w:rsidRPr="00EC2FD4">
        <w:rPr>
          <w:i/>
        </w:rPr>
        <w:t xml:space="preserve"> </w:t>
      </w:r>
      <w:r w:rsidRPr="00EC2FD4">
        <w:rPr>
          <w:lang w:val="en-US"/>
        </w:rPr>
        <w:t>…."</w:t>
      </w:r>
    </w:p>
    <w:p w:rsidR="00EC2FD4" w:rsidRPr="00825E17" w:rsidRDefault="00EC2FD4" w:rsidP="00EC2FD4">
      <w:pPr>
        <w:pStyle w:val="SingleTxtG"/>
      </w:pPr>
      <w:r w:rsidRPr="00675E0A">
        <w:rPr>
          <w:i/>
          <w:lang w:val="en-US"/>
        </w:rPr>
        <w:t xml:space="preserve">Paragraph </w:t>
      </w:r>
      <w:r w:rsidRPr="00675E0A">
        <w:rPr>
          <w:rFonts w:hint="eastAsia"/>
          <w:i/>
          <w:lang w:val="en-US"/>
        </w:rPr>
        <w:t>4</w:t>
      </w:r>
      <w:r w:rsidRPr="00675E0A">
        <w:rPr>
          <w:i/>
          <w:lang w:val="en-US"/>
        </w:rPr>
        <w:t>.</w:t>
      </w:r>
      <w:r w:rsidRPr="00675E0A">
        <w:rPr>
          <w:rFonts w:hint="eastAsia"/>
          <w:i/>
          <w:lang w:val="en-US"/>
        </w:rPr>
        <w:t>2.</w:t>
      </w:r>
      <w:r w:rsidRPr="00675E0A">
        <w:rPr>
          <w:i/>
          <w:lang w:val="en-US"/>
        </w:rPr>
        <w:t>,</w:t>
      </w:r>
      <w:r w:rsidRPr="00675E0A">
        <w:rPr>
          <w:lang w:val="en-US"/>
        </w:rPr>
        <w:t xml:space="preserve"> amend to read:</w:t>
      </w:r>
    </w:p>
    <w:p w:rsidR="00EC2FD4" w:rsidRDefault="00EC2FD4" w:rsidP="00EC2FD4">
      <w:pPr>
        <w:pStyle w:val="SingleTxtG"/>
        <w:ind w:left="2268" w:hanging="1134"/>
        <w:rPr>
          <w:lang w:val="en-US"/>
        </w:rPr>
      </w:pPr>
      <w:r>
        <w:rPr>
          <w:lang w:val="en-US"/>
        </w:rPr>
        <w:t>"4.2.</w:t>
      </w:r>
      <w:r>
        <w:rPr>
          <w:lang w:val="en-US"/>
        </w:rPr>
        <w:tab/>
      </w:r>
      <w:r w:rsidRPr="00675E0A">
        <w:rPr>
          <w:lang w:val="en-US"/>
        </w:rPr>
        <w:t>An approval number shall be assigned to each type approved. Its first two digits (at</w:t>
      </w:r>
      <w:r w:rsidRPr="00675E0A">
        <w:rPr>
          <w:rFonts w:hint="eastAsia"/>
          <w:lang w:val="en-US"/>
        </w:rPr>
        <w:t xml:space="preserve"> </w:t>
      </w:r>
      <w:r w:rsidRPr="00675E0A">
        <w:rPr>
          <w:lang w:val="en-US"/>
        </w:rPr>
        <w:t xml:space="preserve">present </w:t>
      </w:r>
      <w:r w:rsidRPr="007C351A">
        <w:rPr>
          <w:b/>
          <w:bCs/>
          <w:lang w:val="en-US"/>
        </w:rPr>
        <w:t>[</w:t>
      </w:r>
      <w:r w:rsidRPr="007C351A">
        <w:rPr>
          <w:rFonts w:hint="eastAsia"/>
          <w:b/>
          <w:bCs/>
          <w:lang w:val="en-US"/>
        </w:rPr>
        <w:t>0</w:t>
      </w:r>
      <w:r>
        <w:rPr>
          <w:b/>
          <w:bCs/>
          <w:lang w:val="en-US"/>
        </w:rPr>
        <w:t>7</w:t>
      </w:r>
      <w:r w:rsidRPr="007C351A">
        <w:rPr>
          <w:b/>
          <w:bCs/>
          <w:lang w:val="en-US"/>
        </w:rPr>
        <w:t>]</w:t>
      </w:r>
      <w:r w:rsidRPr="00675E0A">
        <w:rPr>
          <w:lang w:val="en-US"/>
        </w:rPr>
        <w:t xml:space="preserve">, corresponding to the </w:t>
      </w:r>
      <w:r w:rsidRPr="007C351A">
        <w:rPr>
          <w:b/>
          <w:bCs/>
          <w:lang w:val="en-US"/>
        </w:rPr>
        <w:t>[</w:t>
      </w:r>
      <w:r w:rsidRPr="007C351A">
        <w:rPr>
          <w:rFonts w:hint="eastAsia"/>
          <w:b/>
          <w:bCs/>
          <w:lang w:val="en-US"/>
        </w:rPr>
        <w:t>0</w:t>
      </w:r>
      <w:r>
        <w:rPr>
          <w:b/>
          <w:bCs/>
          <w:lang w:val="en-US"/>
        </w:rPr>
        <w:t>7</w:t>
      </w:r>
      <w:r w:rsidRPr="007C351A">
        <w:rPr>
          <w:b/>
          <w:bCs/>
          <w:lang w:val="en-US"/>
        </w:rPr>
        <w:t>]</w:t>
      </w:r>
      <w:r w:rsidRPr="00675E0A">
        <w:rPr>
          <w:lang w:val="en-US"/>
        </w:rPr>
        <w:t xml:space="preserve"> series of amendments) shall indicate the series </w:t>
      </w:r>
      <w:r>
        <w:rPr>
          <w:lang w:val="en-US"/>
        </w:rPr>
        <w:t>…."</w:t>
      </w:r>
    </w:p>
    <w:p w:rsidR="00EC2FD4" w:rsidRDefault="00EC2FD4" w:rsidP="00EC2FD4">
      <w:pPr>
        <w:pStyle w:val="SingleTxtG"/>
      </w:pPr>
      <w:r w:rsidRPr="00F273B6">
        <w:rPr>
          <w:i/>
        </w:rPr>
        <w:t>Paragraph</w:t>
      </w:r>
      <w:r w:rsidRPr="00432405">
        <w:rPr>
          <w:i/>
        </w:rPr>
        <w:t xml:space="preserve"> </w:t>
      </w:r>
      <w:r w:rsidRPr="00432405">
        <w:rPr>
          <w:bCs/>
          <w:i/>
        </w:rPr>
        <w:t>6.1.9.3.3.2.</w:t>
      </w:r>
      <w:r w:rsidRPr="00F273B6">
        <w:t>, amend to read:</w:t>
      </w:r>
    </w:p>
    <w:p w:rsidR="00EC2FD4" w:rsidRPr="00304AB2" w:rsidRDefault="00EC2FD4" w:rsidP="00EC2FD4">
      <w:pPr>
        <w:spacing w:after="120"/>
        <w:ind w:left="2259" w:right="1134" w:hanging="1125"/>
        <w:jc w:val="both"/>
        <w:rPr>
          <w:bCs/>
        </w:rPr>
      </w:pPr>
      <w:r>
        <w:rPr>
          <w:bCs/>
          <w:lang w:val="en-US"/>
        </w:rPr>
        <w:t>"</w:t>
      </w:r>
      <w:r w:rsidRPr="00304AB2">
        <w:rPr>
          <w:bCs/>
        </w:rPr>
        <w:t>6.1.9.3.3.2.</w:t>
      </w:r>
      <w:r w:rsidRPr="00304AB2">
        <w:rPr>
          <w:bCs/>
        </w:rPr>
        <w:tab/>
        <w:t xml:space="preserve">A test drive according to paragraph 1 in Annex </w:t>
      </w:r>
      <w:r w:rsidRPr="00432405">
        <w:rPr>
          <w:b/>
          <w:bCs/>
        </w:rPr>
        <w:t>11</w:t>
      </w:r>
      <w:proofErr w:type="gramStart"/>
      <w:r w:rsidRPr="00304AB2">
        <w:rPr>
          <w:bCs/>
        </w:rPr>
        <w:t>.</w:t>
      </w:r>
      <w:r>
        <w:rPr>
          <w:snapToGrid w:val="0"/>
        </w:rPr>
        <w:t>...</w:t>
      </w:r>
      <w:r w:rsidRPr="00304AB2">
        <w:t>.</w:t>
      </w:r>
      <w:r w:rsidRPr="00432405">
        <w:rPr>
          <w:bCs/>
          <w:lang w:val="en-US"/>
        </w:rPr>
        <w:t xml:space="preserve"> </w:t>
      </w:r>
      <w:r>
        <w:rPr>
          <w:bCs/>
          <w:lang w:val="en-US"/>
        </w:rPr>
        <w:t>"</w:t>
      </w:r>
      <w:proofErr w:type="gramEnd"/>
    </w:p>
    <w:p w:rsidR="00EC2FD4" w:rsidRDefault="00EC2FD4" w:rsidP="00EC2FD4">
      <w:pPr>
        <w:pStyle w:val="SingleTxtG"/>
        <w:rPr>
          <w:lang w:val="en-US"/>
        </w:rPr>
      </w:pPr>
      <w:r w:rsidRPr="00F273B6">
        <w:rPr>
          <w:i/>
          <w:lang w:val="en-US"/>
        </w:rPr>
        <w:t>Paragrap</w:t>
      </w:r>
      <w:r w:rsidRPr="007E0A3D">
        <w:rPr>
          <w:i/>
          <w:lang w:val="en-US"/>
        </w:rPr>
        <w:t>h 6.2.6.2.2</w:t>
      </w:r>
      <w:r w:rsidRPr="00F273B6">
        <w:rPr>
          <w:lang w:val="en-US"/>
        </w:rPr>
        <w:t>.</w:t>
      </w:r>
      <w:r>
        <w:rPr>
          <w:lang w:val="en-US"/>
        </w:rPr>
        <w:t>, shall be deleted</w:t>
      </w:r>
    </w:p>
    <w:p w:rsidR="00EC2FD4" w:rsidRPr="00CF083E" w:rsidRDefault="00EC2FD4" w:rsidP="00EC2FD4">
      <w:pPr>
        <w:pStyle w:val="SingleTxtG"/>
        <w:rPr>
          <w:bCs/>
          <w:lang w:val="en-US"/>
        </w:rPr>
      </w:pPr>
      <w:r w:rsidRPr="00F273B6">
        <w:rPr>
          <w:i/>
          <w:lang w:val="en-US"/>
        </w:rPr>
        <w:t>Paragraph</w:t>
      </w:r>
      <w:r w:rsidRPr="007E0A3D">
        <w:rPr>
          <w:i/>
          <w:iCs/>
          <w:lang w:val="en-US"/>
        </w:rPr>
        <w:t xml:space="preserve"> 6.2.6.2.3.</w:t>
      </w:r>
      <w:r>
        <w:rPr>
          <w:lang w:val="en-US"/>
        </w:rPr>
        <w:t xml:space="preserve">, renumber as </w:t>
      </w:r>
      <w:r w:rsidRPr="00F273B6">
        <w:rPr>
          <w:lang w:val="en-US"/>
        </w:rPr>
        <w:t>6.2.6.2.</w:t>
      </w:r>
      <w:r w:rsidRPr="00CF083E">
        <w:rPr>
          <w:bCs/>
          <w:lang w:val="en-US"/>
        </w:rPr>
        <w:t xml:space="preserve">2. </w:t>
      </w:r>
      <w:proofErr w:type="gramStart"/>
      <w:r w:rsidRPr="00CF083E">
        <w:rPr>
          <w:bCs/>
          <w:lang w:val="en-US"/>
        </w:rPr>
        <w:t>and</w:t>
      </w:r>
      <w:proofErr w:type="gramEnd"/>
      <w:r w:rsidRPr="00CF083E">
        <w:rPr>
          <w:bCs/>
          <w:lang w:val="en-US"/>
        </w:rPr>
        <w:t xml:space="preserve"> amend to read:</w:t>
      </w:r>
    </w:p>
    <w:p w:rsidR="00EC2FD4" w:rsidRDefault="00EC2FD4" w:rsidP="00EC2FD4">
      <w:pPr>
        <w:pStyle w:val="SingleTxtG"/>
        <w:ind w:left="2268" w:hanging="1134"/>
        <w:rPr>
          <w:lang w:val="en-US"/>
        </w:rPr>
      </w:pPr>
      <w:proofErr w:type="gramStart"/>
      <w:r>
        <w:rPr>
          <w:lang w:val="en-US"/>
        </w:rPr>
        <w:t>"</w:t>
      </w:r>
      <w:r w:rsidRPr="00F273B6">
        <w:rPr>
          <w:lang w:val="en-US"/>
        </w:rPr>
        <w:t>6.2.6.2.</w:t>
      </w:r>
      <w:r w:rsidRPr="00F273B6">
        <w:rPr>
          <w:b/>
          <w:lang w:val="en-US"/>
        </w:rPr>
        <w:t>2.</w:t>
      </w:r>
      <w:r w:rsidRPr="00F273B6">
        <w:rPr>
          <w:lang w:val="en-US"/>
        </w:rPr>
        <w:t xml:space="preserve"> </w:t>
      </w:r>
      <w:r w:rsidRPr="00F273B6">
        <w:rPr>
          <w:lang w:val="en-US"/>
        </w:rPr>
        <w:tab/>
        <w:t>In the event of a failure of devices described in paragraph</w:t>
      </w:r>
      <w:r w:rsidRPr="00CF083E">
        <w:rPr>
          <w:strike/>
          <w:lang w:val="en-US"/>
        </w:rPr>
        <w:t>s</w:t>
      </w:r>
      <w:r>
        <w:rPr>
          <w:lang w:val="en-US"/>
        </w:rPr>
        <w:t xml:space="preserve"> 6.2.6.2.</w:t>
      </w:r>
      <w:r w:rsidRPr="00F273B6">
        <w:rPr>
          <w:lang w:val="en-US"/>
        </w:rPr>
        <w:t>1.</w:t>
      </w:r>
      <w:proofErr w:type="gramEnd"/>
      <w:r w:rsidRPr="00F273B6">
        <w:rPr>
          <w:lang w:val="en-US"/>
        </w:rPr>
        <w:t xml:space="preserve"> </w:t>
      </w:r>
      <w:proofErr w:type="gramStart"/>
      <w:r w:rsidRPr="00CF083E">
        <w:rPr>
          <w:strike/>
          <w:lang w:val="en-US"/>
        </w:rPr>
        <w:t>and</w:t>
      </w:r>
      <w:proofErr w:type="gramEnd"/>
      <w:r w:rsidRPr="00CF083E">
        <w:rPr>
          <w:strike/>
          <w:lang w:val="en-US"/>
        </w:rPr>
        <w:t> 6.2.6.2.2.</w:t>
      </w:r>
      <w:r w:rsidRPr="00F273B6">
        <w:rPr>
          <w:lang w:val="en-US"/>
        </w:rPr>
        <w:t xml:space="preserve">, the dipped-beam shall not assume a position on which the dip is less than it was at the time when the </w:t>
      </w:r>
      <w:r>
        <w:rPr>
          <w:lang w:val="en-US"/>
        </w:rPr>
        <w:t>failure of the device occurred."</w:t>
      </w:r>
    </w:p>
    <w:p w:rsidR="00EC2FD4" w:rsidRPr="00432405" w:rsidRDefault="00EC2FD4" w:rsidP="00EC2FD4">
      <w:pPr>
        <w:pStyle w:val="SingleTxtG"/>
      </w:pPr>
      <w:r w:rsidRPr="00F273B6">
        <w:rPr>
          <w:i/>
        </w:rPr>
        <w:t>Paragraph</w:t>
      </w:r>
      <w:r w:rsidRPr="00432405">
        <w:rPr>
          <w:i/>
        </w:rPr>
        <w:t xml:space="preserve"> </w:t>
      </w:r>
      <w:r w:rsidRPr="00432405">
        <w:rPr>
          <w:i/>
          <w:color w:val="000000"/>
        </w:rPr>
        <w:t>6.2.7.6.1.</w:t>
      </w:r>
      <w:r w:rsidRPr="00432405">
        <w:rPr>
          <w:i/>
        </w:rPr>
        <w:t>,</w:t>
      </w:r>
      <w:r w:rsidRPr="00F273B6">
        <w:t xml:space="preserve"> amend to read:</w:t>
      </w:r>
    </w:p>
    <w:p w:rsidR="00EC2FD4" w:rsidRDefault="00EC2FD4" w:rsidP="00EC2FD4">
      <w:pPr>
        <w:pStyle w:val="SingleTxtG"/>
        <w:ind w:leftChars="567" w:left="2268" w:hangingChars="567" w:hanging="1134"/>
        <w:rPr>
          <w:bCs/>
          <w:lang w:val="en-US"/>
        </w:rPr>
      </w:pPr>
      <w:r>
        <w:rPr>
          <w:bCs/>
          <w:lang w:val="en-US"/>
        </w:rPr>
        <w:t>"</w:t>
      </w:r>
      <w:r w:rsidRPr="00052CB4">
        <w:rPr>
          <w:color w:val="000000"/>
        </w:rPr>
        <w:t>6.2.7.6.1.</w:t>
      </w:r>
      <w:r w:rsidRPr="00052CB4">
        <w:rPr>
          <w:color w:val="000000"/>
        </w:rPr>
        <w:tab/>
        <w:t>The</w:t>
      </w:r>
      <w:r w:rsidRPr="008E4C88">
        <w:rPr>
          <w:color w:val="000000"/>
        </w:rPr>
        <w:t xml:space="preserve"> dipped-beam headlamps </w:t>
      </w:r>
      <w:r>
        <w:rPr>
          <w:color w:val="000000"/>
        </w:rPr>
        <w:t>shall be...</w:t>
      </w:r>
      <w:r w:rsidRPr="00052CB4">
        <w:rPr>
          <w:color w:val="000000"/>
        </w:rPr>
        <w:t xml:space="preserve">according to the requirements of Annex </w:t>
      </w:r>
      <w:r>
        <w:rPr>
          <w:rFonts w:hint="eastAsia"/>
          <w:b/>
          <w:color w:val="000000"/>
          <w:lang w:eastAsia="ja-JP"/>
        </w:rPr>
        <w:t>12</w:t>
      </w:r>
      <w:r w:rsidRPr="00052CB4">
        <w:rPr>
          <w:color w:val="000000"/>
        </w:rPr>
        <w:t>; or</w:t>
      </w:r>
      <w:r>
        <w:rPr>
          <w:bCs/>
          <w:lang w:val="en-US"/>
        </w:rPr>
        <w:t>"</w:t>
      </w:r>
    </w:p>
    <w:p w:rsidR="00EC2FD4" w:rsidRPr="00432405" w:rsidRDefault="00EC2FD4" w:rsidP="00EC2FD4">
      <w:pPr>
        <w:pStyle w:val="SingleTxtG"/>
      </w:pPr>
      <w:r w:rsidRPr="00F273B6">
        <w:rPr>
          <w:i/>
        </w:rPr>
        <w:t>Paragraph</w:t>
      </w:r>
      <w:r w:rsidRPr="00432405">
        <w:rPr>
          <w:i/>
        </w:rPr>
        <w:t xml:space="preserve"> </w:t>
      </w:r>
      <w:r w:rsidRPr="00432405">
        <w:rPr>
          <w:i/>
          <w:color w:val="000000"/>
        </w:rPr>
        <w:t>6.2.7.6.1.</w:t>
      </w:r>
      <w:r w:rsidRPr="00432405">
        <w:rPr>
          <w:i/>
        </w:rPr>
        <w:t>,</w:t>
      </w:r>
      <w:r w:rsidRPr="00F273B6">
        <w:t xml:space="preserve"> amend to read:</w:t>
      </w:r>
    </w:p>
    <w:p w:rsidR="00EC2FD4" w:rsidRPr="008E4C88" w:rsidRDefault="00EC2FD4" w:rsidP="00EC2FD4">
      <w:pPr>
        <w:spacing w:after="120"/>
        <w:ind w:left="2268" w:right="1134" w:hanging="1134"/>
        <w:jc w:val="both"/>
        <w:rPr>
          <w:color w:val="000000"/>
        </w:rPr>
      </w:pPr>
      <w:r>
        <w:rPr>
          <w:bCs/>
          <w:lang w:val="en-US"/>
        </w:rPr>
        <w:t>"</w:t>
      </w:r>
      <w:r w:rsidRPr="0064490E">
        <w:rPr>
          <w:color w:val="000000"/>
        </w:rPr>
        <w:t>6.2.7.6.3.3.</w:t>
      </w:r>
      <w:r w:rsidRPr="0064490E">
        <w:rPr>
          <w:color w:val="000000"/>
        </w:rPr>
        <w:tab/>
        <w:t xml:space="preserve">A tell-tale visual, auditory or both, shall be activated only in reduced ambient lighting conditions as defined in Annex </w:t>
      </w:r>
      <w:r w:rsidRPr="00432405">
        <w:rPr>
          <w:b/>
          <w:color w:val="000000"/>
        </w:rPr>
        <w:t>12</w:t>
      </w:r>
      <w:proofErr w:type="gramStart"/>
      <w:r>
        <w:rPr>
          <w:color w:val="000000"/>
        </w:rPr>
        <w:t>....</w:t>
      </w:r>
      <w:r w:rsidRPr="0064490E">
        <w:rPr>
          <w:color w:val="000000"/>
        </w:rPr>
        <w:t>.</w:t>
      </w:r>
      <w:r w:rsidRPr="00432405">
        <w:rPr>
          <w:bCs/>
          <w:lang w:val="en-US"/>
        </w:rPr>
        <w:t xml:space="preserve"> </w:t>
      </w:r>
      <w:r>
        <w:rPr>
          <w:bCs/>
          <w:lang w:val="en-US"/>
        </w:rPr>
        <w:t>"</w:t>
      </w:r>
      <w:proofErr w:type="gramEnd"/>
    </w:p>
    <w:p w:rsidR="00EC2FD4" w:rsidRDefault="00EC2FD4" w:rsidP="00EC2FD4">
      <w:pPr>
        <w:pStyle w:val="SingleTxtG"/>
      </w:pPr>
      <w:r w:rsidRPr="00F273B6">
        <w:rPr>
          <w:i/>
        </w:rPr>
        <w:t>Paragraph 6.2.9.</w:t>
      </w:r>
      <w:r w:rsidRPr="00F273B6">
        <w:t>, amend to read:</w:t>
      </w:r>
    </w:p>
    <w:p w:rsidR="00EC2FD4" w:rsidRDefault="00EC2FD4" w:rsidP="00EC2FD4">
      <w:pPr>
        <w:pStyle w:val="SingleTxtG"/>
        <w:rPr>
          <w:lang w:val="en-US"/>
        </w:rPr>
      </w:pPr>
      <w:r>
        <w:rPr>
          <w:lang w:val="en-US"/>
        </w:rPr>
        <w:t>"6.2.</w:t>
      </w:r>
      <w:r w:rsidRPr="00F273B6">
        <w:rPr>
          <w:lang w:val="en-US"/>
        </w:rPr>
        <w:t xml:space="preserve">9. </w:t>
      </w:r>
      <w:r w:rsidRPr="00F273B6">
        <w:rPr>
          <w:lang w:val="en-US"/>
        </w:rPr>
        <w:tab/>
      </w:r>
      <w:r w:rsidRPr="00A015F1">
        <w:rPr>
          <w:i/>
          <w:iCs/>
          <w:lang w:val="en-US"/>
        </w:rPr>
        <w:t>Other requirements</w:t>
      </w:r>
    </w:p>
    <w:p w:rsidR="00EC2FD4" w:rsidRPr="00F273B6" w:rsidRDefault="00EC2FD4" w:rsidP="00EC2FD4">
      <w:pPr>
        <w:pStyle w:val="SingleTxtG"/>
        <w:ind w:left="2268"/>
        <w:rPr>
          <w:lang w:val="en-US"/>
        </w:rPr>
      </w:pPr>
      <w:proofErr w:type="gramStart"/>
      <w:r w:rsidRPr="00F273B6">
        <w:rPr>
          <w:lang w:val="en-US"/>
        </w:rPr>
        <w:t xml:space="preserve">The </w:t>
      </w:r>
      <w:r>
        <w:rPr>
          <w:lang w:val="en-US"/>
        </w:rPr>
        <w:t>requirements of paragraph 5.5.</w:t>
      </w:r>
      <w:r w:rsidRPr="00F273B6">
        <w:rPr>
          <w:lang w:val="en-US"/>
        </w:rPr>
        <w:t>2.</w:t>
      </w:r>
      <w:proofErr w:type="gramEnd"/>
      <w:r w:rsidRPr="00F273B6">
        <w:rPr>
          <w:lang w:val="en-US"/>
        </w:rPr>
        <w:t xml:space="preserve"> </w:t>
      </w:r>
      <w:proofErr w:type="gramStart"/>
      <w:r w:rsidRPr="00F273B6">
        <w:rPr>
          <w:lang w:val="en-US"/>
        </w:rPr>
        <w:t>shall</w:t>
      </w:r>
      <w:proofErr w:type="gramEnd"/>
      <w:r w:rsidRPr="00F273B6">
        <w:rPr>
          <w:lang w:val="en-US"/>
        </w:rPr>
        <w:t xml:space="preserve"> not apply to dipped-beam headlamps. </w:t>
      </w:r>
    </w:p>
    <w:p w:rsidR="00DD6BD5" w:rsidRPr="00B548EE" w:rsidRDefault="00EC2FD4" w:rsidP="00DD6BD5">
      <w:pPr>
        <w:pStyle w:val="para"/>
      </w:pPr>
      <w:r w:rsidRPr="00B548EE">
        <w:tab/>
        <w:t xml:space="preserve">Dipped-beam </w:t>
      </w:r>
      <w:r w:rsidRPr="008E4C88">
        <w:t>headlamps</w:t>
      </w:r>
      <w:r w:rsidRPr="00B548EE">
        <w:t xml:space="preserve"> </w:t>
      </w:r>
      <w:r w:rsidRPr="008E4C88">
        <w:t xml:space="preserve">with </w:t>
      </w:r>
      <w:r w:rsidRPr="00B548EE">
        <w:t xml:space="preserve">a light source or </w:t>
      </w:r>
      <w:r w:rsidRPr="008E4C88">
        <w:t>LED module(s) producing the principal dipped</w:t>
      </w:r>
      <w:r>
        <w:t xml:space="preserve">-beam </w:t>
      </w:r>
      <w:r w:rsidRPr="00B548EE">
        <w:t>and having a total objecti</w:t>
      </w:r>
      <w:r>
        <w:t>ve luminous flux which exceeds </w:t>
      </w:r>
      <w:r w:rsidRPr="00B548EE">
        <w:t>2,000 lumen</w:t>
      </w:r>
      <w:r>
        <w:t>s</w:t>
      </w:r>
      <w:r w:rsidRPr="00B548EE">
        <w:t xml:space="preserve"> shall only be installed in conjunction with </w:t>
      </w:r>
      <w:r w:rsidRPr="00B548EE">
        <w:lastRenderedPageBreak/>
        <w:t>the installation of headlamp cleaning device</w:t>
      </w:r>
      <w:proofErr w:type="gramStart"/>
      <w:r w:rsidRPr="00B548EE">
        <w:t>( s</w:t>
      </w:r>
      <w:proofErr w:type="gramEnd"/>
      <w:r w:rsidRPr="00B548EE">
        <w:t xml:space="preserve">) according to </w:t>
      </w:r>
      <w:r w:rsidR="00DD6BD5" w:rsidRPr="00B548EE">
        <w:t>Regulation No. 45</w:t>
      </w:r>
      <w:r w:rsidR="00DD6BD5">
        <w:t>.</w:t>
      </w:r>
      <w:r w:rsidR="00DD6BD5">
        <w:rPr>
          <w:rStyle w:val="FootnoteReference"/>
        </w:rPr>
        <w:footnoteReference w:id="2"/>
      </w:r>
    </w:p>
    <w:p w:rsidR="00EC2FD4" w:rsidRPr="00646F6A" w:rsidRDefault="00EC2FD4" w:rsidP="00EC2FD4">
      <w:pPr>
        <w:pStyle w:val="para"/>
        <w:rPr>
          <w:strike/>
        </w:rPr>
      </w:pPr>
      <w:r w:rsidRPr="00B548EE">
        <w:tab/>
      </w:r>
      <w:r w:rsidRPr="00646F6A">
        <w:rPr>
          <w:strike/>
        </w:rPr>
        <w:t xml:space="preserve">With respect to vertical inclination the provisions of paragraph 6.2.6.2.2. </w:t>
      </w:r>
      <w:proofErr w:type="gramStart"/>
      <w:r w:rsidRPr="00646F6A">
        <w:rPr>
          <w:strike/>
        </w:rPr>
        <w:t>above</w:t>
      </w:r>
      <w:proofErr w:type="gramEnd"/>
      <w:r w:rsidRPr="00646F6A">
        <w:rPr>
          <w:strike/>
        </w:rPr>
        <w:t xml:space="preserve"> shall not be applied for dipped-beam headlamps:</w:t>
      </w:r>
    </w:p>
    <w:p w:rsidR="00EC2FD4" w:rsidRPr="00646F6A" w:rsidRDefault="00EC2FD4" w:rsidP="00EC2FD4">
      <w:pPr>
        <w:pStyle w:val="a"/>
        <w:rPr>
          <w:strike/>
        </w:rPr>
      </w:pPr>
      <w:r w:rsidRPr="00646F6A">
        <w:rPr>
          <w:strike/>
        </w:rPr>
        <w:t xml:space="preserve">(a) </w:t>
      </w:r>
      <w:r w:rsidRPr="00646F6A">
        <w:rPr>
          <w:strike/>
        </w:rPr>
        <w:tab/>
        <w:t xml:space="preserve">With LED module(s) </w:t>
      </w:r>
      <w:r w:rsidRPr="008E4C88">
        <w:rPr>
          <w:strike/>
        </w:rPr>
        <w:t>producing the principal dipped</w:t>
      </w:r>
      <w:r w:rsidRPr="00646F6A">
        <w:rPr>
          <w:strike/>
        </w:rPr>
        <w:t xml:space="preserve">-beam, or </w:t>
      </w:r>
    </w:p>
    <w:p w:rsidR="00EC2FD4" w:rsidRPr="008E4C88" w:rsidRDefault="00EC2FD4" w:rsidP="00EC2FD4">
      <w:pPr>
        <w:pStyle w:val="a"/>
      </w:pPr>
      <w:r w:rsidRPr="00646F6A">
        <w:rPr>
          <w:strike/>
        </w:rPr>
        <w:t xml:space="preserve">(b) </w:t>
      </w:r>
      <w:r w:rsidRPr="00646F6A">
        <w:rPr>
          <w:strike/>
        </w:rPr>
        <w:tab/>
        <w:t>With a light source producing the principal dipped-</w:t>
      </w:r>
      <w:r w:rsidRPr="008E4C88">
        <w:rPr>
          <w:strike/>
        </w:rPr>
        <w:t>beam and having an objective luminous flux which exceeds 2,000 </w:t>
      </w:r>
      <w:r w:rsidRPr="00646F6A">
        <w:rPr>
          <w:strike/>
        </w:rPr>
        <w:t>lumens</w:t>
      </w:r>
      <w:r w:rsidRPr="008E4C88">
        <w:rPr>
          <w:strike/>
        </w:rPr>
        <w:t>.</w:t>
      </w:r>
    </w:p>
    <w:p w:rsidR="00EC2FD4" w:rsidRDefault="00EC2FD4" w:rsidP="00EC2FD4">
      <w:pPr>
        <w:pStyle w:val="para"/>
      </w:pPr>
      <w:r w:rsidRPr="00B548EE">
        <w:tab/>
        <w:t xml:space="preserve">In the case of filament lamps for which more than one test voltage is specified, the objective luminous flux which produces the principal </w:t>
      </w:r>
      <w:r>
        <w:t>dipped-beam</w:t>
      </w:r>
      <w:r w:rsidRPr="00B548EE">
        <w:t>, as indicated in the communication form for the type approval of the device, is applied.</w:t>
      </w:r>
    </w:p>
    <w:p w:rsidR="00EC2FD4" w:rsidRPr="00B548EE" w:rsidRDefault="00EC2FD4" w:rsidP="00EC2FD4">
      <w:pPr>
        <w:pStyle w:val="para"/>
        <w:ind w:firstLine="0"/>
      </w:pPr>
      <w:r>
        <w:t>.....</w:t>
      </w:r>
      <w:r w:rsidRPr="00F273B6">
        <w:rPr>
          <w:lang w:val="en-US"/>
        </w:rPr>
        <w:t xml:space="preserve"> </w:t>
      </w:r>
      <w:r>
        <w:rPr>
          <w:lang w:val="en-US"/>
        </w:rPr>
        <w:t>"</w:t>
      </w:r>
    </w:p>
    <w:p w:rsidR="00EC2FD4" w:rsidRDefault="00EC2FD4" w:rsidP="00EC2FD4">
      <w:pPr>
        <w:pStyle w:val="SingleTxtG"/>
      </w:pPr>
      <w:r w:rsidRPr="00F273B6">
        <w:rPr>
          <w:i/>
        </w:rPr>
        <w:t>Paragraph 6.21.5.1.</w:t>
      </w:r>
      <w:r w:rsidRPr="00F273B6">
        <w:t>, amend to read:</w:t>
      </w:r>
    </w:p>
    <w:p w:rsidR="00EC2FD4" w:rsidRDefault="00EC2FD4" w:rsidP="00EC2FD4">
      <w:pPr>
        <w:pStyle w:val="SingleTxtG"/>
        <w:rPr>
          <w:bCs/>
          <w:lang w:val="en-US"/>
        </w:rPr>
      </w:pPr>
      <w:r>
        <w:rPr>
          <w:bCs/>
          <w:lang w:val="en-US"/>
        </w:rPr>
        <w:t>"</w:t>
      </w:r>
      <w:r w:rsidRPr="00F273B6">
        <w:rPr>
          <w:bCs/>
          <w:lang w:val="en-US"/>
        </w:rPr>
        <w:t>6.21.5.1.</w:t>
      </w:r>
      <w:r w:rsidRPr="00F273B6">
        <w:rPr>
          <w:bCs/>
          <w:lang w:val="en-US"/>
        </w:rPr>
        <w:tab/>
      </w:r>
      <w:proofErr w:type="gramStart"/>
      <w:r w:rsidRPr="00F273B6">
        <w:rPr>
          <w:bCs/>
          <w:lang w:val="en-US"/>
        </w:rPr>
        <w:t>for</w:t>
      </w:r>
      <w:proofErr w:type="gramEnd"/>
      <w:r w:rsidRPr="00F273B6">
        <w:rPr>
          <w:bCs/>
          <w:lang w:val="en-US"/>
        </w:rPr>
        <w:t xml:space="preserve"> rear conspicuity markings (see Annex </w:t>
      </w:r>
      <w:r w:rsidRPr="00F273B6">
        <w:rPr>
          <w:b/>
          <w:bCs/>
          <w:lang w:val="en-US"/>
        </w:rPr>
        <w:t>10</w:t>
      </w:r>
      <w:r w:rsidRPr="00F273B6">
        <w:rPr>
          <w:bCs/>
          <w:lang w:val="en-US"/>
        </w:rPr>
        <w:t>, Figure 1</w:t>
      </w:r>
      <w:r>
        <w:rPr>
          <w:bCs/>
          <w:lang w:val="en-US"/>
        </w:rPr>
        <w:t>a and 1b</w:t>
      </w:r>
      <w:r w:rsidRPr="00F273B6">
        <w:rPr>
          <w:bCs/>
          <w:lang w:val="en-US"/>
        </w:rPr>
        <w:t xml:space="preserve">) the </w:t>
      </w:r>
      <w:r>
        <w:rPr>
          <w:bCs/>
          <w:lang w:val="en-US"/>
        </w:rPr>
        <w:t>…"</w:t>
      </w:r>
    </w:p>
    <w:p w:rsidR="00EC2FD4" w:rsidRDefault="00EC2FD4" w:rsidP="00EC2FD4">
      <w:pPr>
        <w:pStyle w:val="SingleTxtG"/>
      </w:pPr>
      <w:r w:rsidRPr="00F273B6">
        <w:rPr>
          <w:i/>
        </w:rPr>
        <w:t>Paragraph 6.21.5.2.</w:t>
      </w:r>
      <w:r w:rsidRPr="00F273B6">
        <w:t>, amend to read:</w:t>
      </w:r>
    </w:p>
    <w:p w:rsidR="00EC2FD4" w:rsidRDefault="00EC2FD4" w:rsidP="00EC2FD4">
      <w:pPr>
        <w:pStyle w:val="SingleTxtG"/>
        <w:rPr>
          <w:bCs/>
          <w:lang w:val="en-US"/>
        </w:rPr>
      </w:pPr>
      <w:r>
        <w:rPr>
          <w:bCs/>
          <w:lang w:val="en-US"/>
        </w:rPr>
        <w:t>"</w:t>
      </w:r>
      <w:r w:rsidRPr="00F273B6">
        <w:rPr>
          <w:bCs/>
          <w:lang w:val="en-US"/>
        </w:rPr>
        <w:t>6.21.5.2.</w:t>
      </w:r>
      <w:r w:rsidRPr="00F273B6">
        <w:rPr>
          <w:bCs/>
          <w:lang w:val="en-US"/>
        </w:rPr>
        <w:tab/>
      </w:r>
      <w:proofErr w:type="gramStart"/>
      <w:r w:rsidRPr="00F273B6">
        <w:rPr>
          <w:bCs/>
          <w:lang w:val="en-US"/>
        </w:rPr>
        <w:t>for</w:t>
      </w:r>
      <w:proofErr w:type="gramEnd"/>
      <w:r w:rsidRPr="00F273B6">
        <w:rPr>
          <w:bCs/>
          <w:lang w:val="en-US"/>
        </w:rPr>
        <w:t xml:space="preserve"> side conspicuity markings (see Annex </w:t>
      </w:r>
      <w:r w:rsidRPr="00F273B6">
        <w:rPr>
          <w:b/>
          <w:bCs/>
          <w:lang w:val="en-US"/>
        </w:rPr>
        <w:t>10</w:t>
      </w:r>
      <w:r>
        <w:rPr>
          <w:bCs/>
          <w:lang w:val="en-US"/>
        </w:rPr>
        <w:t>, F</w:t>
      </w:r>
      <w:r w:rsidRPr="00F273B6">
        <w:rPr>
          <w:bCs/>
          <w:lang w:val="en-US"/>
        </w:rPr>
        <w:t>igure 2)</w:t>
      </w:r>
      <w:r>
        <w:rPr>
          <w:bCs/>
          <w:lang w:val="en-US"/>
        </w:rPr>
        <w:t>…"</w:t>
      </w:r>
    </w:p>
    <w:p w:rsidR="00EC2FD4" w:rsidRDefault="00EC2FD4" w:rsidP="00EC2FD4">
      <w:pPr>
        <w:pStyle w:val="SingleTxtG"/>
      </w:pPr>
      <w:r>
        <w:rPr>
          <w:i/>
        </w:rPr>
        <w:t xml:space="preserve">Paragraph </w:t>
      </w:r>
      <w:r w:rsidRPr="001255AC">
        <w:rPr>
          <w:i/>
        </w:rPr>
        <w:t>6.22.6.3.</w:t>
      </w:r>
      <w:r w:rsidRPr="00F273B6">
        <w:t>, amend to read:</w:t>
      </w:r>
    </w:p>
    <w:p w:rsidR="00EC2FD4" w:rsidRPr="00F123C1" w:rsidRDefault="00EC2FD4" w:rsidP="00EC2FD4">
      <w:pPr>
        <w:pStyle w:val="para"/>
      </w:pPr>
      <w:r>
        <w:rPr>
          <w:bCs/>
          <w:lang w:val="en-US"/>
        </w:rPr>
        <w:t>"</w:t>
      </w:r>
      <w:r w:rsidRPr="00F123C1">
        <w:t>6.22.6.3.</w:t>
      </w:r>
      <w:r w:rsidRPr="00F123C1">
        <w:tab/>
        <w:t>Horizontal orientation:</w:t>
      </w:r>
    </w:p>
    <w:p w:rsidR="00EC2FD4" w:rsidRPr="00F123C1" w:rsidRDefault="00EC2FD4" w:rsidP="00EC2FD4">
      <w:pPr>
        <w:pStyle w:val="para"/>
      </w:pPr>
      <w:r w:rsidRPr="00F123C1">
        <w:tab/>
      </w:r>
      <w:proofErr w:type="gramStart"/>
      <w:r>
        <w:t>....</w:t>
      </w:r>
      <w:r w:rsidRPr="00F123C1">
        <w:t xml:space="preserve">, as defined according to Annex </w:t>
      </w:r>
      <w:r>
        <w:rPr>
          <w:b/>
        </w:rPr>
        <w:t>9</w:t>
      </w:r>
      <w:r w:rsidRPr="00F123C1">
        <w:t xml:space="preserve"> of Regulation No. 123.</w:t>
      </w:r>
      <w:proofErr w:type="gramEnd"/>
      <w:r w:rsidRPr="001255AC">
        <w:rPr>
          <w:bCs/>
          <w:lang w:val="en-US"/>
        </w:rPr>
        <w:t xml:space="preserve"> </w:t>
      </w:r>
      <w:r>
        <w:rPr>
          <w:bCs/>
          <w:lang w:val="en-US"/>
        </w:rPr>
        <w:t>"</w:t>
      </w:r>
    </w:p>
    <w:p w:rsidR="00EC2FD4" w:rsidRDefault="00EC2FD4" w:rsidP="00EC2FD4">
      <w:pPr>
        <w:pStyle w:val="SingleTxtG"/>
      </w:pPr>
      <w:r>
        <w:rPr>
          <w:i/>
        </w:rPr>
        <w:t>Paragraph 6.22.9</w:t>
      </w:r>
      <w:r w:rsidRPr="00F273B6">
        <w:rPr>
          <w:i/>
        </w:rPr>
        <w:t>.2.</w:t>
      </w:r>
      <w:r>
        <w:rPr>
          <w:i/>
        </w:rPr>
        <w:t>4.</w:t>
      </w:r>
      <w:r w:rsidRPr="00F273B6">
        <w:t>, amend to read:</w:t>
      </w:r>
    </w:p>
    <w:p w:rsidR="00EC2FD4" w:rsidRDefault="00EC2FD4" w:rsidP="00EC2FD4">
      <w:pPr>
        <w:pStyle w:val="para"/>
        <w:rPr>
          <w:bCs/>
          <w:lang w:val="en-US"/>
        </w:rPr>
      </w:pPr>
      <w:r>
        <w:rPr>
          <w:bCs/>
          <w:lang w:val="en-US"/>
        </w:rPr>
        <w:t>"</w:t>
      </w:r>
      <w:r w:rsidRPr="00C96034">
        <w:t>6.22.9.2.4.</w:t>
      </w:r>
      <w:r w:rsidRPr="00C96034">
        <w:tab/>
        <w:t xml:space="preserve">To verify, </w:t>
      </w:r>
      <w:proofErr w:type="gramStart"/>
      <w:r>
        <w:t xml:space="preserve">.... </w:t>
      </w:r>
      <w:r w:rsidRPr="00C96034">
        <w:t>,</w:t>
      </w:r>
      <w:proofErr w:type="gramEnd"/>
      <w:r w:rsidRPr="00C96034">
        <w:t xml:space="preserve"> the technical service shall perform </w:t>
      </w:r>
      <w:r w:rsidRPr="00C96034">
        <w:rPr>
          <w:bCs/>
        </w:rPr>
        <w:t xml:space="preserve">a test drive according to paragraph 2 in Annex </w:t>
      </w:r>
      <w:r w:rsidRPr="00432405">
        <w:rPr>
          <w:b/>
          <w:bCs/>
        </w:rPr>
        <w:t>11</w:t>
      </w:r>
      <w:r w:rsidRPr="00C96034">
        <w:t>.</w:t>
      </w:r>
      <w:r>
        <w:t xml:space="preserve">   ...</w:t>
      </w:r>
      <w:r w:rsidRPr="00C96034">
        <w:t>.</w:t>
      </w:r>
      <w:r w:rsidRPr="00B27820">
        <w:rPr>
          <w:bCs/>
          <w:lang w:val="en-US"/>
        </w:rPr>
        <w:t xml:space="preserve"> </w:t>
      </w:r>
      <w:r>
        <w:rPr>
          <w:bCs/>
          <w:lang w:val="en-US"/>
        </w:rPr>
        <w:t>"</w:t>
      </w:r>
    </w:p>
    <w:p w:rsidR="00EC2FD4" w:rsidRDefault="00EC2FD4" w:rsidP="00EC2FD4">
      <w:pPr>
        <w:pStyle w:val="SingleTxtG"/>
      </w:pPr>
      <w:r>
        <w:rPr>
          <w:i/>
        </w:rPr>
        <w:t xml:space="preserve">Paragraph </w:t>
      </w:r>
      <w:r w:rsidRPr="00B27820">
        <w:rPr>
          <w:i/>
          <w:iCs/>
        </w:rPr>
        <w:t>6.24.9.3.</w:t>
      </w:r>
      <w:r w:rsidRPr="00F273B6">
        <w:t>, amend to read:</w:t>
      </w:r>
    </w:p>
    <w:p w:rsidR="00EC2FD4" w:rsidRDefault="00EC2FD4" w:rsidP="00EC2FD4">
      <w:pPr>
        <w:pStyle w:val="para"/>
        <w:rPr>
          <w:bCs/>
          <w:lang w:val="en-US" w:eastAsia="ja-JP"/>
        </w:rPr>
      </w:pPr>
      <w:r>
        <w:rPr>
          <w:bCs/>
          <w:lang w:val="en-US"/>
        </w:rPr>
        <w:t>"</w:t>
      </w:r>
      <w:r w:rsidRPr="00147BD7">
        <w:rPr>
          <w:iCs/>
        </w:rPr>
        <w:t>6.24.9.3.</w:t>
      </w:r>
      <w:r w:rsidRPr="00147BD7">
        <w:rPr>
          <w:iCs/>
        </w:rPr>
        <w:tab/>
      </w:r>
      <w:r>
        <w:t>...</w:t>
      </w:r>
      <w:r w:rsidRPr="00C96034">
        <w:t>.</w:t>
      </w:r>
      <w:r>
        <w:t xml:space="preserve"> </w:t>
      </w:r>
      <w:r w:rsidRPr="00147BD7">
        <w:rPr>
          <w:iCs/>
        </w:rPr>
        <w:t xml:space="preserve">in Annex </w:t>
      </w:r>
      <w:r>
        <w:rPr>
          <w:b/>
          <w:iCs/>
        </w:rPr>
        <w:t>13</w:t>
      </w:r>
      <w:proofErr w:type="gramStart"/>
      <w:r w:rsidRPr="00147BD7">
        <w:rPr>
          <w:iCs/>
        </w:rPr>
        <w:t>.</w:t>
      </w:r>
      <w:r w:rsidRPr="00B27820">
        <w:rPr>
          <w:bCs/>
          <w:lang w:val="en-US"/>
        </w:rPr>
        <w:t xml:space="preserve"> </w:t>
      </w:r>
      <w:r>
        <w:rPr>
          <w:bCs/>
          <w:lang w:val="en-US"/>
        </w:rPr>
        <w:t>"</w:t>
      </w:r>
      <w:proofErr w:type="gramEnd"/>
    </w:p>
    <w:p w:rsidR="00EC2FD4" w:rsidRDefault="00EC2FD4" w:rsidP="00EC2FD4">
      <w:pPr>
        <w:pStyle w:val="SingleTxtG"/>
      </w:pPr>
      <w:r>
        <w:rPr>
          <w:i/>
        </w:rPr>
        <w:t xml:space="preserve">Paragraph </w:t>
      </w:r>
      <w:r w:rsidRPr="00B27820">
        <w:rPr>
          <w:i/>
          <w:iCs/>
        </w:rPr>
        <w:t>6.</w:t>
      </w:r>
      <w:r>
        <w:rPr>
          <w:rFonts w:hint="eastAsia"/>
          <w:i/>
          <w:iCs/>
          <w:lang w:eastAsia="ja-JP"/>
        </w:rPr>
        <w:t>26</w:t>
      </w:r>
      <w:r>
        <w:rPr>
          <w:i/>
          <w:iCs/>
        </w:rPr>
        <w:t>.9.</w:t>
      </w:r>
      <w:r>
        <w:rPr>
          <w:rFonts w:hint="eastAsia"/>
          <w:i/>
          <w:iCs/>
          <w:lang w:eastAsia="ja-JP"/>
        </w:rPr>
        <w:t>1</w:t>
      </w:r>
      <w:r w:rsidRPr="00B27820">
        <w:rPr>
          <w:i/>
          <w:iCs/>
        </w:rPr>
        <w:t>.</w:t>
      </w:r>
      <w:r w:rsidRPr="00F273B6">
        <w:t>, amend to read:</w:t>
      </w:r>
    </w:p>
    <w:p w:rsidR="00EC2FD4" w:rsidRDefault="00EC2FD4" w:rsidP="00EC2FD4">
      <w:pPr>
        <w:pStyle w:val="SingleTxtG"/>
      </w:pPr>
      <w:r>
        <w:rPr>
          <w:bCs/>
          <w:lang w:val="en-US"/>
        </w:rPr>
        <w:t>"</w:t>
      </w:r>
      <w:r>
        <w:rPr>
          <w:bCs/>
          <w:lang w:val="en-US" w:eastAsia="ja-JP"/>
        </w:rPr>
        <w:t>6.26.9.1</w:t>
      </w:r>
      <w:proofErr w:type="gramStart"/>
      <w:r>
        <w:rPr>
          <w:bCs/>
          <w:lang w:val="en-US" w:eastAsia="ja-JP"/>
        </w:rPr>
        <w:t>.</w:t>
      </w:r>
      <w:r w:rsidRPr="007A2BD5">
        <w:t xml:space="preserve"> </w:t>
      </w:r>
      <w:r>
        <w:t>.</w:t>
      </w:r>
      <w:proofErr w:type="gramEnd"/>
      <w:r>
        <w:rPr>
          <w:rFonts w:hint="eastAsia"/>
          <w:lang w:eastAsia="ja-JP"/>
        </w:rPr>
        <w:tab/>
      </w:r>
      <w:r>
        <w:t>..</w:t>
      </w:r>
      <w:r w:rsidRPr="00C96034">
        <w:t>.</w:t>
      </w:r>
      <w:r>
        <w:t xml:space="preserve"> </w:t>
      </w:r>
      <w:proofErr w:type="gramStart"/>
      <w:r w:rsidRPr="00147BD7">
        <w:rPr>
          <w:iCs/>
        </w:rPr>
        <w:t>in</w:t>
      </w:r>
      <w:proofErr w:type="gramEnd"/>
      <w:r w:rsidRPr="00147BD7">
        <w:rPr>
          <w:iCs/>
        </w:rPr>
        <w:t xml:space="preserve"> Annex </w:t>
      </w:r>
      <w:r>
        <w:rPr>
          <w:b/>
          <w:iCs/>
        </w:rPr>
        <w:t>13</w:t>
      </w:r>
      <w:r w:rsidRPr="00147BD7">
        <w:rPr>
          <w:iCs/>
        </w:rPr>
        <w:t>.</w:t>
      </w:r>
      <w:r w:rsidRPr="00B27820">
        <w:rPr>
          <w:bCs/>
          <w:lang w:val="en-US"/>
        </w:rPr>
        <w:t xml:space="preserve"> </w:t>
      </w:r>
      <w:r>
        <w:rPr>
          <w:bCs/>
          <w:lang w:val="en-US"/>
        </w:rPr>
        <w:t>"</w:t>
      </w:r>
      <w:r w:rsidRPr="00F273B6">
        <w:rPr>
          <w:i/>
        </w:rPr>
        <w:t>Paragraph 8.2.2.</w:t>
      </w:r>
      <w:r w:rsidRPr="00F273B6">
        <w:t>, amend to read:</w:t>
      </w:r>
    </w:p>
    <w:p w:rsidR="00EC2FD4" w:rsidRDefault="00EC2FD4" w:rsidP="00EC2FD4">
      <w:pPr>
        <w:pStyle w:val="SingleTxtG"/>
        <w:ind w:left="2268" w:hanging="1134"/>
        <w:rPr>
          <w:lang w:val="en-US"/>
        </w:rPr>
      </w:pPr>
      <w:r>
        <w:rPr>
          <w:lang w:val="en-US"/>
        </w:rPr>
        <w:t>"</w:t>
      </w:r>
      <w:r w:rsidRPr="00F273B6">
        <w:rPr>
          <w:lang w:val="en-US"/>
        </w:rPr>
        <w:t>8.2.2.</w:t>
      </w:r>
      <w:r w:rsidRPr="00F273B6">
        <w:rPr>
          <w:lang w:val="en-US"/>
        </w:rPr>
        <w:tab/>
      </w:r>
      <w:proofErr w:type="gramStart"/>
      <w:r w:rsidRPr="00F273B6">
        <w:rPr>
          <w:lang w:val="en-US"/>
        </w:rPr>
        <w:t>ensure</w:t>
      </w:r>
      <w:proofErr w:type="gramEnd"/>
      <w:r w:rsidRPr="00F273B6">
        <w:rPr>
          <w:lang w:val="en-US"/>
        </w:rPr>
        <w:t xml:space="preserve"> that </w:t>
      </w:r>
      <w:r>
        <w:rPr>
          <w:lang w:val="en-US"/>
        </w:rPr>
        <w:t>…</w:t>
      </w:r>
      <w:r w:rsidRPr="00F273B6">
        <w:rPr>
          <w:lang w:val="en-US"/>
        </w:rPr>
        <w:t xml:space="preserve">in Annex </w:t>
      </w:r>
      <w:r w:rsidRPr="00F273B6">
        <w:rPr>
          <w:b/>
          <w:lang w:val="en-US"/>
        </w:rPr>
        <w:t>8</w:t>
      </w:r>
      <w:r w:rsidRPr="00F273B6">
        <w:rPr>
          <w:lang w:val="en-US"/>
        </w:rPr>
        <w:t xml:space="preserve"> to </w:t>
      </w:r>
      <w:r>
        <w:rPr>
          <w:lang w:val="en-US"/>
        </w:rPr>
        <w:t>…"</w:t>
      </w:r>
    </w:p>
    <w:p w:rsidR="00EC2FD4" w:rsidRPr="008E4C88" w:rsidRDefault="00EC2FD4" w:rsidP="00EC2FD4">
      <w:pPr>
        <w:pStyle w:val="para"/>
      </w:pPr>
      <w:r w:rsidRPr="008E4C88">
        <w:rPr>
          <w:i/>
        </w:rPr>
        <w:t xml:space="preserve">Insert </w:t>
      </w:r>
      <w:r w:rsidRPr="00735080">
        <w:rPr>
          <w:i/>
          <w:lang w:eastAsia="it-IT"/>
        </w:rPr>
        <w:t xml:space="preserve">a </w:t>
      </w:r>
      <w:r w:rsidRPr="008E4C88">
        <w:rPr>
          <w:i/>
        </w:rPr>
        <w:t xml:space="preserve">new </w:t>
      </w:r>
      <w:r w:rsidRPr="00735080">
        <w:rPr>
          <w:i/>
          <w:lang w:eastAsia="it-IT"/>
        </w:rPr>
        <w:t>paragraph</w:t>
      </w:r>
      <w:r w:rsidRPr="008E4C88">
        <w:rPr>
          <w:i/>
        </w:rPr>
        <w:t xml:space="preserve"> 12.</w:t>
      </w:r>
      <w:r w:rsidRPr="00735080">
        <w:rPr>
          <w:i/>
          <w:lang w:eastAsia="it-IT"/>
        </w:rPr>
        <w:t>6</w:t>
      </w:r>
      <w:r w:rsidRPr="008E4C88">
        <w:rPr>
          <w:i/>
        </w:rPr>
        <w:t>.,</w:t>
      </w:r>
      <w:r w:rsidRPr="00735080">
        <w:rPr>
          <w:lang w:eastAsia="it-IT"/>
        </w:rPr>
        <w:t xml:space="preserve"> to read</w:t>
      </w:r>
    </w:p>
    <w:p w:rsidR="00EC2FD4" w:rsidRPr="00735080" w:rsidRDefault="00EC2FD4" w:rsidP="00EC2FD4">
      <w:pPr>
        <w:suppressAutoHyphens w:val="0"/>
        <w:spacing w:after="120"/>
        <w:ind w:left="2268" w:right="1134" w:hanging="1134"/>
        <w:jc w:val="both"/>
        <w:rPr>
          <w:b/>
        </w:rPr>
      </w:pPr>
      <w:r w:rsidRPr="00735080">
        <w:rPr>
          <w:b/>
          <w:bCs/>
        </w:rPr>
        <w:t>"12.6.</w:t>
      </w:r>
      <w:r w:rsidRPr="00735080">
        <w:rPr>
          <w:b/>
        </w:rPr>
        <w:t xml:space="preserve"> </w:t>
      </w:r>
      <w:r w:rsidRPr="00735080">
        <w:rPr>
          <w:b/>
        </w:rPr>
        <w:tab/>
        <w:t>Transitional provisions applicable to 07</w:t>
      </w:r>
      <w:r w:rsidRPr="008E4C88">
        <w:rPr>
          <w:b/>
        </w:rPr>
        <w:t xml:space="preserve"> series of amendments</w:t>
      </w:r>
    </w:p>
    <w:p w:rsidR="00EC2FD4" w:rsidRPr="00735080" w:rsidRDefault="00EC2FD4" w:rsidP="00EC2FD4">
      <w:pPr>
        <w:suppressAutoHyphens w:val="0"/>
        <w:spacing w:after="120"/>
        <w:ind w:left="2268" w:right="1134" w:hanging="1134"/>
        <w:jc w:val="both"/>
        <w:rPr>
          <w:b/>
        </w:rPr>
      </w:pPr>
      <w:r w:rsidRPr="00735080">
        <w:rPr>
          <w:b/>
        </w:rPr>
        <w:tab/>
      </w:r>
      <w:r w:rsidRPr="008E4C88">
        <w:rPr>
          <w:b/>
        </w:rPr>
        <w:t>Contracting Parties applying this Regulation</w:t>
      </w:r>
      <w:r w:rsidRPr="00735080">
        <w:rPr>
          <w:b/>
        </w:rPr>
        <w:t>:</w:t>
      </w:r>
    </w:p>
    <w:p w:rsidR="00EC2FD4" w:rsidRPr="008E4C88" w:rsidRDefault="00EC2FD4" w:rsidP="00EC2FD4">
      <w:pPr>
        <w:suppressAutoHyphens w:val="0"/>
        <w:spacing w:after="120"/>
        <w:ind w:left="2268" w:right="1134" w:hanging="1134"/>
        <w:jc w:val="both"/>
        <w:rPr>
          <w:b/>
        </w:rPr>
      </w:pPr>
      <w:r w:rsidRPr="00735080">
        <w:rPr>
          <w:b/>
        </w:rPr>
        <w:tab/>
        <w:t>From [</w:t>
      </w:r>
      <w:r>
        <w:rPr>
          <w:b/>
        </w:rPr>
        <w:t>1 September 20</w:t>
      </w:r>
      <w:r>
        <w:rPr>
          <w:rFonts w:hint="eastAsia"/>
          <w:b/>
          <w:lang w:eastAsia="ja-JP"/>
        </w:rPr>
        <w:t>XX</w:t>
      </w:r>
      <w:r>
        <w:rPr>
          <w:b/>
        </w:rPr>
        <w:t>] (</w:t>
      </w:r>
      <w:r>
        <w:rPr>
          <w:rFonts w:hint="eastAsia"/>
          <w:b/>
          <w:lang w:eastAsia="ja-JP"/>
        </w:rPr>
        <w:t>XX</w:t>
      </w:r>
      <w:r w:rsidRPr="00735080">
        <w:rPr>
          <w:b/>
        </w:rPr>
        <w:t xml:space="preserve"> months after the date of entry into force)</w:t>
      </w:r>
      <w:r w:rsidRPr="008E4C88">
        <w:rPr>
          <w:b/>
        </w:rPr>
        <w:t xml:space="preserve"> shall grant approvals only if the vehicle type to be approved meets the requirements of this Regulation as amended by the </w:t>
      </w:r>
      <w:r w:rsidRPr="00735080">
        <w:rPr>
          <w:b/>
        </w:rPr>
        <w:t>07</w:t>
      </w:r>
      <w:r w:rsidRPr="008E4C88">
        <w:rPr>
          <w:b/>
        </w:rPr>
        <w:t xml:space="preserve"> series of amendments</w:t>
      </w:r>
      <w:r w:rsidRPr="00735080">
        <w:rPr>
          <w:b/>
        </w:rPr>
        <w:t>."</w:t>
      </w:r>
    </w:p>
    <w:p w:rsidR="00EC2FD4" w:rsidRPr="00E7545F" w:rsidRDefault="00EC2FD4" w:rsidP="00EC2FD4">
      <w:pPr>
        <w:pStyle w:val="SingleTxtG"/>
      </w:pPr>
      <w:r w:rsidRPr="00CA6B6F">
        <w:rPr>
          <w:i/>
        </w:rPr>
        <w:t>Annex 2</w:t>
      </w:r>
      <w:r>
        <w:t>, amend to read:</w:t>
      </w:r>
    </w:p>
    <w:p w:rsidR="00EC2FD4" w:rsidRPr="00C84A12" w:rsidRDefault="00EC2FD4" w:rsidP="00EC2FD4">
      <w:pPr>
        <w:pStyle w:val="SingleTxtG"/>
        <w:ind w:left="2268" w:hanging="1134"/>
        <w:rPr>
          <w:u w:val="single"/>
          <w:lang w:val="en-US"/>
        </w:rPr>
      </w:pPr>
      <w:r w:rsidRPr="00C84A12">
        <w:rPr>
          <w:lang w:val="en-US"/>
        </w:rPr>
        <w:t>“</w:t>
      </w:r>
      <w:r w:rsidRPr="00CB213A">
        <w:rPr>
          <w:iCs/>
          <w:lang w:val="en-US"/>
        </w:rPr>
        <w:t>Annex 2</w:t>
      </w:r>
    </w:p>
    <w:p w:rsidR="00EC2FD4" w:rsidRPr="00C84A12" w:rsidRDefault="00EC2FD4" w:rsidP="00EC2FD4">
      <w:pPr>
        <w:pStyle w:val="SingleTxtG"/>
        <w:ind w:left="2268" w:hanging="1134"/>
        <w:rPr>
          <w:lang w:val="en-US"/>
        </w:rPr>
      </w:pPr>
      <w:r w:rsidRPr="00C84A12">
        <w:rPr>
          <w:lang w:val="en-US"/>
        </w:rPr>
        <w:t>Arrangements of Approval Marks</w:t>
      </w:r>
    </w:p>
    <w:p w:rsidR="00EC2FD4" w:rsidRPr="00F15C00" w:rsidRDefault="00EC2FD4" w:rsidP="00EC2FD4">
      <w:pPr>
        <w:pStyle w:val="SingleTxtG"/>
        <w:ind w:left="2268" w:hanging="1134"/>
        <w:rPr>
          <w:i/>
          <w:lang w:val="en-US"/>
        </w:rPr>
      </w:pPr>
      <w:r w:rsidRPr="00F15C00">
        <w:rPr>
          <w:i/>
          <w:lang w:val="en-US"/>
        </w:rPr>
        <w:t>Model A</w:t>
      </w:r>
    </w:p>
    <w:p w:rsidR="00EC2FD4" w:rsidRDefault="00EC2FD4" w:rsidP="00EC2FD4">
      <w:pPr>
        <w:pStyle w:val="SingleTxtG"/>
        <w:ind w:left="2268" w:hanging="1134"/>
        <w:rPr>
          <w:lang w:val="en-US"/>
        </w:rPr>
      </w:pPr>
      <w:r w:rsidRPr="00CA6B6F">
        <w:rPr>
          <w:lang w:val="en-US"/>
        </w:rPr>
        <w:t>(See paragraph 4.4. of this Regulation</w:t>
      </w:r>
      <w:r>
        <w:rPr>
          <w:lang w:val="en-US"/>
        </w:rPr>
        <w:t>)</w:t>
      </w:r>
    </w:p>
    <w:p w:rsidR="00EC2FD4" w:rsidRDefault="00EC2FD4" w:rsidP="00EC2FD4">
      <w:pPr>
        <w:pStyle w:val="SingleTxtG"/>
        <w:ind w:left="2268" w:hanging="1134"/>
      </w:pPr>
      <w:r>
        <w:rPr>
          <w:noProof/>
          <w:lang w:val="en-US"/>
        </w:rPr>
        <w:lastRenderedPageBreak/>
        <mc:AlternateContent>
          <mc:Choice Requires="wps">
            <w:drawing>
              <wp:anchor distT="45720" distB="45720" distL="114300" distR="114300" simplePos="0" relativeHeight="251659264" behindDoc="0" locked="0" layoutInCell="1" allowOverlap="1" wp14:anchorId="4786EB3A" wp14:editId="1DFAEEB5">
                <wp:simplePos x="0" y="0"/>
                <wp:positionH relativeFrom="margin">
                  <wp:posOffset>3719830</wp:posOffset>
                </wp:positionH>
                <wp:positionV relativeFrom="margin">
                  <wp:posOffset>936930</wp:posOffset>
                </wp:positionV>
                <wp:extent cx="518160" cy="487045"/>
                <wp:effectExtent l="0" t="0" r="0" b="825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FD4" w:rsidRPr="0061214E" w:rsidRDefault="00EC2FD4" w:rsidP="00EC2FD4">
                            <w:pPr>
                              <w:rPr>
                                <w:rFonts w:ascii="MS UI Gothic" w:eastAsia="MS UI Gothic" w:hAnsi="MS UI Gothic" w:cs="Arial"/>
                                <w:b/>
                                <w:sz w:val="48"/>
                                <w:szCs w:val="48"/>
                              </w:rPr>
                            </w:pPr>
                            <w:r w:rsidRPr="0061214E">
                              <w:rPr>
                                <w:rFonts w:ascii="MS UI Gothic" w:eastAsia="MS UI Gothic" w:hAnsi="MS UI Gothic" w:cs="Arial"/>
                                <w:b/>
                                <w:sz w:val="48"/>
                                <w:szCs w:val="48"/>
                              </w:rPr>
                              <w:t>07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2.9pt;margin-top:73.75pt;width:40.8pt;height:38.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GJnwIAAB8FAAAOAAAAZHJzL2Uyb0RvYy54bWysVFuO0zAU/UdiD5b/O3kofSSadDTtEIQ0&#10;PKSBBbiO01gkdrDdJgPiZyohFsEWEN+sJxvh2mk7HR4SQuTD8fX1Pfd1rs8vurpCW6Y0lyLFwZmP&#10;ERNU5lysU/zmdTaaYaQNETmppGApvmUaX8wfPzpvm4SFspRVzhQCEKGTtklxaUyTeJ6mJauJPpMN&#10;E6AspKqJAVGtvVyRFtDrygt9f+K1UuWNkpRpDadXgxLPHX5RMGpeFoVmBlUphtiMW5VbV3b15uck&#10;WSvSlJzuwyD/EEVNuACnR6grYgjaKP4LVM2pkloW5ozK2pNFwSlzOUA2gf9TNjclaZjLBYqjm2OZ&#10;9P+DpS+2rxTieYqnGAlSQ4v63af+7mt/973ffUb97ku/2/V330BGoS1X2+gErG4asDPdQnbQdpe6&#10;bq4lfauRkMuSiDW7VEq2JSM5hBtYS+/EdMDRFmTVPpc5+CUbIx1QV6ja1hKqgwAd2nZ7bBXrDKJw&#10;OA5mwQQ0FFTRbOpHY+eBJAfjRmnzlMka2U2KFTDBgZPttTY2GJIcrlhfWlY8z3hVOUGtV8tKoS0B&#10;1mTu26M/uFYJe1lIazYgDicQI/iwOhutY8GHOAgjfxHGo2wym46iLBqP4qk/G/lBvIgnfhRHV9lH&#10;G2AQJSXPcyauuWAHRgbR33V8PxsDlxwnUZvieByOhw79MUnffb9LsuYGBrTidYpnx0sksX19InJI&#10;mySG8GrYew/Dd1WGGhz+riqOBbbxAwVMt+oAxVJjJfNb4IOS0C9oLbwqsCmleo9RCxOaYv1uQxTD&#10;qHomgFNxEEV2pJ0QjachCOpUszrVEEEBKsUGo2G7NMMzsGkUX5fg6cDiS+Bhxh1H7qPasxem0CWz&#10;fzHsmJ/K7tb9uzb/AQAA//8DAFBLAwQUAAYACAAAACEAUL4UjuAAAAALAQAADwAAAGRycy9kb3du&#10;cmV2LnhtbEyPMU/DMBSEdyT+g/WQ2KhDlKRVGqeqqFgYkChIMLrxSxzVfo5sNw3/HjPBeLrT3XfN&#10;brGGzejD6EjA4yoDhtQ5NdIg4OP9+WEDLERJShpHKOAbA+za25tG1spd6Q3nYxxYKqFQSwE6xqnm&#10;PHQarQwrNyElr3feypikH7jy8prKreF5llXcypHSgpYTPmnszseLFfBp9agO/vWrV2Y+vPT7clr8&#10;JMT93bLfAou4xL8w/OIndGgT08ldSAVmBJSbMqHHZBTrElhKVNW6AHYSkOdFDrxt+P8P7Q8AAAD/&#10;/wMAUEsBAi0AFAAGAAgAAAAhALaDOJL+AAAA4QEAABMAAAAAAAAAAAAAAAAAAAAAAFtDb250ZW50&#10;X1R5cGVzXS54bWxQSwECLQAUAAYACAAAACEAOP0h/9YAAACUAQAACwAAAAAAAAAAAAAAAAAvAQAA&#10;X3JlbHMvLnJlbHNQSwECLQAUAAYACAAAACEAJAjhiZ8CAAAfBQAADgAAAAAAAAAAAAAAAAAuAgAA&#10;ZHJzL2Uyb0RvYy54bWxQSwECLQAUAAYACAAAACEAUL4UjuAAAAALAQAADwAAAAAAAAAAAAAAAAD5&#10;BAAAZHJzL2Rvd25yZXYueG1sUEsFBgAAAAAEAAQA8wAAAAYGAAAAAA==&#10;" stroked="f">
                <v:textbox style="mso-fit-shape-to-text:t">
                  <w:txbxContent>
                    <w:p w:rsidR="00EC2FD4" w:rsidRPr="0061214E" w:rsidRDefault="00EC2FD4" w:rsidP="00EC2FD4">
                      <w:pPr>
                        <w:rPr>
                          <w:rFonts w:ascii="MS UI Gothic" w:eastAsia="MS UI Gothic" w:hAnsi="MS UI Gothic" w:cs="Arial"/>
                          <w:b/>
                          <w:sz w:val="48"/>
                          <w:szCs w:val="48"/>
                        </w:rPr>
                      </w:pPr>
                      <w:r w:rsidRPr="0061214E">
                        <w:rPr>
                          <w:rFonts w:ascii="MS UI Gothic" w:eastAsia="MS UI Gothic" w:hAnsi="MS UI Gothic" w:cs="Arial"/>
                          <w:b/>
                          <w:sz w:val="48"/>
                          <w:szCs w:val="48"/>
                        </w:rPr>
                        <w:t>07</w:t>
                      </w:r>
                    </w:p>
                  </w:txbxContent>
                </v:textbox>
                <w10:wrap anchorx="margin" anchory="margin"/>
              </v:shape>
            </w:pict>
          </mc:Fallback>
        </mc:AlternateContent>
      </w:r>
      <w:r>
        <w:rPr>
          <w:noProof/>
          <w:lang w:val="en-US"/>
        </w:rPr>
        <w:drawing>
          <wp:inline distT="0" distB="0" distL="0" distR="0" wp14:anchorId="3EA4590A" wp14:editId="41F8B2D1">
            <wp:extent cx="4800600" cy="88392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883920"/>
                    </a:xfrm>
                    <a:prstGeom prst="rect">
                      <a:avLst/>
                    </a:prstGeom>
                    <a:noFill/>
                    <a:ln>
                      <a:noFill/>
                    </a:ln>
                  </pic:spPr>
                </pic:pic>
              </a:graphicData>
            </a:graphic>
          </wp:inline>
        </w:drawing>
      </w:r>
    </w:p>
    <w:p w:rsidR="00EC2FD4" w:rsidRDefault="00EC2FD4" w:rsidP="00EC2FD4">
      <w:pPr>
        <w:pStyle w:val="SingleTxtG"/>
        <w:ind w:left="7371" w:hanging="567"/>
      </w:pPr>
      <w:r>
        <w:t xml:space="preserve">a = 8 mm min.     </w:t>
      </w:r>
    </w:p>
    <w:p w:rsidR="00EC2FD4" w:rsidRDefault="00EC2FD4" w:rsidP="00EC2FD4">
      <w:pPr>
        <w:pStyle w:val="SingleTxtG"/>
        <w:ind w:firstLine="567"/>
      </w:pPr>
      <w:r w:rsidRPr="00163013">
        <w:t xml:space="preserve">The above </w:t>
      </w:r>
      <w:r>
        <w:t>…</w:t>
      </w:r>
      <w:r w:rsidRPr="00163013">
        <w:t xml:space="preserve"> Regulation No. 48 as amended by </w:t>
      </w:r>
      <w:r w:rsidRPr="005D162F">
        <w:t xml:space="preserve">the </w:t>
      </w:r>
      <w:r w:rsidRPr="00745849">
        <w:rPr>
          <w:b/>
          <w:bCs/>
        </w:rPr>
        <w:t>[0</w:t>
      </w:r>
      <w:r>
        <w:rPr>
          <w:b/>
          <w:bCs/>
          <w:lang w:eastAsia="ja-JP"/>
        </w:rPr>
        <w:t>7</w:t>
      </w:r>
      <w:r w:rsidRPr="00745849">
        <w:rPr>
          <w:b/>
          <w:bCs/>
          <w:lang w:eastAsia="ja-JP"/>
        </w:rPr>
        <w:t>]</w:t>
      </w:r>
      <w:r w:rsidRPr="005D162F">
        <w:t xml:space="preserve"> series of amendments. The approval number indicates that the approval was granted in accordance with the requirements of Regulation No. 48 as amended by the </w:t>
      </w:r>
      <w:r w:rsidRPr="00745849">
        <w:rPr>
          <w:b/>
          <w:bCs/>
        </w:rPr>
        <w:t>[0</w:t>
      </w:r>
      <w:r>
        <w:rPr>
          <w:b/>
          <w:bCs/>
          <w:lang w:eastAsia="ja-JP"/>
        </w:rPr>
        <w:t>7</w:t>
      </w:r>
      <w:r w:rsidRPr="00745849">
        <w:rPr>
          <w:b/>
          <w:bCs/>
          <w:lang w:eastAsia="ja-JP"/>
        </w:rPr>
        <w:t>]</w:t>
      </w:r>
      <w:r w:rsidRPr="005D162F">
        <w:t xml:space="preserve"> series of amendments</w:t>
      </w:r>
      <w:r w:rsidRPr="00163013">
        <w:t>.</w:t>
      </w:r>
    </w:p>
    <w:p w:rsidR="00EC2FD4" w:rsidRPr="00F15C00" w:rsidRDefault="00EC2FD4" w:rsidP="00EC2FD4">
      <w:pPr>
        <w:pStyle w:val="SingleTxtG"/>
        <w:rPr>
          <w:i/>
        </w:rPr>
      </w:pPr>
      <w:r w:rsidRPr="00F15C00">
        <w:rPr>
          <w:i/>
        </w:rPr>
        <w:t>Model B</w:t>
      </w:r>
    </w:p>
    <w:p w:rsidR="00EC2FD4" w:rsidRDefault="00EC2FD4" w:rsidP="00EC2FD4">
      <w:pPr>
        <w:pStyle w:val="SingleTxtG"/>
      </w:pPr>
      <w:r>
        <w:t>(See paragraph 4.5. of this Regulation)</w:t>
      </w:r>
    </w:p>
    <w:p w:rsidR="00EC2FD4" w:rsidRDefault="00625771" w:rsidP="00EC2FD4">
      <w:pPr>
        <w:pStyle w:val="SingleTxtG"/>
      </w:pPr>
      <w:r>
        <w:rPr>
          <w:noProof/>
          <w:lang w:val="en-US"/>
        </w:rPr>
        <mc:AlternateContent>
          <mc:Choice Requires="wps">
            <w:drawing>
              <wp:anchor distT="45720" distB="45720" distL="114300" distR="114300" simplePos="0" relativeHeight="251661312" behindDoc="0" locked="0" layoutInCell="1" allowOverlap="1" wp14:anchorId="5195BBFC" wp14:editId="7859809E">
                <wp:simplePos x="0" y="0"/>
                <wp:positionH relativeFrom="margin">
                  <wp:posOffset>3496945</wp:posOffset>
                </wp:positionH>
                <wp:positionV relativeFrom="margin">
                  <wp:posOffset>2924480</wp:posOffset>
                </wp:positionV>
                <wp:extent cx="480060" cy="38989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FD4" w:rsidRPr="00BD5CA6" w:rsidRDefault="00EC2FD4" w:rsidP="00EC2FD4">
                            <w:pPr>
                              <w:rPr>
                                <w:rFonts w:ascii="MS UI Gothic" w:eastAsia="MS UI Gothic" w:hAnsi="MS UI Gothic" w:cs="Arial"/>
                                <w:b/>
                                <w:sz w:val="44"/>
                                <w:szCs w:val="44"/>
                              </w:rPr>
                            </w:pPr>
                            <w:r w:rsidRPr="00BD5CA6">
                              <w:rPr>
                                <w:rFonts w:ascii="MS UI Gothic" w:eastAsia="MS UI Gothic" w:hAnsi="MS UI Gothic" w:cs="Arial"/>
                                <w:b/>
                                <w:sz w:val="44"/>
                                <w:szCs w:val="44"/>
                              </w:rPr>
                              <w:t>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75.35pt;margin-top:230.25pt;width:37.8pt;height:3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04uQIAAL8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TlGgnbQokc2GnQnR0RsdYZep+D00IObGeEYuuwy1f29LL9pJOSqoWLLbpWSQ8NoBexCe9O/uDrh&#10;aAuyGT7KCsLQnZEOaKxVZ0sHxUCADl16OnXGUinhkMTQa7CUYHoXJ3HiOufT9Hi5V9q8Z7JDdpFh&#10;BY134HR/r40lQ9Oji40lZMHb1jW/Fc8OwHE6gdBw1dosCdfLn0mQrON1TDwSzdceCfLcuy1WxJsX&#10;4WKWv8tXqzz8ZeOGJG14VTFhwxx1FZI/69tB4ZMiTsrSsuWVhbOUtNpuVq1Cewq6LtznSg6Ws5v/&#10;nIYrAuTyIqUwIsFdlHjFPF54pCAzL1kEsReEyV0yD0hC8uJ5SvdcsH9PCQ0ZTmbRbNLSmfSL3AL3&#10;vc6Nph03MDla3mUYxAGfdaKpVeBaVG5tKG+n9UUpLP1zKaDdx0Y7vVqJTmI142Z0D8OJ2Wp5I6sn&#10;ELCSIDDQIkw9WDRS/cBogAmSYf19RxXDqP0g4BEkISF25LgNmS0i2KhLy+bSQkUJUBk2GE3LlZnG&#10;1K5XfNtApOnZCXkLD6fmTtRnVofnBlPC5XaYaHYMXe6d13nuLn8DAAD//wMAUEsDBBQABgAIAAAA&#10;IQBsE6PW3wAAAAsBAAAPAAAAZHJzL2Rvd25yZXYueG1sTI/LTsMwEEX3SP0Ha5DYUbuhCTTEqRCI&#10;LajlIbFz42kSNR5HsduEv+90BcvRPbr3TLGeXCdOOITWk4bFXIFAqrxtqdbw+fF6+wAiREPWdJ5Q&#10;wy8GWJezq8Lk1o+0wdM21oJLKORGQxNjn0sZqgadCXPfI3G294Mzkc+hlnYwI5e7TiZKZdKZlnih&#10;MT0+N1gdtken4ett//O9VO/1i0v70U9KkltJrW+up6dHEBGn+AfDRZ/VoWSnnT+SDaLTkKbqnlEN&#10;y0ylIJjIkuwOxI6jZLECWRby/w/lGQAA//8DAFBLAQItABQABgAIAAAAIQC2gziS/gAAAOEBAAAT&#10;AAAAAAAAAAAAAAAAAAAAAABbQ29udGVudF9UeXBlc10ueG1sUEsBAi0AFAAGAAgAAAAhADj9If/W&#10;AAAAlAEAAAsAAAAAAAAAAAAAAAAALwEAAF9yZWxzLy5yZWxzUEsBAi0AFAAGAAgAAAAhAF4lXTi5&#10;AgAAvwUAAA4AAAAAAAAAAAAAAAAALgIAAGRycy9lMm9Eb2MueG1sUEsBAi0AFAAGAAgAAAAhAGwT&#10;o9bfAAAACwEAAA8AAAAAAAAAAAAAAAAAEwUAAGRycy9kb3ducmV2LnhtbFBLBQYAAAAABAAEAPMA&#10;AAAfBgAAAAA=&#10;" filled="f" stroked="f">
                <v:textbox>
                  <w:txbxContent>
                    <w:p w:rsidR="00EC2FD4" w:rsidRPr="00BD5CA6" w:rsidRDefault="00EC2FD4" w:rsidP="00EC2FD4">
                      <w:pPr>
                        <w:rPr>
                          <w:rFonts w:ascii="MS UI Gothic" w:eastAsia="MS UI Gothic" w:hAnsi="MS UI Gothic" w:cs="Arial"/>
                          <w:b/>
                          <w:sz w:val="44"/>
                          <w:szCs w:val="44"/>
                        </w:rPr>
                      </w:pPr>
                      <w:r w:rsidRPr="00BD5CA6">
                        <w:rPr>
                          <w:rFonts w:ascii="MS UI Gothic" w:eastAsia="MS UI Gothic" w:hAnsi="MS UI Gothic" w:cs="Arial"/>
                          <w:b/>
                          <w:sz w:val="44"/>
                          <w:szCs w:val="44"/>
                        </w:rPr>
                        <w:t>07</w:t>
                      </w:r>
                    </w:p>
                  </w:txbxContent>
                </v:textbox>
                <w10:wrap anchorx="margin" anchory="margin"/>
              </v:shape>
            </w:pict>
          </mc:Fallback>
        </mc:AlternateContent>
      </w:r>
      <w:r w:rsidR="00EC2FD4">
        <w:rPr>
          <w:noProof/>
          <w:lang w:val="en-US"/>
        </w:rPr>
        <mc:AlternateContent>
          <mc:Choice Requires="wps">
            <w:drawing>
              <wp:anchor distT="0" distB="0" distL="114300" distR="114300" simplePos="0" relativeHeight="251660288" behindDoc="0" locked="0" layoutInCell="1" allowOverlap="1" wp14:anchorId="215C57CD" wp14:editId="6EA119C1">
                <wp:simplePos x="0" y="0"/>
                <wp:positionH relativeFrom="column">
                  <wp:posOffset>3592830</wp:posOffset>
                </wp:positionH>
                <wp:positionV relativeFrom="paragraph">
                  <wp:posOffset>177800</wp:posOffset>
                </wp:positionV>
                <wp:extent cx="327660" cy="213360"/>
                <wp:effectExtent l="7620" t="7620" r="762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1336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82.9pt;margin-top:14pt;width:25.8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63HAIAADkEAAAOAAAAZHJzL2Uyb0RvYy54bWysU1Fv0zAQfkfiP1h+p2lT2rVR02nqKEIa&#10;MDH4Aa7jJBaOz5zdpuPX7+x0pYMXhMiDdZc7f777vrvV9bEz7KDQa7Aln4zGnCkrodK2Kfm3r9s3&#10;C858ELYSBqwq+aPy/Hr9+tWqd4XKoQVTKWQEYn3Ru5K3Ibgiy7xsVSf8CJyyFKwBOxHIxSarUPSE&#10;3pksH4/nWQ9YOQSpvKe/t0OQrxN+XSsZPte1V4GZklNtIZ2Yzl08s/VKFA0K12p5KkP8QxWd0JYe&#10;PUPdiiDYHvUfUJ2WCB7qMJLQZVDXWqrUA3UzGf/WzUMrnEq9EDnenWny/w9WfjrcI9NVyWecWdGR&#10;RF+INGEbo9gs0tM7X1DWg7vH2KB3dyC/e2Zh01KWukGEvlWioqImMT97cSE6nq6yXf8RKkIX+wCJ&#10;qWONXQQkDtgxCfJ4FkQdA5P0c5pfzeckm6RQPplOyY4viOL5skMf3ivoWDRKjlR6AheHOx+G1OeU&#10;VDwYXW21McnBZrcxyA6CZmObvhO6v0wzlvUlX87yWUJ+EfN/B9HpQENudFfyxTh+8R1RRNbe2SrZ&#10;QWgz2NSdsScaI3ODAjuoHolFhGGCaePIaAF/ctbT9Jbc/9gLVJyZD5aUuHqbL0nQkJzFYkkc4mVg&#10;dxEQVhJQyQNng7kJw4LsHeqmpXcmqXMLN6RdrROvUdehplOpNJ9JmdMuxQW49FPWr41fPwEAAP//&#10;AwBQSwMEFAAGAAgAAAAhANn9cuneAAAACQEAAA8AAABkcnMvZG93bnJldi54bWxMj8FOwzAQRO9I&#10;/IO1SFwQdVpoqEKcClVwgEOlFsR5myxJwF4H223D37M9wW1WM5p9Uy5HZ9WBQuw9G5hOMlDEtW96&#10;bg28vT5dL0DFhNyg9UwGfijCsjo/K7Fo/JE3dNimVkkJxwINdCkNhdax7shhnPiBWLwPHxwmOUOr&#10;m4BHKXdWz7Is1w57lg8dDrTqqP7a7p2B1Se/36zxef3S2vBo44a+/RUZc3kxPtyDSjSmvzCc8AUd&#10;KmHa+T03UVkD83wu6MnAbCGbJJBP725B7U4iB12V+v+C6hcAAP//AwBQSwECLQAUAAYACAAAACEA&#10;toM4kv4AAADhAQAAEwAAAAAAAAAAAAAAAAAAAAAAW0NvbnRlbnRfVHlwZXNdLnhtbFBLAQItABQA&#10;BgAIAAAAIQA4/SH/1gAAAJQBAAALAAAAAAAAAAAAAAAAAC8BAABfcmVscy8ucmVsc1BLAQItABQA&#10;BgAIAAAAIQBmxs63HAIAADkEAAAOAAAAAAAAAAAAAAAAAC4CAABkcnMvZTJvRG9jLnhtbFBLAQIt&#10;ABQABgAIAAAAIQDZ/XLp3gAAAAkBAAAPAAAAAAAAAAAAAAAAAHYEAABkcnMvZG93bnJldi54bWxQ&#10;SwUGAAAAAAQABADzAAAAgQUAAAAA&#10;" strokecolor="white">
                <v:textbox inset="5.85pt,.7pt,5.85pt,.7pt"/>
              </v:rect>
            </w:pict>
          </mc:Fallback>
        </mc:AlternateContent>
      </w:r>
      <w:r w:rsidR="00EC2FD4">
        <w:rPr>
          <w:noProof/>
          <w:lang w:val="en-US"/>
        </w:rPr>
        <w:drawing>
          <wp:inline distT="0" distB="0" distL="0" distR="0" wp14:anchorId="3565E97D" wp14:editId="21BB3B4D">
            <wp:extent cx="4800600" cy="86868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0" cy="868680"/>
                    </a:xfrm>
                    <a:prstGeom prst="rect">
                      <a:avLst/>
                    </a:prstGeom>
                    <a:noFill/>
                    <a:ln>
                      <a:noFill/>
                    </a:ln>
                  </pic:spPr>
                </pic:pic>
              </a:graphicData>
            </a:graphic>
          </wp:inline>
        </w:drawing>
      </w:r>
    </w:p>
    <w:p w:rsidR="00EC2FD4" w:rsidRDefault="00EC2FD4" w:rsidP="00EC2FD4">
      <w:pPr>
        <w:pStyle w:val="SingleTxtG"/>
        <w:ind w:left="6804"/>
      </w:pPr>
      <w:r>
        <w:t xml:space="preserve">a = 8 mm min.     </w:t>
      </w:r>
    </w:p>
    <w:p w:rsidR="00EC2FD4" w:rsidRPr="00B01DCF" w:rsidRDefault="00EC2FD4" w:rsidP="00EC2FD4">
      <w:pPr>
        <w:pStyle w:val="SingleTxtG"/>
        <w:ind w:firstLine="567"/>
      </w:pPr>
      <w:r>
        <w:t>The above … Regulation No. 48 as amended by the</w:t>
      </w:r>
      <w:r w:rsidRPr="00B01DCF">
        <w:rPr>
          <w:b/>
          <w:bCs/>
        </w:rPr>
        <w:t xml:space="preserve"> [0</w:t>
      </w:r>
      <w:r>
        <w:rPr>
          <w:b/>
          <w:bCs/>
          <w:lang w:eastAsia="ja-JP"/>
        </w:rPr>
        <w:t>7</w:t>
      </w:r>
      <w:r w:rsidRPr="00B01DCF">
        <w:rPr>
          <w:b/>
          <w:bCs/>
          <w:lang w:eastAsia="ja-JP"/>
        </w:rPr>
        <w:t>]</w:t>
      </w:r>
      <w:r w:rsidRPr="00B01DCF">
        <w:rPr>
          <w:b/>
          <w:bCs/>
        </w:rPr>
        <w:t xml:space="preserve"> </w:t>
      </w:r>
      <w:r w:rsidRPr="003D0BCB">
        <w:t>series of amendments and Regulation No. 33</w:t>
      </w:r>
      <w:r w:rsidRPr="002B6AD0">
        <w:t>. </w:t>
      </w:r>
      <w:r>
        <w:rPr>
          <w:rStyle w:val="FootnoteReference"/>
        </w:rPr>
        <w:footnoteReference w:id="3"/>
      </w:r>
      <w:r w:rsidRPr="003D0BCB">
        <w:t xml:space="preserve"> The approval number indicates that, at the dates when the respective approvals were given, Regulation No. 48 was amended by the </w:t>
      </w:r>
      <w:r w:rsidRPr="00B01DCF">
        <w:rPr>
          <w:b/>
          <w:bCs/>
        </w:rPr>
        <w:t>[0</w:t>
      </w:r>
      <w:r>
        <w:rPr>
          <w:b/>
          <w:bCs/>
          <w:lang w:eastAsia="ja-JP"/>
        </w:rPr>
        <w:t>7</w:t>
      </w:r>
      <w:r w:rsidRPr="00B01DCF">
        <w:rPr>
          <w:b/>
          <w:bCs/>
          <w:lang w:eastAsia="ja-JP"/>
        </w:rPr>
        <w:t>]</w:t>
      </w:r>
      <w:r w:rsidRPr="003D0BCB">
        <w:t xml:space="preserve"> series</w:t>
      </w:r>
      <w:r>
        <w:t xml:space="preserve"> of amendments and Regulation No. 33 was still in its original form."</w:t>
      </w:r>
    </w:p>
    <w:p w:rsidR="00EC2FD4" w:rsidRDefault="00EC2FD4" w:rsidP="00EC2FD4">
      <w:pPr>
        <w:pStyle w:val="SingleTxtG"/>
      </w:pPr>
      <w:r w:rsidRPr="00F273B6">
        <w:rPr>
          <w:i/>
        </w:rPr>
        <w:t>Annex</w:t>
      </w:r>
      <w:r>
        <w:rPr>
          <w:i/>
        </w:rPr>
        <w:t xml:space="preserve"> </w:t>
      </w:r>
      <w:r w:rsidRPr="00F273B6">
        <w:rPr>
          <w:i/>
        </w:rPr>
        <w:t>6, paragraph 5.5.</w:t>
      </w:r>
      <w:r w:rsidRPr="00F273B6">
        <w:t xml:space="preserve">, </w:t>
      </w:r>
      <w:proofErr w:type="gramStart"/>
      <w:r w:rsidRPr="00F273B6">
        <w:t>amend</w:t>
      </w:r>
      <w:proofErr w:type="gramEnd"/>
      <w:r w:rsidRPr="00F273B6">
        <w:t xml:space="preserve"> to read:</w:t>
      </w:r>
    </w:p>
    <w:p w:rsidR="00EC2FD4" w:rsidRDefault="00EC2FD4" w:rsidP="00EC2FD4">
      <w:pPr>
        <w:pStyle w:val="SingleTxtG"/>
        <w:ind w:left="2268" w:hanging="1134"/>
        <w:rPr>
          <w:lang w:val="en-US"/>
        </w:rPr>
      </w:pPr>
      <w:r>
        <w:rPr>
          <w:lang w:val="en-US"/>
        </w:rPr>
        <w:t>"</w:t>
      </w:r>
      <w:r w:rsidRPr="00F273B6">
        <w:rPr>
          <w:lang w:val="en-US"/>
        </w:rPr>
        <w:t>5.5.</w:t>
      </w:r>
      <w:r w:rsidRPr="00F273B6">
        <w:rPr>
          <w:lang w:val="en-US"/>
        </w:rPr>
        <w:tab/>
        <w:t>Measurements</w:t>
      </w:r>
    </w:p>
    <w:p w:rsidR="00EC2FD4" w:rsidRDefault="00EC2FD4" w:rsidP="00EC2FD4">
      <w:pPr>
        <w:pStyle w:val="SingleTxtG"/>
        <w:ind w:left="2268"/>
        <w:rPr>
          <w:lang w:val="en-US"/>
        </w:rPr>
      </w:pPr>
      <w:proofErr w:type="gramStart"/>
      <w:r w:rsidRPr="00F273B6">
        <w:rPr>
          <w:lang w:val="en-US"/>
        </w:rPr>
        <w:t xml:space="preserve">The variation of </w:t>
      </w:r>
      <w:r>
        <w:rPr>
          <w:lang w:val="en-US"/>
        </w:rPr>
        <w:t>…</w:t>
      </w:r>
      <w:r w:rsidRPr="00F273B6">
        <w:rPr>
          <w:lang w:val="en-US"/>
        </w:rPr>
        <w:t xml:space="preserve"> with paragraph 5.2.</w:t>
      </w:r>
      <w:proofErr w:type="gramEnd"/>
      <w:r w:rsidRPr="00F273B6">
        <w:rPr>
          <w:lang w:val="en-US"/>
        </w:rPr>
        <w:t xml:space="preserve"> </w:t>
      </w:r>
      <w:proofErr w:type="gramStart"/>
      <w:r w:rsidRPr="00F273B6">
        <w:rPr>
          <w:lang w:val="en-US"/>
        </w:rPr>
        <w:t>above</w:t>
      </w:r>
      <w:proofErr w:type="gramEnd"/>
      <w:r w:rsidRPr="00F273B6">
        <w:rPr>
          <w:lang w:val="en-US"/>
        </w:rPr>
        <w:t>.</w:t>
      </w:r>
    </w:p>
    <w:p w:rsidR="00EC2FD4" w:rsidRPr="007C351A" w:rsidRDefault="00EC2FD4" w:rsidP="00EC2FD4">
      <w:pPr>
        <w:pStyle w:val="SingleTxtG"/>
        <w:ind w:left="2268"/>
        <w:rPr>
          <w:lang w:val="en-US"/>
        </w:rPr>
      </w:pPr>
      <w:r w:rsidRPr="006B7279">
        <w:rPr>
          <w:strike/>
          <w:lang w:val="en-US"/>
        </w:rPr>
        <w:t>If the vehicle is fitted with a manual headlamp</w:t>
      </w:r>
      <w:r w:rsidRPr="006B7279">
        <w:rPr>
          <w:strike/>
          <w:lang w:val="en-US"/>
        </w:rPr>
        <w:noBreakHyphen/>
        <w:t>levelling system, the latter shall be adjusted to the positions specified by the manufacturer for given loading conditions (according to Annex 5).</w:t>
      </w:r>
      <w:r w:rsidRPr="007C351A">
        <w:rPr>
          <w:lang w:val="en-US"/>
        </w:rPr>
        <w:t>"</w:t>
      </w:r>
    </w:p>
    <w:p w:rsidR="00EC2FD4" w:rsidRDefault="00EC2FD4" w:rsidP="00EC2FD4">
      <w:pPr>
        <w:pStyle w:val="SingleTxtG"/>
        <w:rPr>
          <w:b/>
          <w:i/>
          <w:lang w:val="en-US"/>
        </w:rPr>
      </w:pPr>
      <w:r w:rsidRPr="00F273B6">
        <w:rPr>
          <w:i/>
          <w:lang w:val="en-US"/>
        </w:rPr>
        <w:t>Annex 8,</w:t>
      </w:r>
      <w:r w:rsidRPr="006B7279">
        <w:rPr>
          <w:iCs/>
          <w:lang w:val="en-US"/>
        </w:rPr>
        <w:t xml:space="preserve"> shall be</w:t>
      </w:r>
      <w:r>
        <w:rPr>
          <w:i/>
          <w:lang w:val="en-US"/>
        </w:rPr>
        <w:t xml:space="preserve"> </w:t>
      </w:r>
      <w:r w:rsidRPr="00F273B6">
        <w:t>delete</w:t>
      </w:r>
      <w:r>
        <w:t>d</w:t>
      </w:r>
    </w:p>
    <w:p w:rsidR="00EC2FD4" w:rsidRDefault="00EC2FD4" w:rsidP="00EC2FD4">
      <w:pPr>
        <w:pStyle w:val="SingleTxtG"/>
        <w:rPr>
          <w:b/>
          <w:i/>
          <w:lang w:val="en-US"/>
        </w:rPr>
      </w:pPr>
      <w:r w:rsidRPr="004F4A30">
        <w:rPr>
          <w:bCs/>
          <w:i/>
          <w:lang w:val="en-US"/>
        </w:rPr>
        <w:t>Annexes 9</w:t>
      </w:r>
      <w:r>
        <w:rPr>
          <w:bCs/>
          <w:i/>
          <w:lang w:val="en-US"/>
        </w:rPr>
        <w:t xml:space="preserve"> to 15</w:t>
      </w:r>
      <w:r w:rsidRPr="004F4A30">
        <w:rPr>
          <w:bCs/>
          <w:i/>
          <w:lang w:val="en-US"/>
        </w:rPr>
        <w:t xml:space="preserve"> (former</w:t>
      </w:r>
      <w:proofErr w:type="gramStart"/>
      <w:r w:rsidRPr="004F4A30">
        <w:rPr>
          <w:bCs/>
        </w:rPr>
        <w:t>)</w:t>
      </w:r>
      <w:r w:rsidRPr="00F273B6">
        <w:t>,</w:t>
      </w:r>
      <w:proofErr w:type="gramEnd"/>
      <w:r w:rsidRPr="00F273B6">
        <w:t xml:space="preserve"> renumber as Annexes</w:t>
      </w:r>
      <w:r>
        <w:t xml:space="preserve"> 8 to</w:t>
      </w:r>
      <w:r w:rsidRPr="00F273B6">
        <w:t xml:space="preserve"> 1</w:t>
      </w:r>
      <w:r>
        <w:t>4</w:t>
      </w:r>
    </w:p>
    <w:p w:rsidR="00EC2FD4" w:rsidRDefault="00EC2FD4" w:rsidP="00EC2FD4">
      <w:pPr>
        <w:pStyle w:val="HChG"/>
      </w:pPr>
      <w:r>
        <w:tab/>
        <w:t>II</w:t>
      </w:r>
      <w:r w:rsidRPr="00F273B6">
        <w:t>.</w:t>
      </w:r>
      <w:r w:rsidRPr="00F273B6">
        <w:tab/>
        <w:t>Justification</w:t>
      </w:r>
    </w:p>
    <w:p w:rsidR="00EC2FD4" w:rsidRDefault="00EC2FD4" w:rsidP="00EC2FD4">
      <w:pPr>
        <w:pStyle w:val="SingleTxtG"/>
        <w:rPr>
          <w:lang w:val="en-US"/>
        </w:rPr>
      </w:pPr>
      <w:r w:rsidRPr="00F273B6">
        <w:rPr>
          <w:lang w:val="en-US"/>
        </w:rPr>
        <w:t>1.</w:t>
      </w:r>
      <w:r w:rsidRPr="00F273B6">
        <w:rPr>
          <w:lang w:val="en-US"/>
        </w:rPr>
        <w:tab/>
        <w:t xml:space="preserve">This proposal is </w:t>
      </w:r>
      <w:r>
        <w:rPr>
          <w:lang w:val="en-US"/>
        </w:rPr>
        <w:t xml:space="preserve">aimed at </w:t>
      </w:r>
      <w:r w:rsidRPr="00EC2FD4">
        <w:rPr>
          <w:lang w:val="en-US"/>
        </w:rPr>
        <w:t xml:space="preserve">reducing glare problems for drivers to improve road traffic safety by </w:t>
      </w:r>
      <w:r>
        <w:rPr>
          <w:lang w:val="en-US"/>
        </w:rPr>
        <w:t>deleting</w:t>
      </w:r>
      <w:r w:rsidRPr="00F273B6">
        <w:rPr>
          <w:lang w:val="en-US"/>
        </w:rPr>
        <w:t xml:space="preserve"> an old exemption in Regulation No. 48 that allows manual leveling for dipped-beam headlamps</w:t>
      </w:r>
      <w:r>
        <w:rPr>
          <w:lang w:val="en-US"/>
        </w:rPr>
        <w:t xml:space="preserve">, which was established </w:t>
      </w:r>
      <w:r w:rsidRPr="009C0C40">
        <w:rPr>
          <w:lang w:val="en-US"/>
        </w:rPr>
        <w:t>forty years ago</w:t>
      </w:r>
      <w:r w:rsidRPr="00F273B6">
        <w:rPr>
          <w:lang w:val="en-US"/>
        </w:rPr>
        <w:t xml:space="preserve"> with the introduction of automatic leveling. At that time automatic leveling </w:t>
      </w:r>
      <w:r>
        <w:rPr>
          <w:lang w:val="en-US"/>
        </w:rPr>
        <w:t>was becoming</w:t>
      </w:r>
      <w:r w:rsidRPr="00F273B6">
        <w:rPr>
          <w:lang w:val="en-US"/>
        </w:rPr>
        <w:t xml:space="preserve"> mandatory and ma</w:t>
      </w:r>
      <w:r>
        <w:rPr>
          <w:lang w:val="en-US"/>
        </w:rPr>
        <w:t>nual leveling was allowed to manufacturers to</w:t>
      </w:r>
      <w:r w:rsidRPr="00F273B6">
        <w:rPr>
          <w:lang w:val="en-US"/>
        </w:rPr>
        <w:t xml:space="preserve"> provid</w:t>
      </w:r>
      <w:r>
        <w:rPr>
          <w:lang w:val="en-US"/>
        </w:rPr>
        <w:t>e</w:t>
      </w:r>
      <w:r w:rsidRPr="00F273B6">
        <w:rPr>
          <w:lang w:val="en-US"/>
        </w:rPr>
        <w:t xml:space="preserve"> a simp</w:t>
      </w:r>
      <w:r>
        <w:rPr>
          <w:lang w:val="en-US"/>
        </w:rPr>
        <w:t>le and cheap alternative at</w:t>
      </w:r>
      <w:r w:rsidRPr="00F273B6">
        <w:rPr>
          <w:lang w:val="en-US"/>
        </w:rPr>
        <w:t xml:space="preserve"> the beginning and for a certain period only. </w:t>
      </w:r>
    </w:p>
    <w:p w:rsidR="00EC2FD4" w:rsidRDefault="00EC2FD4" w:rsidP="00EC2FD4">
      <w:pPr>
        <w:pStyle w:val="SingleTxtG"/>
        <w:rPr>
          <w:lang w:val="en-US"/>
        </w:rPr>
      </w:pPr>
      <w:r>
        <w:rPr>
          <w:lang w:val="en-US"/>
        </w:rPr>
        <w:t>2.</w:t>
      </w:r>
      <w:r>
        <w:rPr>
          <w:lang w:val="en-US"/>
        </w:rPr>
        <w:tab/>
        <w:t>A</w:t>
      </w:r>
      <w:r w:rsidRPr="00F273B6">
        <w:rPr>
          <w:lang w:val="en-US"/>
        </w:rPr>
        <w:t>utomatic leveling for all h</w:t>
      </w:r>
      <w:r>
        <w:rPr>
          <w:lang w:val="en-US"/>
        </w:rPr>
        <w:t>eadlamps became mandatory at</w:t>
      </w:r>
      <w:r w:rsidRPr="00F273B6">
        <w:rPr>
          <w:lang w:val="en-US"/>
        </w:rPr>
        <w:t xml:space="preserve"> the beginning of the </w:t>
      </w:r>
      <w:r>
        <w:rPr>
          <w:lang w:val="en-US"/>
        </w:rPr>
        <w:t>1990s, starting with manual leveling (later only in limited cases). However, even at that</w:t>
      </w:r>
      <w:r w:rsidRPr="00F273B6">
        <w:rPr>
          <w:lang w:val="en-US"/>
        </w:rPr>
        <w:t xml:space="preserve"> time it was still a challenge for the manufacturers to ensure that all types of vehicles would meet this requirement. But the technical progress over the last two decades no longer justifie</w:t>
      </w:r>
      <w:r>
        <w:rPr>
          <w:lang w:val="en-US"/>
        </w:rPr>
        <w:t>s this exemption</w:t>
      </w:r>
      <w:r w:rsidRPr="00F273B6">
        <w:rPr>
          <w:lang w:val="en-US"/>
        </w:rPr>
        <w:t xml:space="preserve">. </w:t>
      </w:r>
    </w:p>
    <w:p w:rsidR="00EC2FD4" w:rsidRDefault="00EC2FD4" w:rsidP="00EC2FD4">
      <w:pPr>
        <w:pStyle w:val="SingleTxtG"/>
        <w:rPr>
          <w:lang w:val="en-US"/>
        </w:rPr>
      </w:pPr>
      <w:r w:rsidRPr="00F273B6">
        <w:rPr>
          <w:lang w:val="en-US"/>
        </w:rPr>
        <w:lastRenderedPageBreak/>
        <w:t>3.</w:t>
      </w:r>
      <w:r w:rsidRPr="00F273B6">
        <w:rPr>
          <w:lang w:val="en-US"/>
        </w:rPr>
        <w:tab/>
        <w:t>The experience over the years (especially during periodical inspections) has shown that many vehicle drivers do not know how to handle such manual leveling devices and/or use them (</w:t>
      </w:r>
      <w:proofErr w:type="gramStart"/>
      <w:r w:rsidRPr="00F273B6">
        <w:rPr>
          <w:lang w:val="en-US"/>
        </w:rPr>
        <w:t>un)</w:t>
      </w:r>
      <w:proofErr w:type="gramEnd"/>
      <w:r w:rsidRPr="00F273B6">
        <w:rPr>
          <w:lang w:val="en-US"/>
        </w:rPr>
        <w:t xml:space="preserve">intentionally in a wrong way. </w:t>
      </w:r>
      <w:r>
        <w:rPr>
          <w:lang w:val="en-US"/>
        </w:rPr>
        <w:t>W</w:t>
      </w:r>
      <w:r w:rsidRPr="00F273B6">
        <w:rPr>
          <w:lang w:val="en-US"/>
        </w:rPr>
        <w:t xml:space="preserve">rong use </w:t>
      </w:r>
      <w:r>
        <w:rPr>
          <w:lang w:val="en-US"/>
        </w:rPr>
        <w:t>e</w:t>
      </w:r>
      <w:r w:rsidRPr="00F273B6">
        <w:rPr>
          <w:lang w:val="en-US"/>
        </w:rPr>
        <w:t>specially can</w:t>
      </w:r>
      <w:r>
        <w:rPr>
          <w:lang w:val="en-US"/>
        </w:rPr>
        <w:t xml:space="preserve"> worsen, or even cause,</w:t>
      </w:r>
      <w:r w:rsidRPr="00F273B6">
        <w:rPr>
          <w:lang w:val="en-US"/>
        </w:rPr>
        <w:t xml:space="preserve"> glare </w:t>
      </w:r>
      <w:r>
        <w:rPr>
          <w:lang w:val="en-US"/>
        </w:rPr>
        <w:t>instead of actually avoiding it</w:t>
      </w:r>
      <w:r w:rsidRPr="00F273B6">
        <w:rPr>
          <w:lang w:val="en-US"/>
        </w:rPr>
        <w:t xml:space="preserve"> </w:t>
      </w:r>
      <w:r>
        <w:rPr>
          <w:lang w:val="en-US"/>
        </w:rPr>
        <w:t xml:space="preserve">(which </w:t>
      </w:r>
      <w:r w:rsidRPr="00F273B6">
        <w:rPr>
          <w:lang w:val="en-US"/>
        </w:rPr>
        <w:t>was one of the original intentions</w:t>
      </w:r>
      <w:r>
        <w:rPr>
          <w:lang w:val="en-US"/>
        </w:rPr>
        <w:t>)</w:t>
      </w:r>
      <w:r w:rsidRPr="00F273B6">
        <w:rPr>
          <w:lang w:val="en-US"/>
        </w:rPr>
        <w:t xml:space="preserve">. </w:t>
      </w:r>
    </w:p>
    <w:p w:rsidR="00EC2FD4" w:rsidRDefault="00EC2FD4" w:rsidP="00EC2FD4">
      <w:pPr>
        <w:pStyle w:val="SingleTxtG"/>
        <w:rPr>
          <w:lang w:val="en-US"/>
        </w:rPr>
      </w:pPr>
      <w:r>
        <w:rPr>
          <w:lang w:val="en-US"/>
        </w:rPr>
        <w:t>4.</w:t>
      </w:r>
      <w:r>
        <w:rPr>
          <w:lang w:val="en-US"/>
        </w:rPr>
        <w:tab/>
        <w:t>I</w:t>
      </w:r>
      <w:r w:rsidRPr="00F273B6">
        <w:rPr>
          <w:lang w:val="en-US"/>
        </w:rPr>
        <w:t>ncorrect use of manual leveling also could lead to a (drastic) reduction of the driver’s distance</w:t>
      </w:r>
      <w:r>
        <w:rPr>
          <w:lang w:val="en-US"/>
        </w:rPr>
        <w:t xml:space="preserve"> visibility</w:t>
      </w:r>
      <w:r w:rsidRPr="00F273B6">
        <w:rPr>
          <w:lang w:val="en-US"/>
        </w:rPr>
        <w:t>, th</w:t>
      </w:r>
      <w:r>
        <w:rPr>
          <w:lang w:val="en-US"/>
        </w:rPr>
        <w:t>us reducing safety. This occurs</w:t>
      </w:r>
      <w:r w:rsidRPr="00F273B6">
        <w:rPr>
          <w:lang w:val="en-US"/>
        </w:rPr>
        <w:t xml:space="preserve"> for instance in cases when the control for the manual headlamp-leveling device is inadvertently left in position that gives the greatest downward inclination for the headlamps. </w:t>
      </w:r>
      <w:r>
        <w:rPr>
          <w:lang w:val="en-US"/>
        </w:rPr>
        <w:t>While a</w:t>
      </w:r>
      <w:r w:rsidRPr="00F273B6">
        <w:rPr>
          <w:lang w:val="en-US"/>
        </w:rPr>
        <w:t>utoma</w:t>
      </w:r>
      <w:r>
        <w:rPr>
          <w:lang w:val="en-US"/>
        </w:rPr>
        <w:t>tic leveling</w:t>
      </w:r>
      <w:r w:rsidRPr="00F273B6">
        <w:rPr>
          <w:lang w:val="en-US"/>
        </w:rPr>
        <w:t xml:space="preserve"> ensures optimal distance</w:t>
      </w:r>
      <w:r>
        <w:rPr>
          <w:lang w:val="en-US"/>
        </w:rPr>
        <w:t xml:space="preserve"> visibility </w:t>
      </w:r>
      <w:r w:rsidRPr="00F273B6">
        <w:rPr>
          <w:lang w:val="en-US"/>
        </w:rPr>
        <w:t>and therefore can contribute significantly to an increase of night-time driving safety.</w:t>
      </w:r>
    </w:p>
    <w:p w:rsidR="00EC2FD4" w:rsidRPr="00EC2FD4" w:rsidRDefault="00EC2FD4" w:rsidP="00EC2FD4">
      <w:pPr>
        <w:pStyle w:val="SingleTxtG"/>
        <w:rPr>
          <w:lang w:val="en-US"/>
        </w:rPr>
      </w:pPr>
      <w:r w:rsidRPr="00F273B6">
        <w:rPr>
          <w:lang w:val="en-US"/>
        </w:rPr>
        <w:t>5.</w:t>
      </w:r>
      <w:r w:rsidRPr="00F273B6">
        <w:rPr>
          <w:lang w:val="en-US"/>
        </w:rPr>
        <w:tab/>
        <w:t xml:space="preserve">The improvements with respect to glare reduction and keeping the seeing-distance in an optimum will be underlined by several studies </w:t>
      </w:r>
      <w:r>
        <w:rPr>
          <w:lang w:val="en-US"/>
        </w:rPr>
        <w:t>(</w:t>
      </w:r>
      <w:r w:rsidRPr="00F273B6">
        <w:rPr>
          <w:lang w:val="en-US"/>
        </w:rPr>
        <w:t xml:space="preserve">e.g. </w:t>
      </w:r>
      <w:r w:rsidRPr="00A013DF">
        <w:t>University of Michigan Transportation Research Institute</w:t>
      </w:r>
      <w:r w:rsidRPr="00A013DF">
        <w:rPr>
          <w:lang w:val="en-US"/>
        </w:rPr>
        <w:t xml:space="preserve"> 2007-</w:t>
      </w:r>
      <w:r w:rsidRPr="00F273B6">
        <w:rPr>
          <w:lang w:val="en-US"/>
        </w:rPr>
        <w:t>46</w:t>
      </w:r>
      <w:r>
        <w:rPr>
          <w:lang w:val="en-US"/>
        </w:rPr>
        <w:t>)</w:t>
      </w:r>
      <w:r w:rsidRPr="00F273B6">
        <w:rPr>
          <w:lang w:val="en-US"/>
        </w:rPr>
        <w:t xml:space="preserve">, which was carried out in a country with a relative critical view on such aspects. Also the studies on pedestrian </w:t>
      </w:r>
      <w:r w:rsidRPr="00EC2FD4">
        <w:rPr>
          <w:lang w:val="en-US"/>
        </w:rPr>
        <w:t>protection show clearly the safety benefit of a sufficient seeing distance.</w:t>
      </w:r>
    </w:p>
    <w:p w:rsidR="00EC2FD4" w:rsidRPr="00EC2FD4" w:rsidRDefault="00EC2FD4" w:rsidP="00EC2FD4">
      <w:pPr>
        <w:pStyle w:val="SingleTxtG"/>
        <w:rPr>
          <w:lang w:val="en-US"/>
        </w:rPr>
      </w:pPr>
      <w:r w:rsidRPr="00EC2FD4">
        <w:rPr>
          <w:lang w:val="en-US"/>
        </w:rPr>
        <w:t>6.</w:t>
      </w:r>
      <w:r w:rsidRPr="00EC2FD4">
        <w:rPr>
          <w:lang w:val="en-US"/>
        </w:rPr>
        <w:tab/>
        <w:t xml:space="preserve">The results of GTB organized field test showed that all headlamps, even with Halogen light sources, could cause glare for drivers depending on the pitch angles (GRE-68-38). It was made clear that light source </w:t>
      </w:r>
      <w:r w:rsidRPr="00EC2FD4">
        <w:t>was not a factor influencing the glare assessment, not to mention vehicle category</w:t>
      </w:r>
      <w:r w:rsidRPr="00EC2FD4">
        <w:rPr>
          <w:lang w:val="en-US"/>
        </w:rPr>
        <w:t xml:space="preserve">. </w:t>
      </w:r>
      <w:proofErr w:type="gramStart"/>
      <w:r w:rsidRPr="00EC2FD4">
        <w:rPr>
          <w:lang w:val="en-US"/>
        </w:rPr>
        <w:t>All th</w:t>
      </w:r>
      <w:bookmarkStart w:id="0" w:name="_GoBack"/>
      <w:bookmarkEnd w:id="0"/>
      <w:r w:rsidRPr="00EC2FD4">
        <w:rPr>
          <w:lang w:val="en-US"/>
        </w:rPr>
        <w:t>is</w:t>
      </w:r>
      <w:proofErr w:type="gramEnd"/>
      <w:r w:rsidRPr="00EC2FD4">
        <w:rPr>
          <w:lang w:val="en-US"/>
        </w:rPr>
        <w:t xml:space="preserve"> means that headlamps should have automatic leveling to solve the current glare problems on the road traffic. </w:t>
      </w:r>
    </w:p>
    <w:p w:rsidR="00EC2FD4" w:rsidRPr="00EC2FD4" w:rsidRDefault="00EC2FD4" w:rsidP="00EC2FD4">
      <w:pPr>
        <w:pStyle w:val="SingleTxtG"/>
        <w:rPr>
          <w:lang w:val="en-US"/>
        </w:rPr>
      </w:pPr>
      <w:r w:rsidRPr="00EC2FD4">
        <w:rPr>
          <w:lang w:val="en-US"/>
        </w:rPr>
        <w:t>7.</w:t>
      </w:r>
      <w:r w:rsidRPr="00EC2FD4">
        <w:rPr>
          <w:lang w:val="en-US"/>
        </w:rPr>
        <w:tab/>
      </w:r>
      <w:r w:rsidRPr="00EC2FD4">
        <w:rPr>
          <w:lang w:val="en-US" w:eastAsia="ja-JP"/>
        </w:rPr>
        <w:t>Japan has tried to know how many accidents have happened because of glare from headlamps in Japan. As the result, our data center ITARDA (Institute of Traffic Accident Research and Data Analysis) says that at least 49 fatalities and 1,063 injuries were reported for these 10 years. We should not blink this fact even though these numbers are not so big.</w:t>
      </w:r>
    </w:p>
    <w:p w:rsidR="00EC2FD4" w:rsidRPr="00EC2FD4" w:rsidRDefault="00EC2FD4" w:rsidP="00EC2FD4">
      <w:pPr>
        <w:pStyle w:val="SingleTxtG"/>
        <w:rPr>
          <w:lang w:val="en-US"/>
        </w:rPr>
      </w:pPr>
      <w:r w:rsidRPr="00EC2FD4">
        <w:rPr>
          <w:lang w:val="en-US"/>
        </w:rPr>
        <w:t>8.</w:t>
      </w:r>
      <w:r w:rsidRPr="00EC2FD4">
        <w:rPr>
          <w:lang w:val="en-US"/>
        </w:rPr>
        <w:tab/>
        <w:t xml:space="preserve">The technical progress of recent years makes the manual operation outdated and offers safer sensor controlled solutions. From the aspect of technical progress, the environmental burden and road safety, automatic leveling devices must be accepted with not a little cost-benefit. Therefore, the experts from Germany and Japan propose, as a next step to improve road traffic safety, that vehicle should be equipped with automatic leveling, by deleting this old exemption which still allows manual operation of a leveling device for the dipped-beam headlamps. </w:t>
      </w:r>
    </w:p>
    <w:p w:rsidR="00EC2FD4" w:rsidRPr="00EC2FD4" w:rsidRDefault="00EC2FD4" w:rsidP="00EC2FD4">
      <w:pPr>
        <w:pStyle w:val="SingleTxtG"/>
        <w:rPr>
          <w:lang w:val="en-US"/>
        </w:rPr>
      </w:pPr>
      <w:r w:rsidRPr="00EC2FD4">
        <w:rPr>
          <w:lang w:val="en-US"/>
        </w:rPr>
        <w:t>9.</w:t>
      </w:r>
      <w:r w:rsidRPr="00EC2FD4">
        <w:rPr>
          <w:lang w:val="en-US"/>
        </w:rPr>
        <w:tab/>
        <w:t xml:space="preserve">Furthermore, </w:t>
      </w:r>
      <w:r w:rsidRPr="00EC2FD4">
        <w:rPr>
          <w:rFonts w:hint="eastAsia"/>
          <w:lang w:val="en-US" w:eastAsia="ja-JP"/>
        </w:rPr>
        <w:t xml:space="preserve">by deleting provision which causes different treatment LED from other light sources, </w:t>
      </w:r>
      <w:r w:rsidRPr="00EC2FD4">
        <w:rPr>
          <w:lang w:val="en-US"/>
        </w:rPr>
        <w:t>this</w:t>
      </w:r>
      <w:r w:rsidRPr="00EC2FD4">
        <w:rPr>
          <w:rFonts w:hint="eastAsia"/>
          <w:lang w:val="en-US" w:eastAsia="ja-JP"/>
        </w:rPr>
        <w:t xml:space="preserve"> proposal</w:t>
      </w:r>
      <w:r w:rsidRPr="00EC2FD4">
        <w:rPr>
          <w:lang w:val="en-US"/>
        </w:rPr>
        <w:t xml:space="preserve"> will promote the shift to the use of LEDs which contribute to a decrease of CO</w:t>
      </w:r>
      <w:r w:rsidRPr="00EC2FD4">
        <w:rPr>
          <w:vertAlign w:val="subscript"/>
          <w:lang w:val="en-US"/>
        </w:rPr>
        <w:t>2</w:t>
      </w:r>
      <w:r w:rsidRPr="00EC2FD4">
        <w:rPr>
          <w:lang w:val="en-US"/>
        </w:rPr>
        <w:t xml:space="preserve"> emissions by 1.0g according to the technical guidelines of the European Union (EU) (GRE/2014/34).</w:t>
      </w:r>
    </w:p>
    <w:p w:rsidR="00EC2FD4" w:rsidRPr="00EC2FD4" w:rsidRDefault="00EC2FD4" w:rsidP="00EC2FD4">
      <w:pPr>
        <w:pStyle w:val="SingleTxtG"/>
        <w:rPr>
          <w:lang w:val="en-US"/>
        </w:rPr>
      </w:pPr>
      <w:r w:rsidRPr="00EC2FD4">
        <w:rPr>
          <w:lang w:val="en-US"/>
        </w:rPr>
        <w:t>10.</w:t>
      </w:r>
      <w:r w:rsidRPr="00EC2FD4">
        <w:rPr>
          <w:lang w:val="en-US"/>
        </w:rPr>
        <w:tab/>
        <w:t xml:space="preserve">According to European legislation, new types of vehicles shall be fitted </w:t>
      </w:r>
      <w:hyperlink r:id="rId11" w:history="1">
        <w:r w:rsidRPr="00EC2FD4">
          <w:rPr>
            <w:rStyle w:val="Hyperlink"/>
            <w:lang w:val="en-US"/>
          </w:rPr>
          <w:t>with</w:t>
        </w:r>
      </w:hyperlink>
      <w:r w:rsidRPr="00EC2FD4">
        <w:rPr>
          <w:lang w:val="en-US"/>
        </w:rPr>
        <w:t xml:space="preserve"> Electronic Stability Control (ESC), starting from the end of 2011 (depending on vehicle category). And new vehicles (existing types) shall be fitted with ESC no later than by the end of 2014. All this means that currently new vehicles are equipped with a basic electronic network, thus enabling manufacturers to equip their vehicles with sensors for automatic leveling with little additional effort and cost. Moreover, the manual leveling control unit on the dashboard will no longer be needed, which may actually provide an additional saving.</w:t>
      </w:r>
    </w:p>
    <w:p w:rsidR="00DF0C58" w:rsidRPr="00EA155B" w:rsidRDefault="002067EA" w:rsidP="00EA155B">
      <w:pPr>
        <w:spacing w:before="240"/>
        <w:ind w:left="1134" w:right="1134"/>
        <w:jc w:val="center"/>
        <w:rPr>
          <w:u w:val="single"/>
        </w:rPr>
      </w:pPr>
      <w:r w:rsidRPr="002067EA">
        <w:rPr>
          <w:u w:val="single"/>
        </w:rPr>
        <w:tab/>
      </w:r>
      <w:r w:rsidRPr="002067EA">
        <w:rPr>
          <w:u w:val="single"/>
        </w:rPr>
        <w:tab/>
      </w:r>
      <w:r w:rsidRPr="002067EA">
        <w:rPr>
          <w:u w:val="single"/>
        </w:rPr>
        <w:tab/>
      </w:r>
    </w:p>
    <w:sectPr w:rsidR="00DF0C58" w:rsidRPr="00EA155B" w:rsidSect="00615029">
      <w:headerReference w:type="even" r:id="rId12"/>
      <w:headerReference w:type="default" r:id="rId13"/>
      <w:footerReference w:type="even" r:id="rId14"/>
      <w:footerReference w:type="default" r:id="rId15"/>
      <w:headerReference w:type="first" r:id="rId16"/>
      <w:endnotePr>
        <w:numFmt w:val="decimal"/>
      </w:endnotePr>
      <w:pgSz w:w="11907" w:h="16840" w:code="9"/>
      <w:pgMar w:top="709" w:right="1417" w:bottom="568" w:left="1134" w:header="1134" w:footer="14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53" w:rsidRDefault="004C4F53"/>
  </w:endnote>
  <w:endnote w:type="continuationSeparator" w:id="0">
    <w:p w:rsidR="004C4F53" w:rsidRDefault="004C4F53"/>
  </w:endnote>
  <w:endnote w:type="continuationNotice" w:id="1">
    <w:p w:rsidR="004C4F53" w:rsidRDefault="004C4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C" w:rsidRPr="006D66AF" w:rsidRDefault="00E72471" w:rsidP="009336EA">
    <w:pPr>
      <w:pStyle w:val="Footer"/>
      <w:tabs>
        <w:tab w:val="right" w:pos="9638"/>
      </w:tabs>
      <w:rPr>
        <w:sz w:val="20"/>
      </w:rPr>
    </w:pPr>
    <w:r w:rsidRPr="006D66AF">
      <w:rPr>
        <w:b/>
        <w:sz w:val="18"/>
      </w:rPr>
      <w:fldChar w:fldCharType="begin"/>
    </w:r>
    <w:r w:rsidR="00B92D0C" w:rsidRPr="006D66AF">
      <w:rPr>
        <w:b/>
        <w:sz w:val="18"/>
      </w:rPr>
      <w:instrText xml:space="preserve"> PAGE  \* MERGEFORMAT </w:instrText>
    </w:r>
    <w:r w:rsidRPr="006D66AF">
      <w:rPr>
        <w:b/>
        <w:sz w:val="18"/>
      </w:rPr>
      <w:fldChar w:fldCharType="separate"/>
    </w:r>
    <w:r w:rsidR="00330260">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C" w:rsidRPr="006D66AF" w:rsidRDefault="00E72471" w:rsidP="009336EA">
    <w:pPr>
      <w:pStyle w:val="Footer"/>
      <w:tabs>
        <w:tab w:val="right" w:pos="9638"/>
      </w:tabs>
      <w:jc w:val="right"/>
      <w:rPr>
        <w:sz w:val="18"/>
      </w:rPr>
    </w:pPr>
    <w:r w:rsidRPr="006D66AF">
      <w:rPr>
        <w:b/>
        <w:sz w:val="18"/>
      </w:rPr>
      <w:fldChar w:fldCharType="begin"/>
    </w:r>
    <w:r w:rsidR="00B92D0C" w:rsidRPr="006D66AF">
      <w:rPr>
        <w:b/>
        <w:sz w:val="18"/>
      </w:rPr>
      <w:instrText xml:space="preserve"> PAGE  \* MERGEFORMAT </w:instrText>
    </w:r>
    <w:r w:rsidRPr="006D66AF">
      <w:rPr>
        <w:b/>
        <w:sz w:val="18"/>
      </w:rPr>
      <w:fldChar w:fldCharType="separate"/>
    </w:r>
    <w:r w:rsidR="00330260">
      <w:rPr>
        <w:b/>
        <w:noProof/>
        <w:sz w:val="18"/>
      </w:rPr>
      <w:t>3</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53" w:rsidRPr="000B175B" w:rsidRDefault="004C4F53" w:rsidP="000B175B">
      <w:pPr>
        <w:tabs>
          <w:tab w:val="right" w:pos="2155"/>
        </w:tabs>
        <w:spacing w:after="80"/>
        <w:ind w:left="680"/>
        <w:rPr>
          <w:u w:val="single"/>
        </w:rPr>
      </w:pPr>
      <w:r>
        <w:rPr>
          <w:u w:val="single"/>
        </w:rPr>
        <w:tab/>
      </w:r>
    </w:p>
  </w:footnote>
  <w:footnote w:type="continuationSeparator" w:id="0">
    <w:p w:rsidR="004C4F53" w:rsidRPr="00FC68B7" w:rsidRDefault="004C4F53" w:rsidP="00FC68B7">
      <w:pPr>
        <w:tabs>
          <w:tab w:val="left" w:pos="2155"/>
        </w:tabs>
        <w:spacing w:after="80"/>
        <w:ind w:left="680"/>
        <w:rPr>
          <w:u w:val="single"/>
        </w:rPr>
      </w:pPr>
      <w:r>
        <w:rPr>
          <w:u w:val="single"/>
        </w:rPr>
        <w:tab/>
      </w:r>
    </w:p>
  </w:footnote>
  <w:footnote w:type="continuationNotice" w:id="1">
    <w:p w:rsidR="004C4F53" w:rsidRDefault="004C4F53"/>
  </w:footnote>
  <w:footnote w:id="2">
    <w:p w:rsidR="00DD6BD5" w:rsidRPr="003406B0" w:rsidRDefault="00DD6BD5" w:rsidP="00DD6BD5">
      <w:pPr>
        <w:pStyle w:val="FootnoteText"/>
      </w:pPr>
      <w:r>
        <w:tab/>
      </w:r>
      <w:r>
        <w:rPr>
          <w:rStyle w:val="FootnoteReference"/>
        </w:rPr>
        <w:footnoteRef/>
      </w:r>
      <w:r>
        <w:tab/>
      </w:r>
      <w:r w:rsidRPr="0025221C">
        <w:t>Contracting Parties to the respective regulations can still prohibit the use of mechanical cleaning systems when headlamps with plastic lenses, marked "PL", are installed.</w:t>
      </w:r>
    </w:p>
  </w:footnote>
  <w:footnote w:id="3">
    <w:p w:rsidR="00EC2FD4" w:rsidRDefault="00EC2FD4" w:rsidP="00EC2FD4">
      <w:pPr>
        <w:pStyle w:val="FootnoteText"/>
      </w:pPr>
      <w:r>
        <w:tab/>
      </w:r>
      <w:r>
        <w:rPr>
          <w:rStyle w:val="FootnoteReference"/>
        </w:rPr>
        <w:footnoteRef/>
      </w:r>
      <w:r>
        <w:tab/>
        <w:t>The second number is given merely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C" w:rsidRPr="00751111" w:rsidRDefault="00B92D0C" w:rsidP="0075111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C" w:rsidRPr="00751111" w:rsidRDefault="00B92D0C" w:rsidP="0075111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0C" w:rsidRDefault="00B92D0C" w:rsidP="0075111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B1293"/>
    <w:multiLevelType w:val="multilevel"/>
    <w:tmpl w:val="96C446AE"/>
    <w:lvl w:ilvl="0">
      <w:start w:val="6"/>
      <w:numFmt w:val="decimal"/>
      <w:lvlText w:val="%1."/>
      <w:lvlJc w:val="left"/>
      <w:pPr>
        <w:tabs>
          <w:tab w:val="num" w:pos="1560"/>
        </w:tabs>
        <w:ind w:left="1560" w:hanging="1560"/>
      </w:pPr>
      <w:rPr>
        <w:rFonts w:hint="default"/>
      </w:rPr>
    </w:lvl>
    <w:lvl w:ilvl="1">
      <w:start w:val="19"/>
      <w:numFmt w:val="decimal"/>
      <w:lvlText w:val="%1.%2."/>
      <w:lvlJc w:val="left"/>
      <w:pPr>
        <w:tabs>
          <w:tab w:val="num" w:pos="1985"/>
        </w:tabs>
        <w:ind w:left="1985" w:hanging="1560"/>
      </w:pPr>
      <w:rPr>
        <w:rFonts w:hint="default"/>
      </w:rPr>
    </w:lvl>
    <w:lvl w:ilvl="2">
      <w:start w:val="7"/>
      <w:numFmt w:val="decimal"/>
      <w:lvlText w:val="%1.%2.%3."/>
      <w:lvlJc w:val="left"/>
      <w:pPr>
        <w:tabs>
          <w:tab w:val="num" w:pos="2410"/>
        </w:tabs>
        <w:ind w:left="2410" w:hanging="1560"/>
      </w:pPr>
      <w:rPr>
        <w:rFonts w:hint="default"/>
      </w:rPr>
    </w:lvl>
    <w:lvl w:ilvl="3">
      <w:start w:val="6"/>
      <w:numFmt w:val="decimal"/>
      <w:lvlText w:val="%1.%2.%3.%4."/>
      <w:lvlJc w:val="left"/>
      <w:pPr>
        <w:tabs>
          <w:tab w:val="num" w:pos="2835"/>
        </w:tabs>
        <w:ind w:left="2835" w:hanging="1560"/>
      </w:pPr>
      <w:rPr>
        <w:rFonts w:hint="default"/>
      </w:rPr>
    </w:lvl>
    <w:lvl w:ilvl="4">
      <w:start w:val="1"/>
      <w:numFmt w:val="decimal"/>
      <w:lvlText w:val="%1.%2.%3.%4.%5."/>
      <w:lvlJc w:val="left"/>
      <w:pPr>
        <w:tabs>
          <w:tab w:val="num" w:pos="3260"/>
        </w:tabs>
        <w:ind w:left="3260" w:hanging="1560"/>
      </w:pPr>
      <w:rPr>
        <w:rFonts w:hint="default"/>
      </w:rPr>
    </w:lvl>
    <w:lvl w:ilvl="5">
      <w:start w:val="1"/>
      <w:numFmt w:val="decimal"/>
      <w:lvlText w:val="%1.%2.%3.%4.%5.%6."/>
      <w:lvlJc w:val="left"/>
      <w:pPr>
        <w:tabs>
          <w:tab w:val="num" w:pos="3685"/>
        </w:tabs>
        <w:ind w:left="3685" w:hanging="1560"/>
      </w:pPr>
      <w:rPr>
        <w:rFonts w:hint="default"/>
      </w:rPr>
    </w:lvl>
    <w:lvl w:ilvl="6">
      <w:start w:val="1"/>
      <w:numFmt w:val="decimal"/>
      <w:lvlText w:val="%1.%2.%3.%4.%5.%6.%7."/>
      <w:lvlJc w:val="left"/>
      <w:pPr>
        <w:tabs>
          <w:tab w:val="num" w:pos="4110"/>
        </w:tabs>
        <w:ind w:left="4110" w:hanging="156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31241C0"/>
    <w:multiLevelType w:val="hybridMultilevel"/>
    <w:tmpl w:val="C1160432"/>
    <w:lvl w:ilvl="0" w:tplc="DB725F2E">
      <w:start w:val="1"/>
      <w:numFmt w:val="upp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3"/>
  </w:num>
  <w:num w:numId="14">
    <w:abstractNumId w:val="20"/>
  </w:num>
  <w:num w:numId="15">
    <w:abstractNumId w:val="21"/>
  </w:num>
  <w:num w:numId="16">
    <w:abstractNumId w:val="11"/>
  </w:num>
  <w:num w:numId="17">
    <w:abstractNumId w:val="16"/>
  </w:num>
  <w:num w:numId="18">
    <w:abstractNumId w:val="18"/>
  </w:num>
  <w:num w:numId="19">
    <w:abstractNumId w:val="12"/>
  </w:num>
  <w:num w:numId="20">
    <w:abstractNumId w:val="17"/>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13D99"/>
    <w:rsid w:val="00026D84"/>
    <w:rsid w:val="0003056C"/>
    <w:rsid w:val="000340A4"/>
    <w:rsid w:val="00043FF8"/>
    <w:rsid w:val="00046B1F"/>
    <w:rsid w:val="00050F6B"/>
    <w:rsid w:val="00052635"/>
    <w:rsid w:val="00057E97"/>
    <w:rsid w:val="00061B83"/>
    <w:rsid w:val="000646F4"/>
    <w:rsid w:val="00072C8C"/>
    <w:rsid w:val="000733B5"/>
    <w:rsid w:val="000773CE"/>
    <w:rsid w:val="00081815"/>
    <w:rsid w:val="000912BC"/>
    <w:rsid w:val="000931C0"/>
    <w:rsid w:val="000A68B0"/>
    <w:rsid w:val="000B0595"/>
    <w:rsid w:val="000B144E"/>
    <w:rsid w:val="000B175B"/>
    <w:rsid w:val="000B2F02"/>
    <w:rsid w:val="000B3A0F"/>
    <w:rsid w:val="000B4EF7"/>
    <w:rsid w:val="000C227F"/>
    <w:rsid w:val="000C2C03"/>
    <w:rsid w:val="000C2D2E"/>
    <w:rsid w:val="000C3EAA"/>
    <w:rsid w:val="000D7320"/>
    <w:rsid w:val="000E0415"/>
    <w:rsid w:val="000F2AF2"/>
    <w:rsid w:val="000F431B"/>
    <w:rsid w:val="001103AA"/>
    <w:rsid w:val="0011666B"/>
    <w:rsid w:val="00124000"/>
    <w:rsid w:val="0013722F"/>
    <w:rsid w:val="00146EA5"/>
    <w:rsid w:val="00155907"/>
    <w:rsid w:val="0015739F"/>
    <w:rsid w:val="00162A06"/>
    <w:rsid w:val="0016538B"/>
    <w:rsid w:val="00165F3A"/>
    <w:rsid w:val="00166289"/>
    <w:rsid w:val="00166D78"/>
    <w:rsid w:val="00182290"/>
    <w:rsid w:val="001A3955"/>
    <w:rsid w:val="001B0032"/>
    <w:rsid w:val="001B4B04"/>
    <w:rsid w:val="001C6663"/>
    <w:rsid w:val="001C7895"/>
    <w:rsid w:val="001D0C8C"/>
    <w:rsid w:val="001D1419"/>
    <w:rsid w:val="001D26DF"/>
    <w:rsid w:val="001D32EE"/>
    <w:rsid w:val="001D3A03"/>
    <w:rsid w:val="001E7B67"/>
    <w:rsid w:val="00202DA8"/>
    <w:rsid w:val="00204AD6"/>
    <w:rsid w:val="002067EA"/>
    <w:rsid w:val="00211E0B"/>
    <w:rsid w:val="00216116"/>
    <w:rsid w:val="002202CE"/>
    <w:rsid w:val="002247FC"/>
    <w:rsid w:val="0024772E"/>
    <w:rsid w:val="00267F5F"/>
    <w:rsid w:val="00286B4D"/>
    <w:rsid w:val="00296934"/>
    <w:rsid w:val="002972A8"/>
    <w:rsid w:val="002D4643"/>
    <w:rsid w:val="002D5354"/>
    <w:rsid w:val="002E10EC"/>
    <w:rsid w:val="002F175C"/>
    <w:rsid w:val="002F2158"/>
    <w:rsid w:val="002F7DE0"/>
    <w:rsid w:val="00302E18"/>
    <w:rsid w:val="00310D6D"/>
    <w:rsid w:val="00311664"/>
    <w:rsid w:val="00314A1D"/>
    <w:rsid w:val="003213F8"/>
    <w:rsid w:val="003229D8"/>
    <w:rsid w:val="00323E6F"/>
    <w:rsid w:val="00324CE4"/>
    <w:rsid w:val="00330260"/>
    <w:rsid w:val="00340057"/>
    <w:rsid w:val="00352709"/>
    <w:rsid w:val="003529FA"/>
    <w:rsid w:val="003547B4"/>
    <w:rsid w:val="003619B5"/>
    <w:rsid w:val="00361AC3"/>
    <w:rsid w:val="00365763"/>
    <w:rsid w:val="003705F6"/>
    <w:rsid w:val="00371173"/>
    <w:rsid w:val="00371178"/>
    <w:rsid w:val="00373220"/>
    <w:rsid w:val="0037678F"/>
    <w:rsid w:val="00392E47"/>
    <w:rsid w:val="003A6810"/>
    <w:rsid w:val="003B2C53"/>
    <w:rsid w:val="003C2CC4"/>
    <w:rsid w:val="003C3518"/>
    <w:rsid w:val="003C534D"/>
    <w:rsid w:val="003D4B23"/>
    <w:rsid w:val="003E130E"/>
    <w:rsid w:val="003E1EC6"/>
    <w:rsid w:val="003F1413"/>
    <w:rsid w:val="00407A1C"/>
    <w:rsid w:val="00410C89"/>
    <w:rsid w:val="004155F1"/>
    <w:rsid w:val="00422E03"/>
    <w:rsid w:val="00426B9B"/>
    <w:rsid w:val="004325CB"/>
    <w:rsid w:val="00442A83"/>
    <w:rsid w:val="004444D8"/>
    <w:rsid w:val="00453556"/>
    <w:rsid w:val="0045495B"/>
    <w:rsid w:val="004561E5"/>
    <w:rsid w:val="00480626"/>
    <w:rsid w:val="004833EE"/>
    <w:rsid w:val="0048397A"/>
    <w:rsid w:val="00485CBB"/>
    <w:rsid w:val="004866B7"/>
    <w:rsid w:val="00493A38"/>
    <w:rsid w:val="004B4B5A"/>
    <w:rsid w:val="004C2461"/>
    <w:rsid w:val="004C4F53"/>
    <w:rsid w:val="004C7462"/>
    <w:rsid w:val="004D127C"/>
    <w:rsid w:val="004D2434"/>
    <w:rsid w:val="004E77B2"/>
    <w:rsid w:val="00504B2D"/>
    <w:rsid w:val="0052136D"/>
    <w:rsid w:val="0052775E"/>
    <w:rsid w:val="0053144D"/>
    <w:rsid w:val="005369ED"/>
    <w:rsid w:val="00537D60"/>
    <w:rsid w:val="005420F2"/>
    <w:rsid w:val="005472E5"/>
    <w:rsid w:val="00561E31"/>
    <w:rsid w:val="0056209A"/>
    <w:rsid w:val="005628B6"/>
    <w:rsid w:val="00582932"/>
    <w:rsid w:val="00585878"/>
    <w:rsid w:val="00590312"/>
    <w:rsid w:val="005941EC"/>
    <w:rsid w:val="0059724D"/>
    <w:rsid w:val="005A4616"/>
    <w:rsid w:val="005B320C"/>
    <w:rsid w:val="005B3DB3"/>
    <w:rsid w:val="005B4E13"/>
    <w:rsid w:val="005C342F"/>
    <w:rsid w:val="005C7D1E"/>
    <w:rsid w:val="005D67C8"/>
    <w:rsid w:val="005E4D00"/>
    <w:rsid w:val="005E6CFF"/>
    <w:rsid w:val="005F7B75"/>
    <w:rsid w:val="006001EE"/>
    <w:rsid w:val="00605042"/>
    <w:rsid w:val="00611FC4"/>
    <w:rsid w:val="00615029"/>
    <w:rsid w:val="006176FB"/>
    <w:rsid w:val="0062067C"/>
    <w:rsid w:val="00625771"/>
    <w:rsid w:val="00640B26"/>
    <w:rsid w:val="00652D0A"/>
    <w:rsid w:val="00662BB6"/>
    <w:rsid w:val="00671B51"/>
    <w:rsid w:val="0067362F"/>
    <w:rsid w:val="00676606"/>
    <w:rsid w:val="0068000A"/>
    <w:rsid w:val="0068035D"/>
    <w:rsid w:val="006810B6"/>
    <w:rsid w:val="0068491A"/>
    <w:rsid w:val="00684C21"/>
    <w:rsid w:val="006A2530"/>
    <w:rsid w:val="006A46CE"/>
    <w:rsid w:val="006B4942"/>
    <w:rsid w:val="006C3589"/>
    <w:rsid w:val="006C79BC"/>
    <w:rsid w:val="006D37AF"/>
    <w:rsid w:val="006D51D0"/>
    <w:rsid w:val="006D5FB9"/>
    <w:rsid w:val="006D658E"/>
    <w:rsid w:val="006D66AF"/>
    <w:rsid w:val="006E3A30"/>
    <w:rsid w:val="006E564B"/>
    <w:rsid w:val="006E7191"/>
    <w:rsid w:val="00703577"/>
    <w:rsid w:val="00705894"/>
    <w:rsid w:val="00721429"/>
    <w:rsid w:val="0072632A"/>
    <w:rsid w:val="00730CE8"/>
    <w:rsid w:val="007327D5"/>
    <w:rsid w:val="00733B05"/>
    <w:rsid w:val="00751111"/>
    <w:rsid w:val="007629C8"/>
    <w:rsid w:val="0077047D"/>
    <w:rsid w:val="00786BA3"/>
    <w:rsid w:val="007874B5"/>
    <w:rsid w:val="00796214"/>
    <w:rsid w:val="007B6BA5"/>
    <w:rsid w:val="007C1110"/>
    <w:rsid w:val="007C3390"/>
    <w:rsid w:val="007C3745"/>
    <w:rsid w:val="007C4F4B"/>
    <w:rsid w:val="007C5C67"/>
    <w:rsid w:val="007D20F1"/>
    <w:rsid w:val="007D25AB"/>
    <w:rsid w:val="007E01E9"/>
    <w:rsid w:val="007E2D4B"/>
    <w:rsid w:val="007E63F3"/>
    <w:rsid w:val="007F23E1"/>
    <w:rsid w:val="007F6611"/>
    <w:rsid w:val="00805900"/>
    <w:rsid w:val="00811920"/>
    <w:rsid w:val="00815AD0"/>
    <w:rsid w:val="00815EDB"/>
    <w:rsid w:val="008212E9"/>
    <w:rsid w:val="008242D7"/>
    <w:rsid w:val="008257B1"/>
    <w:rsid w:val="00826BD8"/>
    <w:rsid w:val="008312EE"/>
    <w:rsid w:val="00832236"/>
    <w:rsid w:val="00832334"/>
    <w:rsid w:val="00837176"/>
    <w:rsid w:val="00843191"/>
    <w:rsid w:val="00843767"/>
    <w:rsid w:val="0084641E"/>
    <w:rsid w:val="0085595A"/>
    <w:rsid w:val="00860696"/>
    <w:rsid w:val="008679D9"/>
    <w:rsid w:val="00870393"/>
    <w:rsid w:val="00872E3B"/>
    <w:rsid w:val="008878DE"/>
    <w:rsid w:val="008979B1"/>
    <w:rsid w:val="008A1ED5"/>
    <w:rsid w:val="008A6B25"/>
    <w:rsid w:val="008A6C4F"/>
    <w:rsid w:val="008B0563"/>
    <w:rsid w:val="008B09AE"/>
    <w:rsid w:val="008B2335"/>
    <w:rsid w:val="008B2E36"/>
    <w:rsid w:val="008C2428"/>
    <w:rsid w:val="008E0678"/>
    <w:rsid w:val="008F006A"/>
    <w:rsid w:val="008F303E"/>
    <w:rsid w:val="008F31D2"/>
    <w:rsid w:val="0090240D"/>
    <w:rsid w:val="00915EF6"/>
    <w:rsid w:val="009223CA"/>
    <w:rsid w:val="009276B7"/>
    <w:rsid w:val="00930A10"/>
    <w:rsid w:val="009336EA"/>
    <w:rsid w:val="00940F93"/>
    <w:rsid w:val="009448C3"/>
    <w:rsid w:val="00960F75"/>
    <w:rsid w:val="00972FAD"/>
    <w:rsid w:val="009760F3"/>
    <w:rsid w:val="00976CFB"/>
    <w:rsid w:val="009777C1"/>
    <w:rsid w:val="009A0830"/>
    <w:rsid w:val="009A0E8D"/>
    <w:rsid w:val="009B26E7"/>
    <w:rsid w:val="009B64BB"/>
    <w:rsid w:val="009D035A"/>
    <w:rsid w:val="00A00697"/>
    <w:rsid w:val="00A006CA"/>
    <w:rsid w:val="00A00A3F"/>
    <w:rsid w:val="00A01489"/>
    <w:rsid w:val="00A24263"/>
    <w:rsid w:val="00A27978"/>
    <w:rsid w:val="00A3026E"/>
    <w:rsid w:val="00A334C5"/>
    <w:rsid w:val="00A33778"/>
    <w:rsid w:val="00A338F1"/>
    <w:rsid w:val="00A35BE0"/>
    <w:rsid w:val="00A364C5"/>
    <w:rsid w:val="00A46601"/>
    <w:rsid w:val="00A50E6E"/>
    <w:rsid w:val="00A5414C"/>
    <w:rsid w:val="00A6129C"/>
    <w:rsid w:val="00A62BEC"/>
    <w:rsid w:val="00A72F22"/>
    <w:rsid w:val="00A7360F"/>
    <w:rsid w:val="00A748A6"/>
    <w:rsid w:val="00A769F4"/>
    <w:rsid w:val="00A776B4"/>
    <w:rsid w:val="00A77986"/>
    <w:rsid w:val="00A931DE"/>
    <w:rsid w:val="00A94361"/>
    <w:rsid w:val="00AA11D6"/>
    <w:rsid w:val="00AA293C"/>
    <w:rsid w:val="00AA599A"/>
    <w:rsid w:val="00AB3825"/>
    <w:rsid w:val="00AD29D4"/>
    <w:rsid w:val="00AF55D4"/>
    <w:rsid w:val="00AF5FEB"/>
    <w:rsid w:val="00B17B02"/>
    <w:rsid w:val="00B20247"/>
    <w:rsid w:val="00B23F77"/>
    <w:rsid w:val="00B30179"/>
    <w:rsid w:val="00B30622"/>
    <w:rsid w:val="00B40C1C"/>
    <w:rsid w:val="00B41DAE"/>
    <w:rsid w:val="00B421C1"/>
    <w:rsid w:val="00B50FA2"/>
    <w:rsid w:val="00B52192"/>
    <w:rsid w:val="00B53C21"/>
    <w:rsid w:val="00B55C71"/>
    <w:rsid w:val="00B56E4A"/>
    <w:rsid w:val="00B56E9C"/>
    <w:rsid w:val="00B64B1F"/>
    <w:rsid w:val="00B6553F"/>
    <w:rsid w:val="00B739CE"/>
    <w:rsid w:val="00B73C10"/>
    <w:rsid w:val="00B77D05"/>
    <w:rsid w:val="00B77F80"/>
    <w:rsid w:val="00B81206"/>
    <w:rsid w:val="00B81E12"/>
    <w:rsid w:val="00B86C5F"/>
    <w:rsid w:val="00B90C29"/>
    <w:rsid w:val="00B92D0C"/>
    <w:rsid w:val="00B93200"/>
    <w:rsid w:val="00BC3F3B"/>
    <w:rsid w:val="00BC3FA0"/>
    <w:rsid w:val="00BC74E9"/>
    <w:rsid w:val="00BD0917"/>
    <w:rsid w:val="00BD3DC7"/>
    <w:rsid w:val="00BE15D3"/>
    <w:rsid w:val="00BE72CE"/>
    <w:rsid w:val="00BF30B3"/>
    <w:rsid w:val="00BF68A8"/>
    <w:rsid w:val="00C11A03"/>
    <w:rsid w:val="00C206C7"/>
    <w:rsid w:val="00C22C0C"/>
    <w:rsid w:val="00C244F5"/>
    <w:rsid w:val="00C3255D"/>
    <w:rsid w:val="00C37074"/>
    <w:rsid w:val="00C4527F"/>
    <w:rsid w:val="00C463DD"/>
    <w:rsid w:val="00C4724C"/>
    <w:rsid w:val="00C53B8A"/>
    <w:rsid w:val="00C629A0"/>
    <w:rsid w:val="00C64629"/>
    <w:rsid w:val="00C7026E"/>
    <w:rsid w:val="00C745C3"/>
    <w:rsid w:val="00C94F10"/>
    <w:rsid w:val="00C96DF2"/>
    <w:rsid w:val="00CA1B34"/>
    <w:rsid w:val="00CA1C2F"/>
    <w:rsid w:val="00CB3E03"/>
    <w:rsid w:val="00CD1BE1"/>
    <w:rsid w:val="00CD28F4"/>
    <w:rsid w:val="00CD46A3"/>
    <w:rsid w:val="00CD4AA6"/>
    <w:rsid w:val="00CE4A8F"/>
    <w:rsid w:val="00CE7B73"/>
    <w:rsid w:val="00D030CF"/>
    <w:rsid w:val="00D149F6"/>
    <w:rsid w:val="00D2031B"/>
    <w:rsid w:val="00D248B6"/>
    <w:rsid w:val="00D25FE2"/>
    <w:rsid w:val="00D26E07"/>
    <w:rsid w:val="00D43252"/>
    <w:rsid w:val="00D44783"/>
    <w:rsid w:val="00D44FEF"/>
    <w:rsid w:val="00D47EEA"/>
    <w:rsid w:val="00D5658F"/>
    <w:rsid w:val="00D73F4A"/>
    <w:rsid w:val="00D773DF"/>
    <w:rsid w:val="00D913A4"/>
    <w:rsid w:val="00D942C3"/>
    <w:rsid w:val="00D95303"/>
    <w:rsid w:val="00D95480"/>
    <w:rsid w:val="00D978C6"/>
    <w:rsid w:val="00DA3C1C"/>
    <w:rsid w:val="00DC251A"/>
    <w:rsid w:val="00DC3001"/>
    <w:rsid w:val="00DC6D39"/>
    <w:rsid w:val="00DD6BD5"/>
    <w:rsid w:val="00DF0C58"/>
    <w:rsid w:val="00DF22FE"/>
    <w:rsid w:val="00E00F5C"/>
    <w:rsid w:val="00E046DF"/>
    <w:rsid w:val="00E1303F"/>
    <w:rsid w:val="00E22B0C"/>
    <w:rsid w:val="00E27346"/>
    <w:rsid w:val="00E3393B"/>
    <w:rsid w:val="00E40A45"/>
    <w:rsid w:val="00E560CA"/>
    <w:rsid w:val="00E61C3C"/>
    <w:rsid w:val="00E71BC8"/>
    <w:rsid w:val="00E72471"/>
    <w:rsid w:val="00E7260F"/>
    <w:rsid w:val="00E73F5D"/>
    <w:rsid w:val="00E77E4E"/>
    <w:rsid w:val="00E81CB3"/>
    <w:rsid w:val="00E824FC"/>
    <w:rsid w:val="00E96630"/>
    <w:rsid w:val="00EA155B"/>
    <w:rsid w:val="00EA2A77"/>
    <w:rsid w:val="00EB34C8"/>
    <w:rsid w:val="00EC2FD4"/>
    <w:rsid w:val="00ED1E6B"/>
    <w:rsid w:val="00ED7A2A"/>
    <w:rsid w:val="00EF1D7F"/>
    <w:rsid w:val="00EF5F29"/>
    <w:rsid w:val="00F12AF0"/>
    <w:rsid w:val="00F25B19"/>
    <w:rsid w:val="00F312E1"/>
    <w:rsid w:val="00F31E5F"/>
    <w:rsid w:val="00F34402"/>
    <w:rsid w:val="00F44884"/>
    <w:rsid w:val="00F6100A"/>
    <w:rsid w:val="00F77ED9"/>
    <w:rsid w:val="00F86DC5"/>
    <w:rsid w:val="00F92266"/>
    <w:rsid w:val="00F93781"/>
    <w:rsid w:val="00F958AA"/>
    <w:rsid w:val="00FB613B"/>
    <w:rsid w:val="00FC68B7"/>
    <w:rsid w:val="00FD3F98"/>
    <w:rsid w:val="00FE106A"/>
    <w:rsid w:val="00FE4A63"/>
    <w:rsid w:val="00FE4E3E"/>
    <w:rsid w:val="00FE4F40"/>
    <w:rsid w:val="00FE7450"/>
    <w:rsid w:val="00FF145D"/>
    <w:rsid w:val="00FF19C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styleId="Revision">
    <w:name w:val="Revision"/>
    <w:hidden/>
    <w:uiPriority w:val="99"/>
    <w:semiHidden/>
    <w:rsid w:val="00F77ED9"/>
    <w:rPr>
      <w:lang w:eastAsia="en-US"/>
    </w:rPr>
  </w:style>
  <w:style w:type="paragraph" w:styleId="CommentSubject">
    <w:name w:val="annotation subject"/>
    <w:basedOn w:val="CommentText"/>
    <w:next w:val="CommentText"/>
    <w:link w:val="CommentSubjectChar"/>
    <w:rsid w:val="00B40C1C"/>
    <w:rPr>
      <w:b/>
      <w:bCs/>
    </w:rPr>
  </w:style>
  <w:style w:type="character" w:customStyle="1" w:styleId="CommentTextChar">
    <w:name w:val="Comment Text Char"/>
    <w:link w:val="CommentText"/>
    <w:semiHidden/>
    <w:rsid w:val="00B40C1C"/>
    <w:rPr>
      <w:lang w:eastAsia="en-US"/>
    </w:rPr>
  </w:style>
  <w:style w:type="character" w:customStyle="1" w:styleId="CommentSubjectChar">
    <w:name w:val="Comment Subject Char"/>
    <w:basedOn w:val="CommentTextChar"/>
    <w:link w:val="CommentSubject"/>
    <w:rsid w:val="00B40C1C"/>
    <w:rPr>
      <w:lang w:eastAsia="en-US"/>
    </w:rPr>
  </w:style>
  <w:style w:type="character" w:customStyle="1" w:styleId="paraChar">
    <w:name w:val="para Char"/>
    <w:basedOn w:val="SingleTxtGChar"/>
    <w:link w:val="para"/>
    <w:rsid w:val="00A006CA"/>
    <w:rPr>
      <w:lang w:val="en-GB" w:eastAsia="en-US" w:bidi="ar-SA"/>
    </w:rPr>
  </w:style>
  <w:style w:type="paragraph" w:styleId="ListParagraph">
    <w:name w:val="List Paragraph"/>
    <w:basedOn w:val="Normal"/>
    <w:uiPriority w:val="34"/>
    <w:qFormat/>
    <w:rsid w:val="009276B7"/>
    <w:pPr>
      <w:ind w:left="720"/>
      <w:contextualSpacing/>
    </w:pPr>
  </w:style>
  <w:style w:type="paragraph" w:customStyle="1" w:styleId="a">
    <w:name w:val="(a)"/>
    <w:basedOn w:val="Normal"/>
    <w:qFormat/>
    <w:rsid w:val="00EC2FD4"/>
    <w:pPr>
      <w:spacing w:after="120"/>
      <w:ind w:left="2835" w:right="1134" w:hanging="567"/>
      <w:jc w:val="both"/>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styleId="Revision">
    <w:name w:val="Revision"/>
    <w:hidden/>
    <w:uiPriority w:val="99"/>
    <w:semiHidden/>
    <w:rsid w:val="00F77ED9"/>
    <w:rPr>
      <w:lang w:eastAsia="en-US"/>
    </w:rPr>
  </w:style>
  <w:style w:type="paragraph" w:styleId="CommentSubject">
    <w:name w:val="annotation subject"/>
    <w:basedOn w:val="CommentText"/>
    <w:next w:val="CommentText"/>
    <w:link w:val="CommentSubjectChar"/>
    <w:rsid w:val="00B40C1C"/>
    <w:rPr>
      <w:b/>
      <w:bCs/>
    </w:rPr>
  </w:style>
  <w:style w:type="character" w:customStyle="1" w:styleId="CommentTextChar">
    <w:name w:val="Comment Text Char"/>
    <w:link w:val="CommentText"/>
    <w:semiHidden/>
    <w:rsid w:val="00B40C1C"/>
    <w:rPr>
      <w:lang w:eastAsia="en-US"/>
    </w:rPr>
  </w:style>
  <w:style w:type="character" w:customStyle="1" w:styleId="CommentSubjectChar">
    <w:name w:val="Comment Subject Char"/>
    <w:basedOn w:val="CommentTextChar"/>
    <w:link w:val="CommentSubject"/>
    <w:rsid w:val="00B40C1C"/>
    <w:rPr>
      <w:lang w:eastAsia="en-US"/>
    </w:rPr>
  </w:style>
  <w:style w:type="character" w:customStyle="1" w:styleId="paraChar">
    <w:name w:val="para Char"/>
    <w:basedOn w:val="SingleTxtGChar"/>
    <w:link w:val="para"/>
    <w:rsid w:val="00A006CA"/>
    <w:rPr>
      <w:lang w:val="en-GB" w:eastAsia="en-US" w:bidi="ar-SA"/>
    </w:rPr>
  </w:style>
  <w:style w:type="paragraph" w:styleId="ListParagraph">
    <w:name w:val="List Paragraph"/>
    <w:basedOn w:val="Normal"/>
    <w:uiPriority w:val="34"/>
    <w:qFormat/>
    <w:rsid w:val="009276B7"/>
    <w:pPr>
      <w:ind w:left="720"/>
      <w:contextualSpacing/>
    </w:pPr>
  </w:style>
  <w:style w:type="paragraph" w:customStyle="1" w:styleId="a">
    <w:name w:val="(a)"/>
    <w:basedOn w:val="Normal"/>
    <w:qFormat/>
    <w:rsid w:val="00EC2FD4"/>
    <w:pPr>
      <w:spacing w:after="120"/>
      <w:ind w:left="2835" w:right="1134" w:hanging="567"/>
      <w:jc w:val="both"/>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60140">
      <w:bodyDiv w:val="1"/>
      <w:marLeft w:val="0"/>
      <w:marRight w:val="0"/>
      <w:marTop w:val="0"/>
      <w:marBottom w:val="0"/>
      <w:divBdr>
        <w:top w:val="none" w:sz="0" w:space="0" w:color="auto"/>
        <w:left w:val="none" w:sz="0" w:space="0" w:color="auto"/>
        <w:bottom w:val="none" w:sz="0" w:space="0" w:color="auto"/>
        <w:right w:val="none" w:sz="0" w:space="0" w:color="auto"/>
      </w:divBdr>
      <w:divsChild>
        <w:div w:id="1715420372">
          <w:marLeft w:val="0"/>
          <w:marRight w:val="0"/>
          <w:marTop w:val="0"/>
          <w:marBottom w:val="0"/>
          <w:divBdr>
            <w:top w:val="none" w:sz="0" w:space="0" w:color="auto"/>
            <w:left w:val="none" w:sz="0" w:space="0" w:color="auto"/>
            <w:bottom w:val="none" w:sz="0" w:space="0" w:color="auto"/>
            <w:right w:val="none" w:sz="0" w:space="0" w:color="auto"/>
          </w:divBdr>
        </w:div>
        <w:div w:id="691687134">
          <w:marLeft w:val="0"/>
          <w:marRight w:val="0"/>
          <w:marTop w:val="0"/>
          <w:marBottom w:val="0"/>
          <w:divBdr>
            <w:top w:val="none" w:sz="0" w:space="0" w:color="auto"/>
            <w:left w:val="none" w:sz="0" w:space="0" w:color="auto"/>
            <w:bottom w:val="none" w:sz="0" w:space="0" w:color="auto"/>
            <w:right w:val="none" w:sz="0" w:space="0" w:color="auto"/>
          </w:divBdr>
        </w:div>
        <w:div w:id="787087932">
          <w:marLeft w:val="0"/>
          <w:marRight w:val="0"/>
          <w:marTop w:val="0"/>
          <w:marBottom w:val="0"/>
          <w:divBdr>
            <w:top w:val="none" w:sz="0" w:space="0" w:color="auto"/>
            <w:left w:val="none" w:sz="0" w:space="0" w:color="auto"/>
            <w:bottom w:val="none" w:sz="0" w:space="0" w:color="auto"/>
            <w:right w:val="none" w:sz="0" w:space="0" w:color="auto"/>
          </w:divBdr>
        </w:div>
        <w:div w:id="1209148312">
          <w:marLeft w:val="0"/>
          <w:marRight w:val="0"/>
          <w:marTop w:val="0"/>
          <w:marBottom w:val="0"/>
          <w:divBdr>
            <w:top w:val="none" w:sz="0" w:space="0" w:color="auto"/>
            <w:left w:val="none" w:sz="0" w:space="0" w:color="auto"/>
            <w:bottom w:val="none" w:sz="0" w:space="0" w:color="auto"/>
            <w:right w:val="none" w:sz="0" w:space="0" w:color="auto"/>
          </w:divBdr>
        </w:div>
      </w:divsChild>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sChild>
        <w:div w:id="1187712199">
          <w:marLeft w:val="0"/>
          <w:marRight w:val="0"/>
          <w:marTop w:val="0"/>
          <w:marBottom w:val="0"/>
          <w:divBdr>
            <w:top w:val="none" w:sz="0" w:space="0" w:color="auto"/>
            <w:left w:val="none" w:sz="0" w:space="0" w:color="auto"/>
            <w:bottom w:val="none" w:sz="0" w:space="0" w:color="auto"/>
            <w:right w:val="none" w:sz="0" w:space="0" w:color="auto"/>
          </w:divBdr>
        </w:div>
        <w:div w:id="1231422700">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1928532705">
          <w:marLeft w:val="0"/>
          <w:marRight w:val="0"/>
          <w:marTop w:val="0"/>
          <w:marBottom w:val="0"/>
          <w:divBdr>
            <w:top w:val="none" w:sz="0" w:space="0" w:color="auto"/>
            <w:left w:val="none" w:sz="0" w:space="0" w:color="auto"/>
            <w:bottom w:val="none" w:sz="0" w:space="0" w:color="auto"/>
            <w:right w:val="none" w:sz="0" w:space="0" w:color="auto"/>
          </w:divBdr>
        </w:div>
      </w:divsChild>
    </w:div>
    <w:div w:id="17776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leo.org/ende?lp=ende&amp;p=Ci4HO3kMAA&amp;search=with&amp;trestr=0x808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52D1-8163-4BAA-AADE-CB744868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TotalTime>
  <Pages>4</Pages>
  <Words>1422</Words>
  <Characters>8108</Characters>
  <Application>Microsoft Office Word</Application>
  <DocSecurity>0</DocSecurity>
  <Lines>67</Lines>
  <Paragraphs>19</Paragraphs>
  <ScaleCrop>false</ScaleCrop>
  <HeadingPairs>
    <vt:vector size="10" baseType="variant">
      <vt:variant>
        <vt:lpstr>Title</vt:lpstr>
      </vt:variant>
      <vt:variant>
        <vt:i4>1</vt:i4>
      </vt:variant>
      <vt:variant>
        <vt:lpstr>Titel</vt:lpstr>
      </vt:variant>
      <vt:variant>
        <vt:i4>1</vt:i4>
      </vt:variant>
      <vt:variant>
        <vt:lpstr>タイトル</vt:lpstr>
      </vt:variant>
      <vt:variant>
        <vt:i4>1</vt:i4>
      </vt:variant>
      <vt:variant>
        <vt:lpstr>Titolo</vt:lpstr>
      </vt:variant>
      <vt:variant>
        <vt:i4>1</vt:i4>
      </vt:variant>
      <vt:variant>
        <vt:lpstr>Titre</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Konstantin Glukhenkiy</cp:lastModifiedBy>
  <cp:revision>3</cp:revision>
  <cp:lastPrinted>2013-10-17T21:21:00Z</cp:lastPrinted>
  <dcterms:created xsi:type="dcterms:W3CDTF">2015-04-08T16:15:00Z</dcterms:created>
  <dcterms:modified xsi:type="dcterms:W3CDTF">2015-04-08T16:17:00Z</dcterms:modified>
</cp:coreProperties>
</file>