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8A" w:rsidRPr="00D56BD9" w:rsidRDefault="00D56BD9" w:rsidP="00D56BD9">
      <w:pPr>
        <w:spacing w:line="240" w:lineRule="auto"/>
        <w:rPr>
          <w:sz w:val="6"/>
        </w:rPr>
        <w:sectPr w:rsidR="00AC358A" w:rsidRPr="00D56BD9" w:rsidSect="00AC35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  <w:commentRangeStart w:id="1"/>
      <w:r>
        <w:rPr>
          <w:sz w:val="6"/>
        </w:rPr>
        <w:t xml:space="preserve">  </w:t>
      </w:r>
      <w:commentRangeEnd w:id="1"/>
      <w:r>
        <w:rPr>
          <w:rStyle w:val="CommentReference"/>
        </w:rPr>
        <w:commentReference w:id="1"/>
      </w:r>
    </w:p>
    <w:p w:rsidR="00AC358A" w:rsidRPr="007F6425" w:rsidRDefault="00AC358A" w:rsidP="007F642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F6425">
        <w:lastRenderedPageBreak/>
        <w:t>Commission économique pour l</w:t>
      </w:r>
      <w:r w:rsidR="007F6425">
        <w:t>’</w:t>
      </w:r>
      <w:r w:rsidRPr="007F6425">
        <w:t>Europe</w:t>
      </w:r>
    </w:p>
    <w:p w:rsidR="007F6425" w:rsidRPr="007F6425" w:rsidRDefault="007F6425" w:rsidP="007F6425">
      <w:pPr>
        <w:pStyle w:val="H1"/>
        <w:spacing w:line="120" w:lineRule="exact"/>
        <w:rPr>
          <w:b w:val="0"/>
          <w:sz w:val="10"/>
        </w:rPr>
      </w:pPr>
    </w:p>
    <w:p w:rsidR="00AC358A" w:rsidRPr="007F6425" w:rsidRDefault="00AC358A" w:rsidP="007F642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7F6425">
        <w:rPr>
          <w:b w:val="0"/>
          <w:bCs/>
        </w:rPr>
        <w:t>Comité des transports intérieurs</w:t>
      </w:r>
    </w:p>
    <w:p w:rsidR="007F6425" w:rsidRPr="007F6425" w:rsidRDefault="007F6425" w:rsidP="007F6425">
      <w:pPr>
        <w:spacing w:line="120" w:lineRule="exact"/>
        <w:rPr>
          <w:sz w:val="10"/>
        </w:rPr>
      </w:pPr>
    </w:p>
    <w:p w:rsidR="007F6425" w:rsidRPr="007F6425" w:rsidRDefault="007F6425" w:rsidP="007F642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7F6425">
        <w:rPr>
          <w:lang w:val="fr-FR"/>
        </w:rPr>
        <w:t>Forum mondial de l</w:t>
      </w:r>
      <w:r>
        <w:rPr>
          <w:lang w:val="fr-FR"/>
        </w:rPr>
        <w:t>’</w:t>
      </w:r>
      <w:r w:rsidRPr="007F6425">
        <w:rPr>
          <w:lang w:val="fr-FR"/>
        </w:rPr>
        <w:t xml:space="preserve">harmonisation </w:t>
      </w:r>
      <w:r w:rsidRPr="007F6425">
        <w:rPr>
          <w:lang w:val="fr-FR"/>
        </w:rPr>
        <w:br/>
        <w:t>des Règlements concernant les véhicules</w:t>
      </w:r>
    </w:p>
    <w:p w:rsidR="007F6425" w:rsidRPr="007F6425" w:rsidRDefault="007F6425" w:rsidP="007F642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7F6425" w:rsidRPr="007F6425" w:rsidRDefault="007F6425" w:rsidP="007F642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7F6425">
        <w:rPr>
          <w:lang w:val="fr-FR"/>
        </w:rPr>
        <w:t>Groupe de travail des dispositions générales de sécurité</w:t>
      </w:r>
    </w:p>
    <w:p w:rsidR="007F6425" w:rsidRPr="007F6425" w:rsidRDefault="007F6425" w:rsidP="007F642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7F6425" w:rsidRPr="007F6425" w:rsidRDefault="007F6425" w:rsidP="007F642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7F6425">
        <w:rPr>
          <w:lang w:val="fr-FR"/>
        </w:rPr>
        <w:t>109</w:t>
      </w:r>
      <w:r w:rsidRPr="007F6425">
        <w:rPr>
          <w:vertAlign w:val="superscript"/>
          <w:lang w:val="fr-FR"/>
        </w:rPr>
        <w:t>e</w:t>
      </w:r>
      <w:r w:rsidRPr="007F6425">
        <w:rPr>
          <w:lang w:val="fr-FR"/>
        </w:rPr>
        <w:t> session</w:t>
      </w:r>
    </w:p>
    <w:p w:rsidR="007F6425" w:rsidRPr="007F6425" w:rsidRDefault="007F6425" w:rsidP="007F642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7F6425">
        <w:rPr>
          <w:lang w:val="fr-FR"/>
        </w:rPr>
        <w:t>Genève, 29 septembre-2 octobre 2015</w:t>
      </w:r>
    </w:p>
    <w:p w:rsidR="007F6425" w:rsidRPr="007F6425" w:rsidRDefault="007F6425" w:rsidP="007F642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7F6425">
        <w:rPr>
          <w:lang w:val="fr-FR"/>
        </w:rPr>
        <w:t>Point 13 de l</w:t>
      </w:r>
      <w:r>
        <w:rPr>
          <w:lang w:val="fr-FR"/>
        </w:rPr>
        <w:t>’</w:t>
      </w:r>
      <w:r w:rsidRPr="007F6425">
        <w:rPr>
          <w:lang w:val="fr-FR"/>
        </w:rPr>
        <w:t>ordre du jour provisoire</w:t>
      </w:r>
    </w:p>
    <w:p w:rsidR="007F6425" w:rsidRPr="007F6425" w:rsidRDefault="007F6425" w:rsidP="007F642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7F6425">
        <w:rPr>
          <w:lang w:val="fr-FR"/>
        </w:rPr>
        <w:t>Règlement n</w:t>
      </w:r>
      <w:r w:rsidRPr="007F6425">
        <w:rPr>
          <w:vertAlign w:val="superscript"/>
          <w:lang w:val="fr-FR"/>
        </w:rPr>
        <w:t>o</w:t>
      </w:r>
      <w:r w:rsidRPr="007F6425">
        <w:rPr>
          <w:lang w:val="fr-FR"/>
        </w:rPr>
        <w:t> 118 (Résistance au feu)</w:t>
      </w:r>
    </w:p>
    <w:p w:rsidR="007F6425" w:rsidRPr="007F6425" w:rsidRDefault="007F6425" w:rsidP="007F6425">
      <w:pPr>
        <w:pStyle w:val="SingleTxt"/>
        <w:spacing w:after="0" w:line="120" w:lineRule="exact"/>
        <w:rPr>
          <w:b/>
          <w:sz w:val="10"/>
          <w:lang w:val="fr-FR"/>
        </w:rPr>
      </w:pPr>
    </w:p>
    <w:p w:rsidR="007F6425" w:rsidRPr="007F6425" w:rsidRDefault="007F6425" w:rsidP="007F6425">
      <w:pPr>
        <w:pStyle w:val="SingleTxt"/>
        <w:spacing w:after="0" w:line="120" w:lineRule="exact"/>
        <w:rPr>
          <w:b/>
          <w:sz w:val="10"/>
          <w:lang w:val="fr-FR"/>
        </w:rPr>
      </w:pPr>
    </w:p>
    <w:p w:rsidR="007F6425" w:rsidRPr="007F6425" w:rsidRDefault="007F6425" w:rsidP="007F6425">
      <w:pPr>
        <w:pStyle w:val="SingleTxt"/>
        <w:spacing w:after="0" w:line="120" w:lineRule="exact"/>
        <w:rPr>
          <w:b/>
          <w:sz w:val="10"/>
          <w:lang w:val="fr-FR"/>
        </w:rPr>
      </w:pPr>
    </w:p>
    <w:p w:rsidR="007F6425" w:rsidRPr="007F6425" w:rsidRDefault="007F6425" w:rsidP="007F642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7F6425">
        <w:rPr>
          <w:lang w:val="fr-FR"/>
        </w:rPr>
        <w:tab/>
      </w:r>
      <w:r w:rsidRPr="007F6425">
        <w:rPr>
          <w:lang w:val="fr-FR"/>
        </w:rPr>
        <w:tab/>
        <w:t xml:space="preserve">Proposition de complément 2 à la série 02 </w:t>
      </w:r>
      <w:r w:rsidRPr="007F6425">
        <w:rPr>
          <w:lang w:val="fr-FR"/>
        </w:rPr>
        <w:br/>
        <w:t>d</w:t>
      </w:r>
      <w:r>
        <w:rPr>
          <w:lang w:val="fr-FR"/>
        </w:rPr>
        <w:t>’</w:t>
      </w:r>
      <w:r w:rsidRPr="007F6425">
        <w:rPr>
          <w:lang w:val="fr-FR"/>
        </w:rPr>
        <w:t>amendements au Règlement n</w:t>
      </w:r>
      <w:r w:rsidRPr="007F6425">
        <w:rPr>
          <w:vertAlign w:val="superscript"/>
          <w:lang w:val="fr-FR"/>
        </w:rPr>
        <w:t>o</w:t>
      </w:r>
      <w:r w:rsidRPr="007F6425">
        <w:rPr>
          <w:lang w:val="fr-FR"/>
        </w:rPr>
        <w:t xml:space="preserve"> 118 </w:t>
      </w:r>
      <w:r w:rsidRPr="007F6425">
        <w:rPr>
          <w:lang w:val="fr-FR"/>
        </w:rPr>
        <w:br/>
        <w:t>(Résistance au feu)</w:t>
      </w:r>
    </w:p>
    <w:p w:rsidR="007F6425" w:rsidRPr="007F6425" w:rsidRDefault="007F6425" w:rsidP="007F6425">
      <w:pPr>
        <w:pStyle w:val="SingleTxt"/>
        <w:spacing w:after="0" w:line="120" w:lineRule="exact"/>
        <w:rPr>
          <w:b/>
          <w:sz w:val="10"/>
          <w:lang w:val="fr-FR"/>
        </w:rPr>
      </w:pPr>
    </w:p>
    <w:p w:rsidR="007F6425" w:rsidRPr="007F6425" w:rsidRDefault="007F6425" w:rsidP="007F6425">
      <w:pPr>
        <w:pStyle w:val="SingleTxt"/>
        <w:spacing w:after="0" w:line="120" w:lineRule="exact"/>
        <w:rPr>
          <w:b/>
          <w:sz w:val="10"/>
          <w:lang w:val="fr-FR"/>
        </w:rPr>
      </w:pPr>
    </w:p>
    <w:p w:rsidR="007F6425" w:rsidRPr="007F6425" w:rsidRDefault="007F6425" w:rsidP="007F642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F6425">
        <w:rPr>
          <w:lang w:val="fr-FR"/>
        </w:rPr>
        <w:tab/>
      </w:r>
      <w:r w:rsidRPr="007F6425">
        <w:rPr>
          <w:lang w:val="fr-FR"/>
        </w:rPr>
        <w:tab/>
        <w:t>Communication de l</w:t>
      </w:r>
      <w:r>
        <w:rPr>
          <w:lang w:val="fr-FR"/>
        </w:rPr>
        <w:t>’</w:t>
      </w:r>
      <w:r w:rsidRPr="007F6425">
        <w:rPr>
          <w:lang w:val="fr-FR"/>
        </w:rPr>
        <w:t>expert de l</w:t>
      </w:r>
      <w:r>
        <w:rPr>
          <w:lang w:val="fr-FR"/>
        </w:rPr>
        <w:t>’</w:t>
      </w:r>
      <w:r w:rsidRPr="007F6425">
        <w:rPr>
          <w:lang w:val="fr-FR"/>
        </w:rPr>
        <w:t>Allemagne</w:t>
      </w:r>
      <w:r w:rsidRPr="007F6425">
        <w:rPr>
          <w:rStyle w:val="FootnoteReference"/>
          <w:b w:val="0"/>
          <w:bCs/>
          <w:color w:val="auto"/>
          <w:sz w:val="20"/>
          <w:szCs w:val="20"/>
          <w:vertAlign w:val="baseline"/>
        </w:rPr>
        <w:footnoteReference w:customMarkFollows="1" w:id="1"/>
        <w:t>*</w:t>
      </w:r>
    </w:p>
    <w:p w:rsidR="007F6425" w:rsidRPr="007F6425" w:rsidRDefault="007F6425" w:rsidP="007F6425">
      <w:pPr>
        <w:pStyle w:val="SingleTxt"/>
        <w:spacing w:after="0" w:line="120" w:lineRule="exact"/>
        <w:rPr>
          <w:sz w:val="10"/>
          <w:lang w:val="fr-FR"/>
        </w:rPr>
      </w:pPr>
    </w:p>
    <w:p w:rsidR="007F6425" w:rsidRPr="007F6425" w:rsidRDefault="007F6425" w:rsidP="007F6425">
      <w:pPr>
        <w:pStyle w:val="SingleTxt"/>
        <w:spacing w:after="0" w:line="120" w:lineRule="exact"/>
        <w:rPr>
          <w:sz w:val="10"/>
          <w:lang w:val="fr-FR"/>
        </w:rPr>
      </w:pPr>
    </w:p>
    <w:p w:rsidR="007F6425" w:rsidRPr="007F6425" w:rsidRDefault="007F6425" w:rsidP="007F6425">
      <w:pPr>
        <w:pStyle w:val="SingleTxt"/>
        <w:rPr>
          <w:lang w:val="fr-FR"/>
        </w:rPr>
      </w:pPr>
      <w:r w:rsidRPr="007F6425">
        <w:rPr>
          <w:lang w:val="fr-FR"/>
        </w:rPr>
        <w:tab/>
        <w:t>Le texte reproduit ci-après, établi par l</w:t>
      </w:r>
      <w:r>
        <w:rPr>
          <w:lang w:val="fr-FR"/>
        </w:rPr>
        <w:t>’</w:t>
      </w:r>
      <w:r w:rsidRPr="007F6425">
        <w:rPr>
          <w:lang w:val="fr-FR"/>
        </w:rPr>
        <w:t>expert de l</w:t>
      </w:r>
      <w:r>
        <w:rPr>
          <w:lang w:val="fr-FR"/>
        </w:rPr>
        <w:t>’</w:t>
      </w:r>
      <w:r w:rsidRPr="007F6425">
        <w:rPr>
          <w:lang w:val="fr-FR"/>
        </w:rPr>
        <w:t>Allemagne, vise à clarifier le champ et les conditions d</w:t>
      </w:r>
      <w:r>
        <w:rPr>
          <w:lang w:val="fr-FR"/>
        </w:rPr>
        <w:t>’</w:t>
      </w:r>
      <w:r w:rsidRPr="007F6425">
        <w:rPr>
          <w:lang w:val="fr-FR"/>
        </w:rPr>
        <w:t>application du Règlement n</w:t>
      </w:r>
      <w:r w:rsidRPr="007F6425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7F6425">
        <w:rPr>
          <w:lang w:val="fr-FR"/>
        </w:rPr>
        <w:t>118 de l</w:t>
      </w:r>
      <w:r>
        <w:rPr>
          <w:lang w:val="fr-FR"/>
        </w:rPr>
        <w:t>’</w:t>
      </w:r>
      <w:r w:rsidRPr="007F6425">
        <w:rPr>
          <w:lang w:val="fr-FR"/>
        </w:rPr>
        <w:t>ONU. Le présent document ainsi que le document ECE/TRANS/WP.29/GRSG/2015/28 remplacent le document informel GRSG-108-09, distribué à la 108</w:t>
      </w:r>
      <w:r w:rsidRPr="007F6425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7F6425">
        <w:rPr>
          <w:lang w:val="fr-FR"/>
        </w:rPr>
        <w:t>session du Groupe de travail des dispositions générales de sécurité (GRSG) (voir le rapport ECE/TRANS/WP.29/</w:t>
      </w:r>
      <w:r>
        <w:rPr>
          <w:lang w:val="fr-FR"/>
        </w:rPr>
        <w:t xml:space="preserve"> GRSG/87, par. </w:t>
      </w:r>
      <w:r w:rsidRPr="007F6425">
        <w:rPr>
          <w:lang w:val="fr-FR"/>
        </w:rPr>
        <w:t>50). Les modifications qu</w:t>
      </w:r>
      <w:r>
        <w:rPr>
          <w:lang w:val="fr-FR"/>
        </w:rPr>
        <w:t>’</w:t>
      </w:r>
      <w:r w:rsidRPr="007F6425">
        <w:rPr>
          <w:lang w:val="fr-FR"/>
        </w:rPr>
        <w:t>il est proposé d</w:t>
      </w:r>
      <w:r>
        <w:rPr>
          <w:lang w:val="fr-FR"/>
        </w:rPr>
        <w:t>’</w:t>
      </w:r>
      <w:r w:rsidRPr="007F6425">
        <w:rPr>
          <w:lang w:val="fr-FR"/>
        </w:rPr>
        <w:t xml:space="preserve">apporter </w:t>
      </w:r>
      <w:r>
        <w:rPr>
          <w:lang w:val="fr-FR"/>
        </w:rPr>
        <w:t>au texte actuel du Règlement n</w:t>
      </w:r>
      <w:r w:rsidRPr="007F6425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7F6425">
        <w:rPr>
          <w:lang w:val="fr-FR"/>
        </w:rPr>
        <w:t>118 sont indiquées en caractères gras pour les ajouts ou biffés pour les suppressions.</w:t>
      </w:r>
    </w:p>
    <w:p w:rsidR="007F6425" w:rsidRPr="007F6425" w:rsidRDefault="007F6425" w:rsidP="007F642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7F6425"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7F6425">
        <w:rPr>
          <w:lang w:val="fr-FR"/>
        </w:rPr>
        <w:t>I.</w:t>
      </w:r>
      <w:r w:rsidRPr="007F6425">
        <w:rPr>
          <w:lang w:val="fr-FR"/>
        </w:rPr>
        <w:tab/>
        <w:t>Proposition</w:t>
      </w:r>
    </w:p>
    <w:p w:rsidR="007F6425" w:rsidRPr="007F6425" w:rsidRDefault="007F6425" w:rsidP="007F6425">
      <w:pPr>
        <w:pStyle w:val="SingleTxt"/>
        <w:spacing w:after="0" w:line="120" w:lineRule="exact"/>
        <w:rPr>
          <w:i/>
          <w:sz w:val="10"/>
          <w:lang w:val="fr-FR"/>
        </w:rPr>
      </w:pPr>
    </w:p>
    <w:p w:rsidR="007F6425" w:rsidRPr="007F6425" w:rsidRDefault="007F6425" w:rsidP="007F6425">
      <w:pPr>
        <w:pStyle w:val="SingleTxt"/>
        <w:spacing w:after="0" w:line="120" w:lineRule="exact"/>
        <w:rPr>
          <w:i/>
          <w:sz w:val="10"/>
          <w:lang w:val="fr-FR"/>
        </w:rPr>
      </w:pPr>
    </w:p>
    <w:p w:rsidR="007F6425" w:rsidRPr="007F6425" w:rsidRDefault="007F6425" w:rsidP="007F6425">
      <w:pPr>
        <w:pStyle w:val="SingleTxt"/>
        <w:rPr>
          <w:iCs/>
          <w:lang w:val="fr-FR"/>
        </w:rPr>
      </w:pPr>
      <w:r w:rsidRPr="007F6425">
        <w:rPr>
          <w:i/>
          <w:lang w:val="fr-FR"/>
        </w:rPr>
        <w:t>Table des matières, point 5</w:t>
      </w:r>
      <w:r w:rsidRPr="007F6425">
        <w:rPr>
          <w:lang w:val="fr-FR"/>
        </w:rPr>
        <w:t>, modifier comme suit</w:t>
      </w:r>
      <w:r>
        <w:rPr>
          <w:lang w:val="fr-FR"/>
        </w:rPr>
        <w:t> </w:t>
      </w:r>
      <w:r w:rsidRPr="007F6425">
        <w:rPr>
          <w:lang w:val="fr-FR"/>
        </w:rPr>
        <w:t>:</w:t>
      </w:r>
    </w:p>
    <w:p w:rsidR="007F6425" w:rsidRPr="007F6425" w:rsidRDefault="007F6425" w:rsidP="007F6425">
      <w:pPr>
        <w:pStyle w:val="SingleTxt"/>
        <w:ind w:left="2218" w:hanging="951"/>
        <w:rPr>
          <w:lang w:val="fr-FR"/>
        </w:rPr>
      </w:pPr>
      <w:r>
        <w:rPr>
          <w:lang w:val="fr-FR"/>
        </w:rPr>
        <w:t>« </w:t>
      </w:r>
      <w:r w:rsidRPr="007F6425">
        <w:rPr>
          <w:lang w:val="fr-FR"/>
        </w:rPr>
        <w:t>5.</w:t>
      </w:r>
      <w:r w:rsidRPr="007F6425">
        <w:rPr>
          <w:lang w:val="fr-FR"/>
        </w:rPr>
        <w:tab/>
      </w:r>
      <w:r>
        <w:rPr>
          <w:lang w:val="fr-FR"/>
        </w:rPr>
        <w:tab/>
      </w:r>
      <w:r w:rsidRPr="007F6425">
        <w:rPr>
          <w:lang w:val="fr-FR"/>
        </w:rPr>
        <w:t>Première partie</w:t>
      </w:r>
      <w:r w:rsidR="00D56BD9">
        <w:rPr>
          <w:lang w:val="fr-FR"/>
        </w:rPr>
        <w:t> </w:t>
      </w:r>
      <w:r w:rsidRPr="007F6425">
        <w:rPr>
          <w:lang w:val="fr-FR"/>
        </w:rPr>
        <w:t>: Homologation d</w:t>
      </w:r>
      <w:r>
        <w:rPr>
          <w:lang w:val="fr-FR"/>
        </w:rPr>
        <w:t>’</w:t>
      </w:r>
      <w:r w:rsidRPr="007F6425">
        <w:rPr>
          <w:lang w:val="fr-FR"/>
        </w:rPr>
        <w:t>un type de véhicule en ce qui concerne le comportement au feu des éléments présents dans le compartiment intérieur, dans le compartiment moteur et dans tout compartiment de chauffage séparé</w:t>
      </w:r>
      <w:r w:rsidRPr="007F6425">
        <w:rPr>
          <w:b/>
          <w:lang w:val="fr-FR"/>
        </w:rPr>
        <w:t>, ainsi que des câbles électriques et des gaines ou manchons de câbles utilisés dans le véhicule,</w:t>
      </w:r>
      <w:r w:rsidRPr="007F6425">
        <w:rPr>
          <w:lang w:val="fr-FR"/>
        </w:rPr>
        <w:t xml:space="preserve"> et/ou l</w:t>
      </w:r>
      <w:r>
        <w:rPr>
          <w:lang w:val="fr-FR"/>
        </w:rPr>
        <w:t>’</w:t>
      </w:r>
      <w:r w:rsidRPr="007F6425">
        <w:rPr>
          <w:lang w:val="fr-FR"/>
        </w:rPr>
        <w:t>imperméabilité aux carburants ou aux lubrifiants des matériaux d</w:t>
      </w:r>
      <w:r>
        <w:rPr>
          <w:lang w:val="fr-FR"/>
        </w:rPr>
        <w:t>’</w:t>
      </w:r>
      <w:r w:rsidRPr="007F6425">
        <w:rPr>
          <w:lang w:val="fr-FR"/>
        </w:rPr>
        <w:t>isolation utilisés dans le compartiment moteur et dans tout compartiment de chauffage séparé</w:t>
      </w:r>
      <w:r w:rsidR="00D56BD9">
        <w:rPr>
          <w:lang w:val="fr-FR"/>
        </w:rPr>
        <w:t>.</w:t>
      </w:r>
    </w:p>
    <w:p w:rsidR="007F6425" w:rsidRPr="007F6425" w:rsidRDefault="007F6425" w:rsidP="007F6425">
      <w:pPr>
        <w:pStyle w:val="SingleTxt"/>
        <w:ind w:left="2218" w:hanging="951"/>
        <w:rPr>
          <w:lang w:val="fr-FR"/>
        </w:rPr>
      </w:pPr>
      <w:r w:rsidRPr="007F6425">
        <w:rPr>
          <w:lang w:val="fr-FR"/>
        </w:rPr>
        <w:t>6.</w:t>
      </w:r>
      <w:r w:rsidRPr="007F6425">
        <w:rPr>
          <w:lang w:val="fr-FR"/>
        </w:rPr>
        <w:tab/>
      </w:r>
      <w:r>
        <w:rPr>
          <w:lang w:val="fr-FR"/>
        </w:rPr>
        <w:tab/>
      </w:r>
      <w:r w:rsidRPr="007F6425">
        <w:rPr>
          <w:lang w:val="fr-FR"/>
        </w:rPr>
        <w:t>Deuxième partie</w:t>
      </w:r>
      <w:r w:rsidR="00D56BD9">
        <w:rPr>
          <w:lang w:val="fr-FR"/>
        </w:rPr>
        <w:t> </w:t>
      </w:r>
      <w:r w:rsidRPr="007F6425">
        <w:rPr>
          <w:lang w:val="fr-FR"/>
        </w:rPr>
        <w:t>: Homologation d</w:t>
      </w:r>
      <w:r>
        <w:rPr>
          <w:lang w:val="fr-FR"/>
        </w:rPr>
        <w:t>’</w:t>
      </w:r>
      <w:r w:rsidRPr="007F6425">
        <w:rPr>
          <w:lang w:val="fr-FR"/>
        </w:rPr>
        <w:t>un élément en ce qui concerne son comportement au feu et/ou son imperméabilité aux carburants ou aux lubrifiants</w:t>
      </w:r>
      <w:r w:rsidR="00D56BD9">
        <w:rPr>
          <w:lang w:val="fr-FR"/>
        </w:rPr>
        <w:t>.</w:t>
      </w:r>
      <w:r>
        <w:rPr>
          <w:lang w:val="fr-FR"/>
        </w:rPr>
        <w:t> </w:t>
      </w:r>
      <w:r w:rsidRPr="007F6425">
        <w:rPr>
          <w:lang w:val="fr-FR"/>
        </w:rPr>
        <w:t>».</w:t>
      </w:r>
    </w:p>
    <w:p w:rsidR="007F6425" w:rsidRPr="007F6425" w:rsidRDefault="007F6425" w:rsidP="007F6425">
      <w:pPr>
        <w:pStyle w:val="SingleTxt"/>
        <w:rPr>
          <w:iCs/>
          <w:lang w:val="fr-FR"/>
        </w:rPr>
      </w:pPr>
      <w:r w:rsidRPr="007F6425">
        <w:rPr>
          <w:i/>
          <w:lang w:val="fr-FR"/>
        </w:rPr>
        <w:t>Paragraphes 1.2 et 1.3</w:t>
      </w:r>
      <w:r w:rsidRPr="007F6425">
        <w:rPr>
          <w:lang w:val="fr-FR"/>
        </w:rPr>
        <w:t>, modifier comme suit</w:t>
      </w:r>
      <w:r>
        <w:rPr>
          <w:lang w:val="fr-FR"/>
        </w:rPr>
        <w:t> </w:t>
      </w:r>
      <w:r w:rsidRPr="007F6425">
        <w:rPr>
          <w:lang w:val="fr-FR"/>
        </w:rPr>
        <w:t>:</w:t>
      </w:r>
    </w:p>
    <w:p w:rsidR="007F6425" w:rsidRPr="007F6425" w:rsidRDefault="007F6425" w:rsidP="007F6425">
      <w:pPr>
        <w:pStyle w:val="SingleTxt"/>
        <w:ind w:left="2218" w:hanging="951"/>
        <w:rPr>
          <w:lang w:val="fr-FR"/>
        </w:rPr>
      </w:pPr>
      <w:r>
        <w:rPr>
          <w:lang w:val="fr-FR"/>
        </w:rPr>
        <w:t>« </w:t>
      </w:r>
      <w:r w:rsidRPr="007F6425">
        <w:rPr>
          <w:lang w:val="fr-FR"/>
        </w:rPr>
        <w:t>1.2</w:t>
      </w:r>
      <w:r w:rsidRPr="007F6425">
        <w:rPr>
          <w:lang w:val="fr-FR"/>
        </w:rPr>
        <w:tab/>
      </w:r>
      <w:r>
        <w:rPr>
          <w:lang w:val="fr-FR"/>
        </w:rPr>
        <w:tab/>
        <w:t>Première partie –</w:t>
      </w:r>
      <w:r w:rsidRPr="007F6425">
        <w:rPr>
          <w:lang w:val="fr-FR"/>
        </w:rPr>
        <w:t xml:space="preserve"> Homologation d</w:t>
      </w:r>
      <w:r>
        <w:rPr>
          <w:lang w:val="fr-FR"/>
        </w:rPr>
        <w:t>’</w:t>
      </w:r>
      <w:r w:rsidRPr="007F6425">
        <w:rPr>
          <w:lang w:val="fr-FR"/>
        </w:rPr>
        <w:t>un type de véhicule en ce qui concerne le comportement au feu et/ou l</w:t>
      </w:r>
      <w:r>
        <w:rPr>
          <w:lang w:val="fr-FR"/>
        </w:rPr>
        <w:t>’</w:t>
      </w:r>
      <w:r w:rsidRPr="007F6425">
        <w:rPr>
          <w:lang w:val="fr-FR"/>
        </w:rPr>
        <w:t>imperméabilité aux carburants ou aux lubrifiants des éléments présents dans le compartiment intérieur, dans le compartiment moteur et dans tout compartiment de chauffage séparé</w:t>
      </w:r>
      <w:r w:rsidRPr="007F6425">
        <w:rPr>
          <w:b/>
          <w:lang w:val="fr-FR"/>
        </w:rPr>
        <w:t>, et en ce qui concerne le comportement au feu des câbles électriques et des gaines ou manchons de câbles utilisés dans le véhicule</w:t>
      </w:r>
      <w:r w:rsidR="00394DA1" w:rsidRPr="00394DA1">
        <w:rPr>
          <w:bCs/>
          <w:lang w:val="fr-FR"/>
        </w:rPr>
        <w:t>.</w:t>
      </w:r>
    </w:p>
    <w:p w:rsidR="007F6425" w:rsidRPr="007F6425" w:rsidRDefault="007F6425" w:rsidP="007F6425">
      <w:pPr>
        <w:pStyle w:val="SingleTxt"/>
        <w:ind w:left="2218" w:hanging="951"/>
        <w:rPr>
          <w:lang w:val="fr-FR"/>
        </w:rPr>
      </w:pPr>
      <w:r w:rsidRPr="007F6425">
        <w:rPr>
          <w:lang w:val="fr-FR"/>
        </w:rPr>
        <w:t>1.3</w:t>
      </w:r>
      <w:r w:rsidRPr="007F6425">
        <w:rPr>
          <w:lang w:val="fr-FR"/>
        </w:rPr>
        <w:tab/>
      </w:r>
      <w:r>
        <w:rPr>
          <w:lang w:val="fr-FR"/>
        </w:rPr>
        <w:tab/>
      </w:r>
      <w:r w:rsidRPr="007F6425">
        <w:rPr>
          <w:lang w:val="fr-FR"/>
        </w:rPr>
        <w:t xml:space="preserve">Deuxième partie </w:t>
      </w:r>
      <w:r>
        <w:rPr>
          <w:lang w:val="fr-FR"/>
        </w:rPr>
        <w:t>–</w:t>
      </w:r>
      <w:r w:rsidRPr="007F6425">
        <w:rPr>
          <w:lang w:val="fr-FR"/>
        </w:rPr>
        <w:t xml:space="preserve"> Homologation d</w:t>
      </w:r>
      <w:r>
        <w:rPr>
          <w:lang w:val="fr-FR"/>
        </w:rPr>
        <w:t>’</w:t>
      </w:r>
      <w:r w:rsidRPr="007F6425">
        <w:rPr>
          <w:lang w:val="fr-FR"/>
        </w:rPr>
        <w:t xml:space="preserve">un composant </w:t>
      </w:r>
      <w:r w:rsidRPr="007F6425">
        <w:rPr>
          <w:strike/>
          <w:lang w:val="fr-FR"/>
        </w:rPr>
        <w:t>installé dans le compartiment intérieur, dans le compartiment moteur ou dans tout compartiment de chauffage séparé,</w:t>
      </w:r>
      <w:r w:rsidRPr="007F6425">
        <w:rPr>
          <w:lang w:val="fr-FR"/>
        </w:rPr>
        <w:t xml:space="preserve"> en ce qui concerne son comportement au feu et/ou son imperméabilité aux c</w:t>
      </w:r>
      <w:r>
        <w:rPr>
          <w:lang w:val="fr-FR"/>
        </w:rPr>
        <w:t>arburants ou aux lubrifiants</w:t>
      </w:r>
      <w:r w:rsidR="00394DA1">
        <w:rPr>
          <w:lang w:val="fr-FR"/>
        </w:rPr>
        <w:t>.</w:t>
      </w:r>
      <w:r>
        <w:rPr>
          <w:lang w:val="fr-FR"/>
        </w:rPr>
        <w:t> ».</w:t>
      </w:r>
    </w:p>
    <w:p w:rsidR="007F6425" w:rsidRPr="007F6425" w:rsidRDefault="007F6425" w:rsidP="007F6425">
      <w:pPr>
        <w:pStyle w:val="SingleTxt"/>
        <w:rPr>
          <w:iCs/>
          <w:lang w:val="fr-FR"/>
        </w:rPr>
      </w:pPr>
      <w:r w:rsidRPr="007F6425">
        <w:rPr>
          <w:i/>
          <w:lang w:val="fr-FR"/>
        </w:rPr>
        <w:t>Paragraphes 5.2 à 5.2.2</w:t>
      </w:r>
      <w:r w:rsidRPr="007F6425">
        <w:rPr>
          <w:lang w:val="fr-FR"/>
        </w:rPr>
        <w:t>, modifier comme suit</w:t>
      </w:r>
      <w:r>
        <w:rPr>
          <w:lang w:val="fr-FR"/>
        </w:rPr>
        <w:t> </w:t>
      </w:r>
      <w:r w:rsidRPr="007F6425">
        <w:rPr>
          <w:lang w:val="fr-FR"/>
        </w:rPr>
        <w:t>:</w:t>
      </w:r>
    </w:p>
    <w:p w:rsidR="007F6425" w:rsidRPr="007F6425" w:rsidRDefault="007F6425" w:rsidP="007F6425">
      <w:pPr>
        <w:pStyle w:val="SingleTxt"/>
        <w:rPr>
          <w:lang w:val="fr-FR"/>
        </w:rPr>
      </w:pPr>
      <w:r>
        <w:rPr>
          <w:lang w:val="fr-FR"/>
        </w:rPr>
        <w:t>« </w:t>
      </w:r>
      <w:r w:rsidRPr="007F6425">
        <w:rPr>
          <w:lang w:val="fr-FR"/>
        </w:rPr>
        <w:t>5.2</w:t>
      </w:r>
      <w:r w:rsidRPr="007F6425">
        <w:rPr>
          <w:lang w:val="fr-FR"/>
        </w:rPr>
        <w:tab/>
      </w:r>
      <w:r>
        <w:rPr>
          <w:lang w:val="fr-FR"/>
        </w:rPr>
        <w:tab/>
      </w:r>
      <w:r w:rsidRPr="007F6425">
        <w:rPr>
          <w:lang w:val="fr-FR"/>
        </w:rPr>
        <w:t>Spécifications</w:t>
      </w:r>
    </w:p>
    <w:p w:rsidR="007F6425" w:rsidRPr="007F6425" w:rsidRDefault="007F6425" w:rsidP="007F6425">
      <w:pPr>
        <w:pStyle w:val="SingleTxt"/>
        <w:ind w:left="2218" w:hanging="951"/>
        <w:rPr>
          <w:lang w:val="fr-FR"/>
        </w:rPr>
      </w:pPr>
      <w:r w:rsidRPr="007F6425">
        <w:rPr>
          <w:lang w:val="fr-FR"/>
        </w:rPr>
        <w:t>5.2.1</w:t>
      </w:r>
      <w:r>
        <w:rPr>
          <w:lang w:val="fr-FR"/>
        </w:rPr>
        <w:tab/>
      </w:r>
      <w:r w:rsidRPr="007F6425">
        <w:rPr>
          <w:lang w:val="fr-FR"/>
        </w:rPr>
        <w:tab/>
        <w:t xml:space="preserve">Les matériaux utilisés pour le compartiment intérieur et </w:t>
      </w:r>
      <w:r>
        <w:rPr>
          <w:lang w:val="fr-FR"/>
        </w:rPr>
        <w:t>ne se trouvant pas à plus de 13 </w:t>
      </w:r>
      <w:r w:rsidRPr="007F6425">
        <w:rPr>
          <w:lang w:val="fr-FR"/>
        </w:rPr>
        <w:t xml:space="preserve">mm de ce dernier, les matériaux utilisés dans le compartiment moteur et les matériaux utilisés dans le compartiment de chauffage distinct </w:t>
      </w:r>
      <w:r w:rsidRPr="007F6425">
        <w:rPr>
          <w:b/>
          <w:lang w:val="fr-FR"/>
        </w:rPr>
        <w:t xml:space="preserve">ainsi que les câbles électriques </w:t>
      </w:r>
      <w:r w:rsidRPr="007F6425">
        <w:rPr>
          <w:lang w:val="fr-FR"/>
        </w:rPr>
        <w:t>du véhicule soumis à l</w:t>
      </w:r>
      <w:r>
        <w:rPr>
          <w:lang w:val="fr-FR"/>
        </w:rPr>
        <w:t>’</w:t>
      </w:r>
      <w:r w:rsidRPr="007F6425">
        <w:rPr>
          <w:lang w:val="fr-FR"/>
        </w:rPr>
        <w:t>homologation de type doivent satisfaire aux prescriptions de la deuxièm</w:t>
      </w:r>
      <w:r>
        <w:rPr>
          <w:lang w:val="fr-FR"/>
        </w:rPr>
        <w:t>e partie du présent Règlement.</w:t>
      </w:r>
    </w:p>
    <w:p w:rsidR="007F6425" w:rsidRPr="007F6425" w:rsidRDefault="007F6425" w:rsidP="007F6425">
      <w:pPr>
        <w:pStyle w:val="SingleTxt"/>
        <w:ind w:left="2218" w:hanging="951"/>
        <w:rPr>
          <w:lang w:val="fr-FR"/>
        </w:rPr>
      </w:pPr>
      <w:r w:rsidRPr="007F6425">
        <w:rPr>
          <w:lang w:val="fr-FR"/>
        </w:rPr>
        <w:t>5.2.2</w:t>
      </w:r>
      <w:r>
        <w:rPr>
          <w:lang w:val="fr-FR"/>
        </w:rPr>
        <w:tab/>
      </w:r>
      <w:r w:rsidRPr="007F6425">
        <w:rPr>
          <w:lang w:val="fr-FR"/>
        </w:rPr>
        <w:tab/>
        <w:t xml:space="preserve">Les matériaux et/ou les équipements utilisés dans le compartiment intérieur, le compartiment moteur et tout compartiment de chauffage séparé et/ou dans les composants homologués en tant que tels </w:t>
      </w:r>
      <w:r w:rsidRPr="007F6425">
        <w:rPr>
          <w:b/>
          <w:lang w:val="fr-FR"/>
        </w:rPr>
        <w:t>et</w:t>
      </w:r>
      <w:r w:rsidRPr="007F6425">
        <w:rPr>
          <w:lang w:val="fr-FR"/>
        </w:rPr>
        <w:t xml:space="preserve"> </w:t>
      </w:r>
      <w:r w:rsidRPr="007F6425">
        <w:rPr>
          <w:b/>
          <w:lang w:val="fr-FR"/>
        </w:rPr>
        <w:t>les câbles électriques du véhicule</w:t>
      </w:r>
      <w:r w:rsidRPr="007F6425">
        <w:rPr>
          <w:lang w:val="fr-FR"/>
        </w:rPr>
        <w:t xml:space="preserve"> doivent être installés de manière à réduire autant que possible le risque d</w:t>
      </w:r>
      <w:r>
        <w:rPr>
          <w:lang w:val="fr-FR"/>
        </w:rPr>
        <w:t>’</w:t>
      </w:r>
      <w:r w:rsidRPr="007F6425">
        <w:rPr>
          <w:lang w:val="fr-FR"/>
        </w:rPr>
        <w:t>inflammation et de propagation des flammes.</w:t>
      </w:r>
    </w:p>
    <w:p w:rsidR="007F6425" w:rsidRPr="007F6425" w:rsidRDefault="007F6425" w:rsidP="007F6425">
      <w:pPr>
        <w:pStyle w:val="SingleTxt"/>
        <w:ind w:left="2218" w:hanging="951"/>
        <w:rPr>
          <w:lang w:val="fr-FR"/>
        </w:rPr>
      </w:pPr>
      <w:r w:rsidRPr="007F6425">
        <w:rPr>
          <w:lang w:val="fr-FR"/>
        </w:rPr>
        <w:t>5.2.3</w:t>
      </w:r>
      <w:r w:rsidRPr="007F6425">
        <w:rPr>
          <w:lang w:val="fr-FR"/>
        </w:rPr>
        <w:tab/>
      </w:r>
      <w:r>
        <w:rPr>
          <w:lang w:val="fr-FR"/>
        </w:rPr>
        <w:tab/>
      </w:r>
      <w:r w:rsidRPr="007F6425">
        <w:rPr>
          <w:lang w:val="fr-FR"/>
        </w:rPr>
        <w:t>Ces matériaux et/ou équipements ne doivent être installés que pour remplir la fonction pour laquelle ils ont été conçus et conformément à l</w:t>
      </w:r>
      <w:r>
        <w:rPr>
          <w:lang w:val="fr-FR"/>
        </w:rPr>
        <w:t>’</w:t>
      </w:r>
      <w:r w:rsidRPr="007F6425">
        <w:rPr>
          <w:lang w:val="fr-FR"/>
        </w:rPr>
        <w:t>essai ou aux essais auxquel</w:t>
      </w:r>
      <w:r>
        <w:rPr>
          <w:lang w:val="fr-FR"/>
        </w:rPr>
        <w:t>s ils ont été soumis (voir par. </w:t>
      </w:r>
      <w:r w:rsidRPr="007F6425">
        <w:rPr>
          <w:lang w:val="fr-FR"/>
        </w:rPr>
        <w:t>6.2.1, 6.2.2, 6.2.3, 6.2.4, 6.2.5, 6.2.6 et 6.2.7), surtout en ce qui concerne leur comportement au feu et leurs caractéristiques de fusion (direction horizontale et direction verticale) et/ou leur imperméabilité aux carburants ou aux lubrifiants.</w:t>
      </w:r>
    </w:p>
    <w:p w:rsidR="007F6425" w:rsidRPr="007F6425" w:rsidRDefault="007F6425" w:rsidP="007F6425">
      <w:pPr>
        <w:pStyle w:val="SingleTxt"/>
        <w:ind w:left="2218" w:hanging="951"/>
        <w:rPr>
          <w:lang w:val="fr-FR"/>
        </w:rPr>
      </w:pPr>
      <w:r w:rsidRPr="007F6425">
        <w:rPr>
          <w:lang w:val="fr-FR"/>
        </w:rPr>
        <w:t>5.2.4</w:t>
      </w:r>
      <w:r>
        <w:rPr>
          <w:lang w:val="fr-FR"/>
        </w:rPr>
        <w:tab/>
      </w:r>
      <w:r w:rsidRPr="007F6425">
        <w:rPr>
          <w:lang w:val="fr-FR"/>
        </w:rPr>
        <w:tab/>
        <w:t>Dans la mesure du possible, l</w:t>
      </w:r>
      <w:r>
        <w:rPr>
          <w:lang w:val="fr-FR"/>
        </w:rPr>
        <w:t>’</w:t>
      </w:r>
      <w:r w:rsidRPr="007F6425">
        <w:rPr>
          <w:lang w:val="fr-FR"/>
        </w:rPr>
        <w:t>adhésif utilisé pour coller les garnitures sur leur support ne doit pas aggraver leur comportement au feu.</w:t>
      </w:r>
      <w:r>
        <w:rPr>
          <w:lang w:val="fr-FR"/>
        </w:rPr>
        <w:t> </w:t>
      </w:r>
      <w:r w:rsidRPr="007F6425">
        <w:rPr>
          <w:lang w:val="fr-FR"/>
        </w:rPr>
        <w:t>».</w:t>
      </w:r>
    </w:p>
    <w:p w:rsidR="007F6425" w:rsidRPr="007F6425" w:rsidRDefault="007F6425" w:rsidP="007F6425">
      <w:pPr>
        <w:pStyle w:val="SingleTxt"/>
        <w:rPr>
          <w:iCs/>
          <w:lang w:val="fr-FR"/>
        </w:rPr>
      </w:pPr>
      <w:r w:rsidRPr="007F6425">
        <w:rPr>
          <w:i/>
          <w:lang w:val="fr-FR"/>
        </w:rPr>
        <w:t>Deuxième partie, paragraphe 6.2.6</w:t>
      </w:r>
      <w:r w:rsidRPr="007F6425">
        <w:rPr>
          <w:lang w:val="fr-FR"/>
        </w:rPr>
        <w:t>, modifier comme suit</w:t>
      </w:r>
      <w:r>
        <w:rPr>
          <w:lang w:val="fr-FR"/>
        </w:rPr>
        <w:t> </w:t>
      </w:r>
      <w:r w:rsidRPr="007F6425">
        <w:rPr>
          <w:lang w:val="fr-FR"/>
        </w:rPr>
        <w:t>:</w:t>
      </w:r>
    </w:p>
    <w:p w:rsidR="007F6425" w:rsidRPr="007F6425" w:rsidRDefault="007F6425" w:rsidP="007F6425">
      <w:pPr>
        <w:pStyle w:val="SingleTxt"/>
        <w:ind w:left="2218" w:hanging="951"/>
        <w:rPr>
          <w:lang w:val="fr-FR"/>
        </w:rPr>
      </w:pPr>
      <w:r w:rsidRPr="007F6425">
        <w:rPr>
          <w:lang w:val="fr-FR"/>
        </w:rPr>
        <w:t>«</w:t>
      </w:r>
      <w:r>
        <w:rPr>
          <w:lang w:val="fr-FR"/>
        </w:rPr>
        <w:t> </w:t>
      </w:r>
      <w:r w:rsidRPr="007F6425">
        <w:rPr>
          <w:lang w:val="fr-FR"/>
        </w:rPr>
        <w:t>6.2.6</w:t>
      </w:r>
      <w:r w:rsidRPr="007F6425">
        <w:rPr>
          <w:lang w:val="fr-FR"/>
        </w:rPr>
        <w:tab/>
        <w:t>Les câbles électriques</w:t>
      </w:r>
      <w:r w:rsidRPr="007F6425">
        <w:rPr>
          <w:b/>
          <w:lang w:val="fr-FR"/>
        </w:rPr>
        <w:t xml:space="preserve"> (à conducteur simple, à conducteurs multiples, blindés, non blindés ou gainés, par exemple) d</w:t>
      </w:r>
      <w:r>
        <w:rPr>
          <w:b/>
          <w:lang w:val="fr-FR"/>
        </w:rPr>
        <w:t>’</w:t>
      </w:r>
      <w:r w:rsidRPr="007F6425">
        <w:rPr>
          <w:b/>
          <w:lang w:val="fr-FR"/>
        </w:rPr>
        <w:t xml:space="preserve">une longueur supérieure </w:t>
      </w:r>
      <w:r>
        <w:rPr>
          <w:b/>
          <w:lang w:val="fr-FR"/>
        </w:rPr>
        <w:lastRenderedPageBreak/>
        <w:t>à 100 </w:t>
      </w:r>
      <w:r w:rsidRPr="007F6425">
        <w:rPr>
          <w:b/>
          <w:lang w:val="fr-FR"/>
        </w:rPr>
        <w:t>mm utilisés dans le véhicule</w:t>
      </w:r>
      <w:r w:rsidRPr="007F6425">
        <w:rPr>
          <w:lang w:val="fr-FR"/>
        </w:rPr>
        <w:t xml:space="preserve"> doivent être soumis à l</w:t>
      </w:r>
      <w:r>
        <w:rPr>
          <w:lang w:val="fr-FR"/>
        </w:rPr>
        <w:t>’</w:t>
      </w:r>
      <w:r w:rsidRPr="007F6425">
        <w:rPr>
          <w:lang w:val="fr-FR"/>
        </w:rPr>
        <w:t>essai de résistance à la propagation des flammes décrit dans la norme ISO</w:t>
      </w:r>
      <w:r w:rsidRPr="007F6425">
        <w:rPr>
          <w:b/>
          <w:lang w:val="fr-FR"/>
        </w:rPr>
        <w:t xml:space="preserve"> </w:t>
      </w:r>
      <w:r w:rsidRPr="00394DA1">
        <w:rPr>
          <w:strike/>
          <w:lang w:val="fr-FR"/>
        </w:rPr>
        <w:t>6722:2006, paragraphe 12</w:t>
      </w:r>
      <w:r w:rsidRPr="007F6425">
        <w:rPr>
          <w:b/>
          <w:lang w:val="fr-FR"/>
        </w:rPr>
        <w:t xml:space="preserve"> 6722-1:2011, paragraphe 5.22</w:t>
      </w:r>
      <w:r w:rsidRPr="007F6425">
        <w:rPr>
          <w:lang w:val="fr-FR"/>
        </w:rPr>
        <w:t>.</w:t>
      </w:r>
    </w:p>
    <w:p w:rsidR="007F6425" w:rsidRPr="007F6425" w:rsidRDefault="007F6425" w:rsidP="007F6425">
      <w:pPr>
        <w:pStyle w:val="SingleTxt"/>
        <w:ind w:left="2218" w:hanging="951"/>
        <w:rPr>
          <w:b/>
          <w:lang w:val="fr-FR"/>
        </w:rPr>
      </w:pPr>
      <w:r>
        <w:rPr>
          <w:b/>
          <w:lang w:val="fr-FR"/>
        </w:rPr>
        <w:tab/>
      </w:r>
      <w:r w:rsidRPr="007F6425">
        <w:rPr>
          <w:b/>
          <w:lang w:val="fr-FR"/>
        </w:rPr>
        <w:tab/>
        <w:t>L</w:t>
      </w:r>
      <w:r>
        <w:rPr>
          <w:b/>
          <w:lang w:val="fr-FR"/>
        </w:rPr>
        <w:t>’</w:t>
      </w:r>
      <w:r w:rsidRPr="007F6425">
        <w:rPr>
          <w:b/>
          <w:lang w:val="fr-FR"/>
        </w:rPr>
        <w:t>exposition aux flammes lors de l</w:t>
      </w:r>
      <w:r>
        <w:rPr>
          <w:b/>
          <w:lang w:val="fr-FR"/>
        </w:rPr>
        <w:t>’</w:t>
      </w:r>
      <w:r w:rsidRPr="007F6425">
        <w:rPr>
          <w:b/>
          <w:lang w:val="fr-FR"/>
        </w:rPr>
        <w:t>essai doit prendre fin dès que le conducteur (dans le cas d</w:t>
      </w:r>
      <w:r>
        <w:rPr>
          <w:b/>
          <w:lang w:val="fr-FR"/>
        </w:rPr>
        <w:t>’</w:t>
      </w:r>
      <w:r w:rsidRPr="007F6425">
        <w:rPr>
          <w:b/>
          <w:lang w:val="fr-FR"/>
        </w:rPr>
        <w:t>un câble à conducteur simple) ou le premier conducteur (dans le cas d</w:t>
      </w:r>
      <w:r>
        <w:rPr>
          <w:b/>
          <w:lang w:val="fr-FR"/>
        </w:rPr>
        <w:t>’</w:t>
      </w:r>
      <w:r w:rsidRPr="007F6425">
        <w:rPr>
          <w:b/>
          <w:lang w:val="fr-FR"/>
        </w:rPr>
        <w:t xml:space="preserve">un câble à conducteurs multiples) devient visible, ou après </w:t>
      </w:r>
      <w:r>
        <w:rPr>
          <w:b/>
          <w:lang w:val="fr-FR"/>
        </w:rPr>
        <w:t>15 </w:t>
      </w:r>
      <w:r w:rsidRPr="007F6425">
        <w:rPr>
          <w:b/>
          <w:lang w:val="fr-FR"/>
        </w:rPr>
        <w:t>s pour les câbles dont les conducteurs ont tous une taille inférieure ou égale à 2,</w:t>
      </w:r>
      <w:r>
        <w:rPr>
          <w:b/>
          <w:lang w:val="fr-FR"/>
        </w:rPr>
        <w:t>5 </w:t>
      </w:r>
      <w:r w:rsidRPr="007F6425">
        <w:rPr>
          <w:b/>
          <w:lang w:val="fr-FR"/>
        </w:rPr>
        <w:t>mm</w:t>
      </w:r>
      <w:r w:rsidRPr="007F6425">
        <w:rPr>
          <w:b/>
          <w:vertAlign w:val="superscript"/>
          <w:lang w:val="fr-FR"/>
        </w:rPr>
        <w:t>2</w:t>
      </w:r>
      <w:r w:rsidRPr="007F6425">
        <w:rPr>
          <w:b/>
          <w:lang w:val="fr-FR"/>
        </w:rPr>
        <w:t xml:space="preserve"> et</w:t>
      </w:r>
      <w:r>
        <w:rPr>
          <w:b/>
          <w:lang w:val="fr-FR"/>
        </w:rPr>
        <w:t xml:space="preserve"> 30 </w:t>
      </w:r>
      <w:r w:rsidRPr="007F6425">
        <w:rPr>
          <w:b/>
          <w:lang w:val="fr-FR"/>
        </w:rPr>
        <w:t>s pour les câbles dont les conducteurs ont une taille supérieure à 2</w:t>
      </w:r>
      <w:r>
        <w:rPr>
          <w:b/>
          <w:lang w:val="fr-FR"/>
        </w:rPr>
        <w:t>,5 </w:t>
      </w:r>
      <w:r w:rsidRPr="007F6425">
        <w:rPr>
          <w:b/>
          <w:lang w:val="fr-FR"/>
        </w:rPr>
        <w:t>mm</w:t>
      </w:r>
      <w:r w:rsidRPr="007F6425">
        <w:rPr>
          <w:b/>
          <w:vertAlign w:val="superscript"/>
          <w:lang w:val="fr-FR"/>
        </w:rPr>
        <w:t>2</w:t>
      </w:r>
      <w:r w:rsidRPr="007F6425">
        <w:rPr>
          <w:b/>
          <w:lang w:val="fr-FR"/>
        </w:rPr>
        <w:t xml:space="preserve"> ou les câbles multiconducteurs dont l</w:t>
      </w:r>
      <w:r>
        <w:rPr>
          <w:b/>
          <w:lang w:val="fr-FR"/>
        </w:rPr>
        <w:t>’</w:t>
      </w:r>
      <w:r w:rsidRPr="007F6425">
        <w:rPr>
          <w:b/>
          <w:lang w:val="fr-FR"/>
        </w:rPr>
        <w:t>un au moins des conducteurs a une taille supérieure à 2,</w:t>
      </w:r>
      <w:r>
        <w:rPr>
          <w:b/>
          <w:lang w:val="fr-FR"/>
        </w:rPr>
        <w:t>5 </w:t>
      </w:r>
      <w:r w:rsidRPr="007F6425">
        <w:rPr>
          <w:b/>
          <w:lang w:val="fr-FR"/>
        </w:rPr>
        <w:t>mm</w:t>
      </w:r>
      <w:r w:rsidRPr="007F6425">
        <w:rPr>
          <w:b/>
          <w:vertAlign w:val="superscript"/>
          <w:lang w:val="fr-FR"/>
        </w:rPr>
        <w:t>2</w:t>
      </w:r>
      <w:r w:rsidRPr="007F6425">
        <w:rPr>
          <w:b/>
          <w:lang w:val="fr-FR"/>
        </w:rPr>
        <w:t>.</w:t>
      </w:r>
    </w:p>
    <w:p w:rsidR="007F6425" w:rsidRPr="007F6425" w:rsidRDefault="007F6425" w:rsidP="007F6425">
      <w:pPr>
        <w:pStyle w:val="SingleTxt"/>
        <w:ind w:left="2218" w:hanging="951"/>
        <w:rPr>
          <w:lang w:val="fr-FR"/>
        </w:rPr>
      </w:pPr>
      <w:r>
        <w:rPr>
          <w:lang w:val="fr-FR"/>
        </w:rPr>
        <w:tab/>
      </w:r>
      <w:r w:rsidRPr="007F6425">
        <w:rPr>
          <w:lang w:val="fr-FR"/>
        </w:rPr>
        <w:tab/>
        <w:t>Le résultat de l</w:t>
      </w:r>
      <w:r>
        <w:rPr>
          <w:lang w:val="fr-FR"/>
        </w:rPr>
        <w:t>’</w:t>
      </w:r>
      <w:r w:rsidRPr="007F6425">
        <w:rPr>
          <w:lang w:val="fr-FR"/>
        </w:rPr>
        <w:t>essai est considéré comme satisfaisant si, compte tenu des plus mauvais résultats, toute flamme de combustion du matériau isolant s</w:t>
      </w:r>
      <w:r>
        <w:rPr>
          <w:lang w:val="fr-FR"/>
        </w:rPr>
        <w:t>’éteint en 70 </w:t>
      </w:r>
      <w:r w:rsidRPr="007F6425">
        <w:rPr>
          <w:lang w:val="fr-FR"/>
        </w:rPr>
        <w:t>s</w:t>
      </w:r>
      <w:r>
        <w:rPr>
          <w:lang w:val="fr-FR"/>
        </w:rPr>
        <w:t xml:space="preserve"> au plus et si au moins 50 </w:t>
      </w:r>
      <w:r w:rsidRPr="007F6425">
        <w:rPr>
          <w:lang w:val="fr-FR"/>
        </w:rPr>
        <w:t>mm d</w:t>
      </w:r>
      <w:r>
        <w:rPr>
          <w:lang w:val="fr-FR"/>
        </w:rPr>
        <w:t>’</w:t>
      </w:r>
      <w:r w:rsidRPr="007F6425">
        <w:rPr>
          <w:lang w:val="fr-FR"/>
        </w:rPr>
        <w:t>isolant au sommet de l</w:t>
      </w:r>
      <w:r>
        <w:rPr>
          <w:lang w:val="fr-FR"/>
        </w:rPr>
        <w:t>’</w:t>
      </w:r>
      <w:r w:rsidRPr="007F6425">
        <w:rPr>
          <w:lang w:val="fr-FR"/>
        </w:rPr>
        <w:t>échantillon d</w:t>
      </w:r>
      <w:r>
        <w:rPr>
          <w:lang w:val="fr-FR"/>
        </w:rPr>
        <w:t>’</w:t>
      </w:r>
      <w:r w:rsidRPr="007F6425">
        <w:rPr>
          <w:lang w:val="fr-FR"/>
        </w:rPr>
        <w:t>essai ne brûlent pas.</w:t>
      </w:r>
      <w:r>
        <w:rPr>
          <w:lang w:val="fr-FR"/>
        </w:rPr>
        <w:t> </w:t>
      </w:r>
      <w:r w:rsidRPr="007F6425">
        <w:rPr>
          <w:lang w:val="fr-FR"/>
        </w:rPr>
        <w:t>».</w:t>
      </w:r>
    </w:p>
    <w:p w:rsidR="007F6425" w:rsidRPr="007F6425" w:rsidRDefault="007F6425" w:rsidP="007F6425">
      <w:pPr>
        <w:pStyle w:val="SingleTxt"/>
        <w:rPr>
          <w:i/>
          <w:lang w:val="fr-FR"/>
        </w:rPr>
      </w:pPr>
      <w:r w:rsidRPr="007F6425">
        <w:rPr>
          <w:i/>
          <w:lang w:val="fr-FR"/>
        </w:rPr>
        <w:t>Deuxième partie, paragraphe 6.2.7.4</w:t>
      </w:r>
      <w:r w:rsidRPr="007F6425">
        <w:rPr>
          <w:lang w:val="fr-FR"/>
        </w:rPr>
        <w:t>, modifier comme suit</w:t>
      </w:r>
      <w:r>
        <w:rPr>
          <w:lang w:val="fr-FR"/>
        </w:rPr>
        <w:t> </w:t>
      </w:r>
      <w:r w:rsidRPr="007F6425">
        <w:rPr>
          <w:lang w:val="fr-FR"/>
        </w:rPr>
        <w:t>:</w:t>
      </w:r>
    </w:p>
    <w:p w:rsidR="007F6425" w:rsidRDefault="007F6425" w:rsidP="007F6425">
      <w:pPr>
        <w:pStyle w:val="SingleTxt"/>
        <w:ind w:left="2218" w:hanging="951"/>
        <w:rPr>
          <w:lang w:val="fr-FR"/>
        </w:rPr>
      </w:pPr>
      <w:r>
        <w:rPr>
          <w:lang w:val="fr-FR"/>
        </w:rPr>
        <w:t>« </w:t>
      </w:r>
      <w:r w:rsidRPr="007F6425">
        <w:rPr>
          <w:lang w:val="fr-FR"/>
        </w:rPr>
        <w:t>6.2.7.4</w:t>
      </w:r>
      <w:r w:rsidRPr="007F6425">
        <w:rPr>
          <w:lang w:val="fr-FR"/>
        </w:rPr>
        <w:tab/>
        <w:t>Les éléments dont il est impossible d</w:t>
      </w:r>
      <w:r>
        <w:rPr>
          <w:lang w:val="fr-FR"/>
        </w:rPr>
        <w:t>’</w:t>
      </w:r>
      <w:r w:rsidRPr="007F6425">
        <w:rPr>
          <w:lang w:val="fr-FR"/>
        </w:rPr>
        <w:t>extraire un échantillon aux dimensions prescrites au paragraphe 3.1 de l</w:t>
      </w:r>
      <w:r>
        <w:rPr>
          <w:lang w:val="fr-FR"/>
        </w:rPr>
        <w:t>’</w:t>
      </w:r>
      <w:r w:rsidRPr="007F6425">
        <w:rPr>
          <w:lang w:val="fr-FR"/>
        </w:rPr>
        <w:t>annexe 6</w:t>
      </w:r>
      <w:r w:rsidRPr="007F6425">
        <w:rPr>
          <w:b/>
          <w:lang w:val="fr-FR"/>
        </w:rPr>
        <w:t>,</w:t>
      </w:r>
      <w:r w:rsidRPr="007F6425">
        <w:rPr>
          <w:lang w:val="fr-FR"/>
        </w:rPr>
        <w:t xml:space="preserve"> </w:t>
      </w:r>
      <w:r w:rsidRPr="00015436">
        <w:rPr>
          <w:strike/>
          <w:lang w:val="fr-FR"/>
        </w:rPr>
        <w:t xml:space="preserve">et </w:t>
      </w:r>
      <w:r w:rsidRPr="007F6425">
        <w:rPr>
          <w:lang w:val="fr-FR"/>
        </w:rPr>
        <w:t>au paragraphe 3 de l</w:t>
      </w:r>
      <w:r>
        <w:rPr>
          <w:lang w:val="fr-FR"/>
        </w:rPr>
        <w:t>’</w:t>
      </w:r>
      <w:r w:rsidRPr="007F6425">
        <w:rPr>
          <w:lang w:val="fr-FR"/>
        </w:rPr>
        <w:t xml:space="preserve">annexe 7 </w:t>
      </w:r>
      <w:r w:rsidRPr="007F6425">
        <w:rPr>
          <w:b/>
          <w:lang w:val="fr-FR"/>
        </w:rPr>
        <w:t>et au paragraphe 3.1 de l</w:t>
      </w:r>
      <w:r>
        <w:rPr>
          <w:b/>
          <w:lang w:val="fr-FR"/>
        </w:rPr>
        <w:t>’</w:t>
      </w:r>
      <w:r w:rsidRPr="007F6425">
        <w:rPr>
          <w:b/>
          <w:lang w:val="fr-FR"/>
        </w:rPr>
        <w:t>annexe 8</w:t>
      </w:r>
      <w:r w:rsidRPr="007F6425">
        <w:rPr>
          <w:lang w:val="fr-FR"/>
        </w:rPr>
        <w:t>.</w:t>
      </w:r>
      <w:r>
        <w:rPr>
          <w:lang w:val="fr-FR"/>
        </w:rPr>
        <w:t> </w:t>
      </w:r>
      <w:r w:rsidRPr="007F6425">
        <w:rPr>
          <w:lang w:val="fr-FR"/>
        </w:rPr>
        <w:t>».</w:t>
      </w:r>
    </w:p>
    <w:p w:rsidR="007F6425" w:rsidRPr="007F6425" w:rsidRDefault="007F6425" w:rsidP="007F6425">
      <w:pPr>
        <w:pStyle w:val="SingleTxt"/>
        <w:spacing w:after="0" w:line="120" w:lineRule="exact"/>
        <w:ind w:left="2218" w:hanging="951"/>
        <w:rPr>
          <w:sz w:val="10"/>
          <w:lang w:val="fr-FR"/>
        </w:rPr>
      </w:pPr>
    </w:p>
    <w:p w:rsidR="007F6425" w:rsidRPr="007F6425" w:rsidRDefault="007F6425" w:rsidP="007F6425">
      <w:pPr>
        <w:pStyle w:val="SingleTxt"/>
        <w:spacing w:after="0" w:line="120" w:lineRule="exact"/>
        <w:ind w:left="2218" w:hanging="951"/>
        <w:rPr>
          <w:i/>
          <w:sz w:val="10"/>
          <w:lang w:val="fr-FR"/>
        </w:rPr>
      </w:pPr>
    </w:p>
    <w:p w:rsidR="007F6425" w:rsidRPr="007F6425" w:rsidRDefault="007F6425" w:rsidP="007F642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7F6425">
        <w:rPr>
          <w:lang w:val="fr-FR"/>
        </w:rPr>
        <w:tab/>
        <w:t>II.</w:t>
      </w:r>
      <w:r w:rsidRPr="007F6425">
        <w:rPr>
          <w:lang w:val="fr-FR"/>
        </w:rPr>
        <w:tab/>
        <w:t>Justification</w:t>
      </w:r>
    </w:p>
    <w:p w:rsidR="007F6425" w:rsidRPr="007F6425" w:rsidRDefault="007F6425" w:rsidP="007F6425">
      <w:pPr>
        <w:pStyle w:val="SingleTxt"/>
        <w:spacing w:after="0" w:line="120" w:lineRule="exact"/>
        <w:rPr>
          <w:sz w:val="10"/>
          <w:lang w:val="fr-FR"/>
        </w:rPr>
      </w:pPr>
    </w:p>
    <w:p w:rsidR="007F6425" w:rsidRPr="007F6425" w:rsidRDefault="007F6425" w:rsidP="007F6425">
      <w:pPr>
        <w:pStyle w:val="SingleTxt"/>
        <w:spacing w:after="0" w:line="120" w:lineRule="exact"/>
        <w:rPr>
          <w:sz w:val="10"/>
          <w:lang w:val="fr-FR"/>
        </w:rPr>
      </w:pPr>
    </w:p>
    <w:p w:rsidR="007F6425" w:rsidRPr="007F6425" w:rsidRDefault="007F6425" w:rsidP="007F6425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7F6425">
        <w:rPr>
          <w:lang w:val="fr-FR"/>
        </w:rPr>
        <w:t>Dans la proposition initiale pour la série 01 d</w:t>
      </w:r>
      <w:r>
        <w:rPr>
          <w:lang w:val="fr-FR"/>
        </w:rPr>
        <w:t>’</w:t>
      </w:r>
      <w:r w:rsidRPr="007F6425">
        <w:rPr>
          <w:lang w:val="fr-FR"/>
        </w:rPr>
        <w:t>amendements, soumise par plusieurs Parties contractantes (France, Suède, Norvège et Allemagne), tous les câbles électriques utilisés dans le véhicule étaient visés. Or l</w:t>
      </w:r>
      <w:r>
        <w:rPr>
          <w:lang w:val="fr-FR"/>
        </w:rPr>
        <w:t>e texte actuel du Règlement n</w:t>
      </w:r>
      <w:r w:rsidRPr="007F6425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7F6425">
        <w:rPr>
          <w:lang w:val="fr-FR"/>
        </w:rPr>
        <w:t>118 laisse entendre que seuls les câbles électriques utilisés dans le compartiment intérieur, le compartiment moteur et tout compartiment de chauffage séparé doivent être soumis à l</w:t>
      </w:r>
      <w:r>
        <w:rPr>
          <w:lang w:val="fr-FR"/>
        </w:rPr>
        <w:t>’</w:t>
      </w:r>
      <w:r w:rsidRPr="007F6425">
        <w:rPr>
          <w:lang w:val="fr-FR"/>
        </w:rPr>
        <w:t>essai de résistance à la propagation des flammes. La proposition énoncée dans le présent document précise que les dispositions du Règlement s</w:t>
      </w:r>
      <w:r>
        <w:rPr>
          <w:lang w:val="fr-FR"/>
        </w:rPr>
        <w:t>’</w:t>
      </w:r>
      <w:r w:rsidRPr="007F6425">
        <w:rPr>
          <w:lang w:val="fr-FR"/>
        </w:rPr>
        <w:t>appliquent à tous les câbles utilisés dans le véhicule, et non seulement aux câbles utilisés dans le compartiment intérieur, le compartiment moteur et tout compartiment de chauffage séparé.</w:t>
      </w:r>
    </w:p>
    <w:p w:rsidR="007F6425" w:rsidRPr="007F6425" w:rsidRDefault="007F6425" w:rsidP="007F6425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7F6425">
        <w:rPr>
          <w:lang w:val="fr-FR"/>
        </w:rPr>
        <w:t>Il est ainsi proposé de supprimer la référence faite aux trois compartiments dans le paragraphe 1.3, le texte du paragraphe correspondant alors à celui du point 6 de la table des matières et du titre du chapitre 6.</w:t>
      </w:r>
    </w:p>
    <w:p w:rsidR="007F6425" w:rsidRPr="007F6425" w:rsidRDefault="007F6425" w:rsidP="00394DA1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7F6425">
        <w:rPr>
          <w:lang w:val="fr-FR"/>
        </w:rPr>
        <w:t>Le texte actuel du Règlement n</w:t>
      </w:r>
      <w:r w:rsidRPr="007F6425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7F6425">
        <w:rPr>
          <w:lang w:val="fr-FR"/>
        </w:rPr>
        <w:t>118 relatif à la résistance au feu des câbles électriques a donné lieu à des discussions et à des interprétations divergentes des dispositions. Selon l</w:t>
      </w:r>
      <w:r>
        <w:rPr>
          <w:lang w:val="fr-FR"/>
        </w:rPr>
        <w:t>’</w:t>
      </w:r>
      <w:r w:rsidRPr="007F6425">
        <w:rPr>
          <w:lang w:val="fr-FR"/>
        </w:rPr>
        <w:t>une de ces interprétations, le Règlement ne devrait s</w:t>
      </w:r>
      <w:r>
        <w:rPr>
          <w:lang w:val="fr-FR"/>
        </w:rPr>
        <w:t>’</w:t>
      </w:r>
      <w:r w:rsidRPr="007F6425">
        <w:rPr>
          <w:lang w:val="fr-FR"/>
        </w:rPr>
        <w:t>appliquer qu</w:t>
      </w:r>
      <w:r>
        <w:rPr>
          <w:lang w:val="fr-FR"/>
        </w:rPr>
        <w:t>’</w:t>
      </w:r>
      <w:r w:rsidRPr="007F6425">
        <w:rPr>
          <w:lang w:val="fr-FR"/>
        </w:rPr>
        <w:t>aux câbles éle</w:t>
      </w:r>
      <w:r>
        <w:rPr>
          <w:lang w:val="fr-FR"/>
        </w:rPr>
        <w:t>ctriques visés par la norme ISO</w:t>
      </w:r>
      <w:r w:rsidR="00394DA1">
        <w:rPr>
          <w:lang w:val="fr-FR"/>
        </w:rPr>
        <w:t xml:space="preserve"> </w:t>
      </w:r>
      <w:r w:rsidRPr="007F6425">
        <w:rPr>
          <w:lang w:val="fr-FR"/>
        </w:rPr>
        <w:t>6722. Cela n</w:t>
      </w:r>
      <w:r>
        <w:rPr>
          <w:lang w:val="fr-FR"/>
        </w:rPr>
        <w:t>’</w:t>
      </w:r>
      <w:r w:rsidRPr="007F6425">
        <w:rPr>
          <w:lang w:val="fr-FR"/>
        </w:rPr>
        <w:t>était pas le cas dans la proposition initiale et cela ne contribuerait pas à renforcer la protection contre le feu. La proposition énoncée dans le présent document précise ainsi que les dispositions du Règlement s</w:t>
      </w:r>
      <w:r>
        <w:rPr>
          <w:lang w:val="fr-FR"/>
        </w:rPr>
        <w:t>’</w:t>
      </w:r>
      <w:r w:rsidRPr="007F6425">
        <w:rPr>
          <w:lang w:val="fr-FR"/>
        </w:rPr>
        <w:t xml:space="preserve">appliquent à tous les câbles (à conducteur simple, à conducteurs multiples, blindés, non blindés ou gainés, par exemple), et non uniquement aux câbles visés dans la norme </w:t>
      </w:r>
      <w:r>
        <w:rPr>
          <w:lang w:val="fr-FR"/>
        </w:rPr>
        <w:t>ISO</w:t>
      </w:r>
      <w:r w:rsidR="00394DA1">
        <w:rPr>
          <w:lang w:val="fr-FR"/>
        </w:rPr>
        <w:t xml:space="preserve"> </w:t>
      </w:r>
      <w:r w:rsidRPr="007F6425">
        <w:rPr>
          <w:lang w:val="fr-FR"/>
        </w:rPr>
        <w:t>6722.</w:t>
      </w:r>
    </w:p>
    <w:p w:rsidR="007F6425" w:rsidRPr="007F6425" w:rsidRDefault="007F6425" w:rsidP="007F6425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7F6425">
        <w:rPr>
          <w:lang w:val="fr-FR"/>
        </w:rPr>
        <w:t>Sachant que les câbles électriques et les gaines et manchons de câbles courts reliés à des composants tels que les alternateurs, les démarreurs et les dispositifs de commande contribuent de façon négligeable à la propagation du feu, il semble logique de viser les pièc</w:t>
      </w:r>
      <w:r>
        <w:rPr>
          <w:lang w:val="fr-FR"/>
        </w:rPr>
        <w:t>es dont la longueur dépasse 100 </w:t>
      </w:r>
      <w:bookmarkStart w:id="2" w:name="TmpSave"/>
      <w:r w:rsidRPr="007F6425">
        <w:rPr>
          <w:lang w:val="fr-FR"/>
        </w:rPr>
        <w:t>mm.</w:t>
      </w:r>
      <w:bookmarkEnd w:id="2"/>
      <w:r>
        <w:rPr>
          <w:lang w:val="fr-FR"/>
        </w:rPr>
        <w:t xml:space="preserve"> </w:t>
      </w:r>
      <w:r w:rsidRPr="007F6425">
        <w:rPr>
          <w:lang w:val="fr-FR"/>
        </w:rPr>
        <w:t>Ainsi, au paragraphe 6.2.6, il est proposé d</w:t>
      </w:r>
      <w:r>
        <w:rPr>
          <w:lang w:val="fr-FR"/>
        </w:rPr>
        <w:t>’</w:t>
      </w:r>
      <w:r w:rsidRPr="007F6425">
        <w:rPr>
          <w:lang w:val="fr-FR"/>
        </w:rPr>
        <w:t>éprouver les gaines et les manchons de câbl</w:t>
      </w:r>
      <w:r>
        <w:rPr>
          <w:lang w:val="fr-FR"/>
        </w:rPr>
        <w:t>es dont la longueur dépasse 100 </w:t>
      </w:r>
      <w:r w:rsidRPr="007F6425">
        <w:rPr>
          <w:lang w:val="fr-FR"/>
        </w:rPr>
        <w:t>mm.</w:t>
      </w:r>
    </w:p>
    <w:p w:rsidR="007F6425" w:rsidRPr="007F6425" w:rsidRDefault="007F6425" w:rsidP="007F6425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7F6425">
        <w:rPr>
          <w:lang w:val="fr-FR"/>
        </w:rPr>
        <w:lastRenderedPageBreak/>
        <w:t>La référence faite dans le paragraphe 6.2.6 à l</w:t>
      </w:r>
      <w:r>
        <w:rPr>
          <w:lang w:val="fr-FR"/>
        </w:rPr>
        <w:t>’</w:t>
      </w:r>
      <w:r w:rsidRPr="007F6425">
        <w:rPr>
          <w:lang w:val="fr-FR"/>
        </w:rPr>
        <w:t>essai décrit au paragraphe 12 de la norme ISO 6722 n</w:t>
      </w:r>
      <w:r>
        <w:rPr>
          <w:lang w:val="fr-FR"/>
        </w:rPr>
        <w:t>’</w:t>
      </w:r>
      <w:r w:rsidRPr="007F6425">
        <w:rPr>
          <w:lang w:val="fr-FR"/>
        </w:rPr>
        <w:t>est plus d</w:t>
      </w:r>
      <w:r>
        <w:rPr>
          <w:lang w:val="fr-FR"/>
        </w:rPr>
        <w:t>’</w:t>
      </w:r>
      <w:r w:rsidRPr="007F6425">
        <w:rPr>
          <w:lang w:val="fr-FR"/>
        </w:rPr>
        <w:t>actualité. Il convient de renvoyer au paragraphe 5.22 de la norme ISO 6722-1:2011.</w:t>
      </w:r>
    </w:p>
    <w:p w:rsidR="007F6425" w:rsidRPr="007F6425" w:rsidRDefault="007F6425" w:rsidP="007F6425">
      <w:pPr>
        <w:pStyle w:val="SingleTxt"/>
        <w:rPr>
          <w:lang w:val="fr-FR"/>
        </w:rPr>
      </w:pPr>
      <w:r w:rsidRPr="007F6425">
        <w:rPr>
          <w:lang w:val="fr-FR"/>
        </w:rPr>
        <w:t>6.</w:t>
      </w:r>
      <w:r w:rsidRPr="007F6425">
        <w:rPr>
          <w:lang w:val="fr-FR"/>
        </w:rPr>
        <w:tab/>
        <w:t>Au paragraphe 6.2.7.4, la mention «</w:t>
      </w:r>
      <w:r>
        <w:rPr>
          <w:lang w:val="fr-FR"/>
        </w:rPr>
        <w:t> </w:t>
      </w:r>
      <w:r w:rsidRPr="007F6425">
        <w:rPr>
          <w:lang w:val="fr-FR"/>
        </w:rPr>
        <w:t>et au paragraphe 3.1 de l</w:t>
      </w:r>
      <w:r>
        <w:rPr>
          <w:lang w:val="fr-FR"/>
        </w:rPr>
        <w:t>’</w:t>
      </w:r>
      <w:r w:rsidRPr="007F6425">
        <w:rPr>
          <w:lang w:val="fr-FR"/>
        </w:rPr>
        <w:t>annexe 8</w:t>
      </w:r>
      <w:r>
        <w:rPr>
          <w:lang w:val="fr-FR"/>
        </w:rPr>
        <w:t> </w:t>
      </w:r>
      <w:r w:rsidRPr="007F6425">
        <w:rPr>
          <w:lang w:val="fr-FR"/>
        </w:rPr>
        <w:t>» est réintroduite, ce qui permet de corriger une erreur relevée dans la Révision 1 et de faire référence à toutes les dispositions (annexes 6, 7 et 8).</w:t>
      </w:r>
    </w:p>
    <w:p w:rsidR="00AC358A" w:rsidRPr="007F6425" w:rsidRDefault="007F6425" w:rsidP="007F6425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AC358A" w:rsidRPr="007F6425" w:rsidSect="00AC358A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5-08-26T17:43:00Z" w:initials="Start">
    <w:p w:rsidR="00D56BD9" w:rsidRDefault="00D56BD9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NO&gt;&gt;N1515369F&lt;&lt;ODS JOB NO&gt;&gt;</w:t>
      </w:r>
    </w:p>
    <w:p w:rsidR="00D56BD9" w:rsidRDefault="00D56BD9">
      <w:pPr>
        <w:pStyle w:val="CommentText"/>
      </w:pPr>
      <w:r>
        <w:t>&lt;&lt;ODS DOC SYMBOL1&gt;&gt;ECE/TRANS/WP.29/GRSG/2015/29&lt;&lt;ODS DOC SYMBOL1&gt;&gt;</w:t>
      </w:r>
    </w:p>
    <w:p w:rsidR="00D56BD9" w:rsidRDefault="00D56BD9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6D" w:rsidRDefault="001D316D" w:rsidP="00F3330B">
      <w:pPr>
        <w:spacing w:line="240" w:lineRule="auto"/>
      </w:pPr>
      <w:r>
        <w:separator/>
      </w:r>
    </w:p>
  </w:endnote>
  <w:endnote w:type="continuationSeparator" w:id="0">
    <w:p w:rsidR="001D316D" w:rsidRDefault="001D316D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C358A" w:rsidTr="00AC358A">
      <w:trPr>
        <w:jc w:val="center"/>
      </w:trPr>
      <w:tc>
        <w:tcPr>
          <w:tcW w:w="5126" w:type="dxa"/>
          <w:shd w:val="clear" w:color="auto" w:fill="auto"/>
        </w:tcPr>
        <w:p w:rsidR="00AC358A" w:rsidRPr="00AC358A" w:rsidRDefault="00AC358A" w:rsidP="00AC358A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94DA1">
            <w:rPr>
              <w:b w:val="0"/>
              <w:w w:val="103"/>
              <w:sz w:val="14"/>
            </w:rPr>
            <w:t>GE.15-11534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AC358A" w:rsidRPr="00AC358A" w:rsidRDefault="00AC358A" w:rsidP="00AC358A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7771E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7771E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:rsidR="00AC358A" w:rsidRPr="00AC358A" w:rsidRDefault="00AC358A" w:rsidP="00AC3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C358A" w:rsidTr="00AC358A">
      <w:trPr>
        <w:jc w:val="center"/>
      </w:trPr>
      <w:tc>
        <w:tcPr>
          <w:tcW w:w="5126" w:type="dxa"/>
          <w:shd w:val="clear" w:color="auto" w:fill="auto"/>
        </w:tcPr>
        <w:p w:rsidR="00AC358A" w:rsidRPr="00AC358A" w:rsidRDefault="00AC358A" w:rsidP="00AC358A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7771E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7771E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AC358A" w:rsidRPr="00AC358A" w:rsidRDefault="00AC358A" w:rsidP="00AC358A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94DA1">
            <w:rPr>
              <w:b w:val="0"/>
              <w:w w:val="103"/>
              <w:sz w:val="14"/>
            </w:rPr>
            <w:t>GE.15-11534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AC358A" w:rsidRPr="00AC358A" w:rsidRDefault="00AC358A" w:rsidP="00AC35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8A" w:rsidRDefault="00AC358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71B3875" wp14:editId="7A51BDA3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SG/2015/29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SG/2015/29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AC358A" w:rsidTr="00AC358A">
      <w:tc>
        <w:tcPr>
          <w:tcW w:w="3859" w:type="dxa"/>
        </w:tcPr>
        <w:p w:rsidR="00AC358A" w:rsidRDefault="00AC358A" w:rsidP="00AC358A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394DA1">
            <w:rPr>
              <w:b w:val="0"/>
              <w:sz w:val="20"/>
            </w:rPr>
            <w:t>GE.15-11534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260815    </w:t>
          </w:r>
          <w:r w:rsidR="00004D66">
            <w:rPr>
              <w:b w:val="0"/>
              <w:sz w:val="20"/>
            </w:rPr>
            <w:t>27</w:t>
          </w:r>
          <w:r>
            <w:rPr>
              <w:b w:val="0"/>
              <w:sz w:val="20"/>
            </w:rPr>
            <w:t>0815</w:t>
          </w:r>
        </w:p>
        <w:p w:rsidR="00AC358A" w:rsidRPr="00AC358A" w:rsidRDefault="00AC358A" w:rsidP="00AC358A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394DA1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*1511534*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AC358A" w:rsidRDefault="00AC358A" w:rsidP="00AC358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CE50DF4" wp14:editId="6A550728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C358A" w:rsidRPr="00AC358A" w:rsidRDefault="00AC358A" w:rsidP="00AC358A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6D" w:rsidRPr="007F6425" w:rsidRDefault="007F6425" w:rsidP="007F6425">
      <w:pPr>
        <w:pStyle w:val="Footer"/>
        <w:spacing w:after="80"/>
        <w:ind w:left="792"/>
        <w:rPr>
          <w:sz w:val="16"/>
        </w:rPr>
      </w:pPr>
      <w:r w:rsidRPr="007F6425">
        <w:rPr>
          <w:sz w:val="16"/>
        </w:rPr>
        <w:t>__________________</w:t>
      </w:r>
    </w:p>
  </w:footnote>
  <w:footnote w:type="continuationSeparator" w:id="0">
    <w:p w:rsidR="001D316D" w:rsidRPr="007F6425" w:rsidRDefault="007F6425" w:rsidP="007F6425">
      <w:pPr>
        <w:pStyle w:val="Footer"/>
        <w:spacing w:after="80"/>
        <w:ind w:left="792"/>
        <w:rPr>
          <w:sz w:val="16"/>
        </w:rPr>
      </w:pPr>
      <w:r w:rsidRPr="007F6425">
        <w:rPr>
          <w:sz w:val="16"/>
        </w:rPr>
        <w:t>__________________</w:t>
      </w:r>
    </w:p>
  </w:footnote>
  <w:footnote w:id="1">
    <w:p w:rsidR="007F6425" w:rsidRPr="007F6425" w:rsidRDefault="007F6425" w:rsidP="007F642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7F6425">
        <w:tab/>
        <w:t>*</w:t>
      </w:r>
      <w:r w:rsidRPr="007F6425">
        <w:tab/>
        <w:t xml:space="preserve">Conformément au programme de travail du Comité des transports intérieurs pour la période 2012-2016 </w:t>
      </w:r>
      <w:r>
        <w:t>(ECE/TRANS/224, par. </w:t>
      </w:r>
      <w:r w:rsidRPr="007F6425">
        <w:t>94, et ECE/TRANS/2012/12, activité 02.4), le Forum mondial a pour mission d</w:t>
      </w:r>
      <w:r>
        <w:t>’</w:t>
      </w:r>
      <w:r w:rsidRPr="007F6425">
        <w:t>élaborer, d</w:t>
      </w:r>
      <w:r>
        <w:t>’</w:t>
      </w:r>
      <w:r w:rsidRPr="007F6425">
        <w:t>harmoniser et de mettre à jour les Règlements en vue d</w:t>
      </w:r>
      <w:r>
        <w:t>’</w:t>
      </w:r>
      <w:r w:rsidRPr="007F6425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C358A" w:rsidTr="00AC358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C358A" w:rsidRPr="00AC358A" w:rsidRDefault="00AC358A" w:rsidP="00AC358A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94DA1">
            <w:rPr>
              <w:b/>
              <w:color w:val="000000"/>
            </w:rPr>
            <w:t>ECE/TRANS/WP.29/GRSG/2015/29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C358A" w:rsidRDefault="00AC358A" w:rsidP="00AC358A">
          <w:pPr>
            <w:pStyle w:val="Header"/>
          </w:pPr>
        </w:p>
      </w:tc>
    </w:tr>
  </w:tbl>
  <w:p w:rsidR="00AC358A" w:rsidRPr="00AC358A" w:rsidRDefault="00AC358A" w:rsidP="00AC358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C358A" w:rsidTr="00AC358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C358A" w:rsidRDefault="00AC358A" w:rsidP="00AC358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C358A" w:rsidRPr="00AC358A" w:rsidRDefault="00AC358A" w:rsidP="00AC358A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94DA1">
            <w:rPr>
              <w:b/>
              <w:color w:val="000000"/>
            </w:rPr>
            <w:t>ECE/TRANS/WP.29/GRSG/2015/29</w:t>
          </w:r>
          <w:r>
            <w:rPr>
              <w:b/>
              <w:color w:val="000000"/>
            </w:rPr>
            <w:fldChar w:fldCharType="end"/>
          </w:r>
        </w:p>
      </w:tc>
    </w:tr>
  </w:tbl>
  <w:p w:rsidR="00AC358A" w:rsidRPr="00AC358A" w:rsidRDefault="00AC358A" w:rsidP="00AC358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AC358A" w:rsidTr="00AC358A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C358A" w:rsidRDefault="00AC358A" w:rsidP="00AC358A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C358A" w:rsidRPr="00AC358A" w:rsidRDefault="00AC358A" w:rsidP="00AC358A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C358A" w:rsidRDefault="00AC358A" w:rsidP="00AC358A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AC358A" w:rsidRPr="00AC358A" w:rsidRDefault="00AC358A" w:rsidP="00AC358A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/TRANS/WP.29/GRSG/2015/29</w:t>
          </w:r>
        </w:p>
      </w:tc>
    </w:tr>
    <w:tr w:rsidR="00AC358A" w:rsidRPr="00AC358A" w:rsidTr="00AC358A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358A" w:rsidRPr="00AC358A" w:rsidRDefault="00AC358A" w:rsidP="00AC358A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66196C55" wp14:editId="785DF209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358A" w:rsidRPr="00AC358A" w:rsidRDefault="00AC358A" w:rsidP="00AC358A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358A" w:rsidRPr="00AC358A" w:rsidRDefault="00AC358A" w:rsidP="00AC358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358A" w:rsidRDefault="00AC358A" w:rsidP="00AC358A">
          <w:pPr>
            <w:pStyle w:val="Distribution"/>
            <w:rPr>
              <w:color w:val="000000"/>
            </w:rPr>
          </w:pPr>
          <w:r>
            <w:rPr>
              <w:color w:val="000000"/>
            </w:rPr>
            <w:t>Distr. générale</w:t>
          </w:r>
        </w:p>
        <w:p w:rsidR="00AC358A" w:rsidRDefault="00AC358A" w:rsidP="00AC358A">
          <w:pPr>
            <w:pStyle w:val="Publication"/>
            <w:rPr>
              <w:color w:val="000000"/>
            </w:rPr>
          </w:pPr>
          <w:r>
            <w:rPr>
              <w:color w:val="000000"/>
            </w:rPr>
            <w:t>10 juillet 2015</w:t>
          </w:r>
        </w:p>
        <w:p w:rsidR="00AC358A" w:rsidRDefault="00AC358A" w:rsidP="00AC358A">
          <w:pPr>
            <w:rPr>
              <w:lang w:val="en-US"/>
            </w:rPr>
          </w:pPr>
          <w:r>
            <w:rPr>
              <w:lang w:val="en-US"/>
            </w:rPr>
            <w:t>Français</w:t>
          </w:r>
        </w:p>
        <w:p w:rsidR="00AC358A" w:rsidRPr="00AC358A" w:rsidRDefault="00AC358A" w:rsidP="00AC358A">
          <w:pPr>
            <w:pStyle w:val="Original"/>
            <w:rPr>
              <w:color w:val="000000"/>
            </w:rPr>
          </w:pPr>
          <w:r>
            <w:rPr>
              <w:color w:val="000000"/>
            </w:rPr>
            <w:t>Original : anglais</w:t>
          </w:r>
        </w:p>
      </w:tc>
    </w:tr>
  </w:tbl>
  <w:p w:rsidR="00AC358A" w:rsidRPr="00AC358A" w:rsidRDefault="00AC358A" w:rsidP="00AC358A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C12AA"/>
    <w:multiLevelType w:val="singleLevel"/>
    <w:tmpl w:val="D7C2D13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5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SortMethod w:val="0003"/>
  <w:revisionView w:markup="0"/>
  <w:defaultTabStop w:val="475"/>
  <w:hyphenationZone w:val="425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1534*"/>
    <w:docVar w:name="CreationDt" w:val="8/26/2015 4:17: PM"/>
    <w:docVar w:name="DocCategory" w:val="Doc"/>
    <w:docVar w:name="DocType" w:val="Final"/>
    <w:docVar w:name="DutyStation" w:val="Geneva"/>
    <w:docVar w:name="FooterJN" w:val="GE.15-11534"/>
    <w:docVar w:name="jobn" w:val="GE.15-11534 (F)"/>
    <w:docVar w:name="jobnDT" w:val="GE.15-11534 (F)   260815"/>
    <w:docVar w:name="jobnDTDT" w:val="GE.15-11534 (F)   260815   260815"/>
    <w:docVar w:name="JobNo" w:val="GE.1511534F"/>
    <w:docVar w:name="JobNo2" w:val="GE.1515369F"/>
    <w:docVar w:name="LocalDrive" w:val="0"/>
    <w:docVar w:name="OandT" w:val="N.Morin"/>
    <w:docVar w:name="PaperSize" w:val="A4"/>
    <w:docVar w:name="sss1" w:val="ECE/TRANS/WP.29/GRSG/2015/29"/>
    <w:docVar w:name="sss2" w:val="-"/>
    <w:docVar w:name="Symbol1" w:val="ECE/TRANS/WP.29/GRSG/2015/29"/>
    <w:docVar w:name="Symbol2" w:val="-"/>
  </w:docVars>
  <w:rsids>
    <w:rsidRoot w:val="001D316D"/>
    <w:rsid w:val="000015B8"/>
    <w:rsid w:val="000046A5"/>
    <w:rsid w:val="00004D66"/>
    <w:rsid w:val="000055FB"/>
    <w:rsid w:val="00015436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71E"/>
    <w:rsid w:val="00077CC4"/>
    <w:rsid w:val="00083D89"/>
    <w:rsid w:val="00085112"/>
    <w:rsid w:val="0008708F"/>
    <w:rsid w:val="00091BC1"/>
    <w:rsid w:val="00091DBD"/>
    <w:rsid w:val="000A094E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316D"/>
    <w:rsid w:val="001E44F3"/>
    <w:rsid w:val="001F053A"/>
    <w:rsid w:val="001F2DA6"/>
    <w:rsid w:val="001F3953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728E"/>
    <w:rsid w:val="00332A87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4DA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387D"/>
    <w:rsid w:val="0051451F"/>
    <w:rsid w:val="0051666F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1866"/>
    <w:rsid w:val="0072436A"/>
    <w:rsid w:val="007325CE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3DCC"/>
    <w:rsid w:val="007F49BD"/>
    <w:rsid w:val="007F6425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9AD"/>
    <w:rsid w:val="00947913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72C1F"/>
    <w:rsid w:val="00A72F5E"/>
    <w:rsid w:val="00A75482"/>
    <w:rsid w:val="00A761B5"/>
    <w:rsid w:val="00A83E5E"/>
    <w:rsid w:val="00A83EC3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358A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F4648"/>
    <w:rsid w:val="00AF4DD3"/>
    <w:rsid w:val="00AF6B78"/>
    <w:rsid w:val="00B01631"/>
    <w:rsid w:val="00B01D80"/>
    <w:rsid w:val="00B05198"/>
    <w:rsid w:val="00B0544B"/>
    <w:rsid w:val="00B06C4C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F9A"/>
    <w:rsid w:val="00BC43E2"/>
    <w:rsid w:val="00BD0917"/>
    <w:rsid w:val="00BD1607"/>
    <w:rsid w:val="00BD45A0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F48"/>
    <w:rsid w:val="00D17215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6BD9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annotation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nhideWhenUsed/>
    <w:rsid w:val="00AC3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58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58A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58A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annotation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nhideWhenUsed/>
    <w:rsid w:val="00AC3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58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58A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58A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9C9F-1A32-4B65-80FD-3D905CE0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Benedicte Boudol</cp:lastModifiedBy>
  <cp:revision>2</cp:revision>
  <cp:lastPrinted>2015-08-26T14:38:00Z</cp:lastPrinted>
  <dcterms:created xsi:type="dcterms:W3CDTF">2015-08-27T08:13:00Z</dcterms:created>
  <dcterms:modified xsi:type="dcterms:W3CDTF">2015-08-27T08:13:00Z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1511534F</vt:lpwstr>
  </property>
  <property fmtid="{D5CDD505-2E9C-101B-9397-08002B2CF9AE}" pid="3" name="ODSRefJobNo">
    <vt:lpwstr>1515369F</vt:lpwstr>
  </property>
  <property fmtid="{D5CDD505-2E9C-101B-9397-08002B2CF9AE}" pid="4" name="Symbol1">
    <vt:lpwstr>ECE/TRANS/WP.29/GRSG/2015/29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10 juillet 2015</vt:lpwstr>
  </property>
  <property fmtid="{D5CDD505-2E9C-101B-9397-08002B2CF9AE}" pid="12" name="Original">
    <vt:lpwstr>anglais</vt:lpwstr>
  </property>
  <property fmtid="{D5CDD505-2E9C-101B-9397-08002B2CF9AE}" pid="13" name="Release Date">
    <vt:lpwstr>260815</vt:lpwstr>
  </property>
</Properties>
</file>