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657335" w:rsidP="001D6AFC">
            <w:pPr>
              <w:jc w:val="right"/>
            </w:pPr>
            <w:r w:rsidRPr="001D6AFC">
              <w:rPr>
                <w:sz w:val="40"/>
              </w:rPr>
              <w:t>ST</w:t>
            </w:r>
            <w:r w:rsidRPr="001D6AFC">
              <w:t>/SG/AC.10/C.4/2016/</w:t>
            </w:r>
            <w:r w:rsidR="001D6AFC" w:rsidRPr="001D6AFC">
              <w:t>17</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657335" w:rsidP="00657335">
            <w:pPr>
              <w:spacing w:before="240" w:line="240" w:lineRule="exact"/>
            </w:pPr>
            <w:r>
              <w:t>Distr.: General</w:t>
            </w:r>
          </w:p>
          <w:p w:rsidR="00657335" w:rsidRDefault="00BD687C" w:rsidP="00657335">
            <w:pPr>
              <w:spacing w:line="240" w:lineRule="exact"/>
            </w:pPr>
            <w:r>
              <w:t>16</w:t>
            </w:r>
            <w:r w:rsidR="00657335" w:rsidRPr="001D6AFC">
              <w:t xml:space="preserve"> September 2016</w:t>
            </w:r>
          </w:p>
          <w:p w:rsidR="00657335" w:rsidRDefault="00657335" w:rsidP="00657335">
            <w:pPr>
              <w:spacing w:line="240" w:lineRule="exact"/>
            </w:pPr>
          </w:p>
          <w:p w:rsidR="00657335" w:rsidRDefault="00657335" w:rsidP="00657335">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3972E0" w:rsidRDefault="00FD3606" w:rsidP="009F0F06">
      <w:pPr>
        <w:spacing w:before="120"/>
        <w:rPr>
          <w:b/>
        </w:rPr>
      </w:pPr>
      <w:r>
        <w:rPr>
          <w:b/>
        </w:rPr>
        <w:t>Thirty-second</w:t>
      </w:r>
      <w:r w:rsidR="009F0F06">
        <w:rPr>
          <w:b/>
        </w:rPr>
        <w:t xml:space="preserve"> </w:t>
      </w:r>
      <w:proofErr w:type="gramStart"/>
      <w:r w:rsidR="009F0F06">
        <w:rPr>
          <w:b/>
        </w:rPr>
        <w:t>session</w:t>
      </w:r>
      <w:proofErr w:type="gramEnd"/>
    </w:p>
    <w:p w:rsidR="009F0F06" w:rsidRDefault="00CF5DB3" w:rsidP="009F0F06">
      <w:r>
        <w:t xml:space="preserve">Geneva, </w:t>
      </w:r>
      <w:r w:rsidR="00FD74C9">
        <w:t>7-</w:t>
      </w:r>
      <w:r w:rsidR="00FD3606">
        <w:t>9 December 2016</w:t>
      </w:r>
    </w:p>
    <w:p w:rsidR="009F0F06" w:rsidRDefault="009F0F06" w:rsidP="009F0F06">
      <w:r>
        <w:t xml:space="preserve">Item </w:t>
      </w:r>
      <w:r w:rsidR="00FD3606">
        <w:t>3 (b)</w:t>
      </w:r>
      <w:r>
        <w:t xml:space="preserve"> of the provisional agenda</w:t>
      </w:r>
    </w:p>
    <w:p w:rsidR="00FD3606" w:rsidRPr="00FD3606" w:rsidRDefault="00FD3606" w:rsidP="009F0F06">
      <w:pPr>
        <w:rPr>
          <w:b/>
        </w:rPr>
      </w:pPr>
      <w:r w:rsidRPr="00FD3606">
        <w:rPr>
          <w:b/>
        </w:rPr>
        <w:t xml:space="preserve">Hazard communication issues: </w:t>
      </w:r>
      <w:r w:rsidR="00FD74C9">
        <w:rPr>
          <w:b/>
        </w:rPr>
        <w:br/>
        <w:t>i</w:t>
      </w:r>
      <w:r w:rsidRPr="00FD3606">
        <w:rPr>
          <w:b/>
        </w:rPr>
        <w:t xml:space="preserve">mprovement of annexes 1 to 3 </w:t>
      </w:r>
    </w:p>
    <w:p w:rsidR="00FD3606" w:rsidRDefault="00FD3606" w:rsidP="009F0F06">
      <w:pPr>
        <w:rPr>
          <w:b/>
        </w:rPr>
      </w:pPr>
      <w:proofErr w:type="gramStart"/>
      <w:r w:rsidRPr="00FD3606">
        <w:rPr>
          <w:b/>
        </w:rPr>
        <w:t>and</w:t>
      </w:r>
      <w:proofErr w:type="gramEnd"/>
      <w:r w:rsidRPr="00FD3606">
        <w:rPr>
          <w:b/>
        </w:rPr>
        <w:t xml:space="preserve"> further rationalization </w:t>
      </w:r>
      <w:r w:rsidR="00FD74C9">
        <w:rPr>
          <w:b/>
        </w:rPr>
        <w:br/>
      </w:r>
      <w:r w:rsidRPr="00FD3606">
        <w:rPr>
          <w:b/>
        </w:rPr>
        <w:t>of precautionary statements</w:t>
      </w:r>
    </w:p>
    <w:p w:rsidR="00DE4121" w:rsidRPr="00B11E5C" w:rsidRDefault="00DE4121" w:rsidP="00DE4121">
      <w:pPr>
        <w:pStyle w:val="HChG"/>
        <w:rPr>
          <w:rFonts w:eastAsia="MS Mincho"/>
          <w:lang w:val="en-US" w:eastAsia="ja-JP"/>
        </w:rPr>
      </w:pPr>
      <w:r>
        <w:rPr>
          <w:rFonts w:eastAsia="MS Mincho"/>
          <w:lang w:val="en-US" w:eastAsia="ja-JP"/>
        </w:rPr>
        <w:tab/>
      </w:r>
      <w:r>
        <w:rPr>
          <w:rFonts w:eastAsia="MS Mincho"/>
          <w:lang w:val="en-US" w:eastAsia="ja-JP"/>
        </w:rPr>
        <w:tab/>
        <w:t>Proposed changes to sections 2 and 3 of Annex 3 of the GHS</w:t>
      </w:r>
    </w:p>
    <w:p w:rsidR="00DE4121" w:rsidRDefault="00DE4121" w:rsidP="00DE4121">
      <w:pPr>
        <w:pStyle w:val="H1G"/>
      </w:pPr>
      <w:r>
        <w:tab/>
      </w:r>
      <w:r>
        <w:tab/>
        <w:t>Transmitted by the expert from the United Kingdom on behalf of the correspondence group on improving annexes 1, 2 and 3 of the GHS</w:t>
      </w:r>
      <w:r w:rsidR="00FD261F">
        <w:rPr>
          <w:rStyle w:val="FootnoteReference"/>
        </w:rPr>
        <w:footnoteReference w:id="2"/>
      </w:r>
    </w:p>
    <w:p w:rsidR="00DE4121" w:rsidRDefault="00DE4121" w:rsidP="00DE4121">
      <w:pPr>
        <w:pStyle w:val="HChG"/>
        <w:spacing w:before="240"/>
        <w:rPr>
          <w:rFonts w:eastAsia="MS Mincho"/>
          <w:sz w:val="20"/>
        </w:rPr>
      </w:pPr>
      <w:r>
        <w:rPr>
          <w:rFonts w:eastAsia="MS Mincho"/>
        </w:rPr>
        <w:tab/>
      </w:r>
      <w:r>
        <w:rPr>
          <w:rFonts w:eastAsia="MS Mincho"/>
        </w:rPr>
        <w:tab/>
        <w:t>Background</w:t>
      </w:r>
    </w:p>
    <w:p w:rsidR="00DE4121" w:rsidRPr="00DE4121" w:rsidRDefault="00DE4121" w:rsidP="00DE4121">
      <w:pPr>
        <w:pStyle w:val="SingleTxtG"/>
      </w:pPr>
      <w:r w:rsidRPr="00DE4121">
        <w:t>1.</w:t>
      </w:r>
      <w:r w:rsidRPr="00DE4121">
        <w:tab/>
        <w:t>In line with its mandate for the 2015-16 biennium</w:t>
      </w:r>
      <w:r>
        <w:rPr>
          <w:rStyle w:val="FootnoteReference"/>
        </w:rPr>
        <w:footnoteReference w:id="3"/>
      </w:r>
      <w:r w:rsidRPr="00DE4121">
        <w:t xml:space="preserve"> the correspondence group has taken forward work under its </w:t>
      </w:r>
      <w:proofErr w:type="spellStart"/>
      <w:r w:rsidRPr="00DE4121">
        <w:t>Workstream</w:t>
      </w:r>
      <w:proofErr w:type="spellEnd"/>
      <w:r w:rsidRPr="00DE4121">
        <w:t xml:space="preserve"> 2: </w:t>
      </w:r>
      <w:r w:rsidR="00C53CC9">
        <w:t>“</w:t>
      </w:r>
      <w:r w:rsidRPr="00DE4121">
        <w:t>to consider giving more freedom to labelling practitioners and/or enforcement authorities in assigning precautionary statements and in the precise wording used in precautionary statements, including, to consider whether to address minor linguistic variations in hazard and precautionary statements which do not affect the obvious meaning of these statements and, if appropriate, to develop proposals.</w:t>
      </w:r>
      <w:r w:rsidR="00C53CC9">
        <w:t>”</w:t>
      </w:r>
      <w:r w:rsidRPr="00DE4121">
        <w:t xml:space="preserve"> </w:t>
      </w:r>
    </w:p>
    <w:p w:rsidR="00DE4121" w:rsidRPr="00DE4121" w:rsidRDefault="00DE4121" w:rsidP="00DE4121">
      <w:pPr>
        <w:pStyle w:val="SingleTxtG"/>
      </w:pPr>
      <w:r w:rsidRPr="00DE4121">
        <w:t>2.</w:t>
      </w:r>
      <w:r w:rsidRPr="00DE4121">
        <w:tab/>
        <w:t xml:space="preserve">This paper builds on </w:t>
      </w:r>
      <w:r w:rsidR="00FD261F">
        <w:t xml:space="preserve">informal document INF.17 </w:t>
      </w:r>
      <w:r w:rsidR="00C53CC9">
        <w:t>(</w:t>
      </w:r>
      <w:r w:rsidR="00D16E14">
        <w:t>thirtieth</w:t>
      </w:r>
      <w:r w:rsidR="00C53CC9">
        <w:t xml:space="preserve"> session) </w:t>
      </w:r>
      <w:r w:rsidRPr="00DE4121">
        <w:t xml:space="preserve">and presents the outcomes of the work of the </w:t>
      </w:r>
      <w:r w:rsidR="00C53CC9">
        <w:t>c</w:t>
      </w:r>
      <w:r w:rsidRPr="00DE4121">
        <w:t xml:space="preserve">orrespondence </w:t>
      </w:r>
      <w:r w:rsidR="00C53CC9">
        <w:t>g</w:t>
      </w:r>
      <w:r w:rsidRPr="00DE4121">
        <w:t xml:space="preserve">roup in the form of a draft proposal to amend </w:t>
      </w:r>
      <w:r w:rsidR="001E5604">
        <w:t>s</w:t>
      </w:r>
      <w:r w:rsidRPr="00DE4121">
        <w:t>ections 2 and 3 of Annex 3 of the GHS.</w:t>
      </w:r>
    </w:p>
    <w:p w:rsidR="00DE4121" w:rsidRPr="00883434" w:rsidRDefault="00DE4121" w:rsidP="00DE4121">
      <w:pPr>
        <w:pStyle w:val="HChG"/>
        <w:rPr>
          <w:rFonts w:eastAsia="MS Mincho"/>
        </w:rPr>
      </w:pPr>
      <w:r>
        <w:rPr>
          <w:rFonts w:eastAsia="MS Mincho"/>
        </w:rPr>
        <w:lastRenderedPageBreak/>
        <w:tab/>
      </w:r>
      <w:r w:rsidR="00063F75">
        <w:rPr>
          <w:rFonts w:eastAsia="MS Mincho"/>
        </w:rPr>
        <w:tab/>
        <w:t>Scope of the p</w:t>
      </w:r>
      <w:r>
        <w:rPr>
          <w:rFonts w:eastAsia="MS Mincho"/>
        </w:rPr>
        <w:t>roposal</w:t>
      </w:r>
    </w:p>
    <w:p w:rsidR="00DE4121" w:rsidRPr="00DE4121" w:rsidRDefault="00E72365" w:rsidP="00DE4121">
      <w:pPr>
        <w:pStyle w:val="SingleTxtG"/>
      </w:pPr>
      <w:r>
        <w:t>3</w:t>
      </w:r>
      <w:r w:rsidR="00DE4121" w:rsidRPr="00DE4121">
        <w:t>.</w:t>
      </w:r>
      <w:r w:rsidR="00DE4121" w:rsidRPr="00DE4121">
        <w:tab/>
        <w:t>The proposal:</w:t>
      </w:r>
    </w:p>
    <w:p w:rsidR="00C25EB6" w:rsidRDefault="00DE4121" w:rsidP="00DE4121">
      <w:pPr>
        <w:pStyle w:val="SingleTxtG"/>
        <w:ind w:left="2268" w:hanging="567"/>
      </w:pPr>
      <w:r w:rsidRPr="00DE4121">
        <w:t>(a)</w:t>
      </w:r>
      <w:r w:rsidRPr="00DE4121">
        <w:tab/>
        <w:t xml:space="preserve">Makes a number of changes to the </w:t>
      </w:r>
      <w:r w:rsidR="007B004B">
        <w:t>t</w:t>
      </w:r>
      <w:r w:rsidR="007B004B" w:rsidRPr="00DE4121">
        <w:t xml:space="preserve">ables </w:t>
      </w:r>
      <w:r w:rsidRPr="00DE4121">
        <w:t>in Section 2 of Annex 3 of the GHS</w:t>
      </w:r>
      <w:r w:rsidR="00885989">
        <w:t>, for some precautionary statements</w:t>
      </w:r>
      <w:r w:rsidRPr="007B004B">
        <w:t>.</w:t>
      </w:r>
      <w:r w:rsidR="00885989" w:rsidRPr="007B004B">
        <w:t xml:space="preserve"> </w:t>
      </w:r>
    </w:p>
    <w:p w:rsidR="00885989" w:rsidRDefault="00885989" w:rsidP="00885989">
      <w:pPr>
        <w:pStyle w:val="SingleTxtG"/>
        <w:ind w:left="2268" w:hanging="567"/>
      </w:pPr>
      <w:r>
        <w:t>(b)</w:t>
      </w:r>
      <w:r>
        <w:tab/>
        <w:t>Provides new text in Section 3 of Annex 3 “</w:t>
      </w:r>
      <w:r w:rsidR="00F676A9">
        <w:t>Use of p</w:t>
      </w:r>
      <w:r>
        <w:t xml:space="preserve">recautionary </w:t>
      </w:r>
      <w:r w:rsidR="00F676A9">
        <w:t>s</w:t>
      </w:r>
      <w:r>
        <w:t>tatements” to:</w:t>
      </w:r>
    </w:p>
    <w:p w:rsidR="00885989" w:rsidRDefault="00885989" w:rsidP="00885989">
      <w:pPr>
        <w:pStyle w:val="SingleTxtG"/>
        <w:ind w:left="2835" w:hanging="567"/>
      </w:pPr>
      <w:r>
        <w:t>(</w:t>
      </w:r>
      <w:proofErr w:type="spellStart"/>
      <w:r>
        <w:t>i</w:t>
      </w:r>
      <w:proofErr w:type="spellEnd"/>
      <w:r>
        <w:t>)</w:t>
      </w:r>
      <w:r>
        <w:tab/>
      </w:r>
      <w:proofErr w:type="gramStart"/>
      <w:r w:rsidR="00BD687C">
        <w:t>r</w:t>
      </w:r>
      <w:r w:rsidRPr="00B34046">
        <w:t>estructure</w:t>
      </w:r>
      <w:proofErr w:type="gramEnd"/>
      <w:r w:rsidRPr="00B34046">
        <w:t xml:space="preserve"> the existing text (currently A3.3.1 to A3.3.5) to improve clarity without substantive loss of conte</w:t>
      </w:r>
      <w:r>
        <w:t xml:space="preserve">nt.  Under the heading </w:t>
      </w:r>
      <w:r w:rsidR="00F676A9">
        <w:t>“</w:t>
      </w:r>
      <w:r>
        <w:t>General p</w:t>
      </w:r>
      <w:r w:rsidRPr="00B34046">
        <w:t xml:space="preserve">recautionary </w:t>
      </w:r>
      <w:r>
        <w:t>measure</w:t>
      </w:r>
      <w:r w:rsidRPr="00B34046">
        <w:t>s</w:t>
      </w:r>
      <w:r w:rsidR="00F676A9">
        <w:t>”</w:t>
      </w:r>
      <w:r w:rsidRPr="00B34046">
        <w:t xml:space="preserve"> reference is now made to the general precautionary statements in Table A3.2.1, i.e. P101, P102 and P103, and to their use on consumer product labels as appropriate.  The text also makes reference to the different sources of information available for consumers and for employers/workers; and</w:t>
      </w:r>
    </w:p>
    <w:p w:rsidR="00885989" w:rsidRDefault="00885989" w:rsidP="00885989">
      <w:pPr>
        <w:pStyle w:val="SingleTxtG"/>
        <w:ind w:left="2835" w:hanging="567"/>
      </w:pPr>
      <w:r>
        <w:t>(ii)</w:t>
      </w:r>
      <w:r>
        <w:tab/>
      </w:r>
      <w:proofErr w:type="gramStart"/>
      <w:r w:rsidR="00BD687C">
        <w:t>a</w:t>
      </w:r>
      <w:r w:rsidRPr="00B34046">
        <w:t>dd</w:t>
      </w:r>
      <w:proofErr w:type="gramEnd"/>
      <w:r w:rsidRPr="00B34046">
        <w:t xml:space="preserve"> new text under the </w:t>
      </w:r>
      <w:r>
        <w:t xml:space="preserve">sub-heading </w:t>
      </w:r>
      <w:r w:rsidR="003B5A5E">
        <w:t>“</w:t>
      </w:r>
      <w:r>
        <w:t>Flexibility in the use of precautionary s</w:t>
      </w:r>
      <w:r w:rsidRPr="00B34046">
        <w:t>tatements</w:t>
      </w:r>
      <w:r w:rsidR="003B5A5E">
        <w:t>”</w:t>
      </w:r>
      <w:r w:rsidRPr="00B34046">
        <w:t>.  The new text encourages more concise, pertinent application of precautionary statements on the label. In particular, text has been added on omitting unnecessary statements, combining statements, allowing minor linguistic variations and prioritising medical response statements.</w:t>
      </w:r>
    </w:p>
    <w:p w:rsidR="00885989" w:rsidRDefault="00885989" w:rsidP="00885989">
      <w:pPr>
        <w:pStyle w:val="SingleTxtG"/>
        <w:ind w:left="2268" w:hanging="567"/>
      </w:pPr>
      <w:r>
        <w:t>(c</w:t>
      </w:r>
      <w:r w:rsidRPr="00302E60">
        <w:t>)</w:t>
      </w:r>
      <w:r w:rsidRPr="00302E60">
        <w:tab/>
      </w:r>
      <w:r>
        <w:t>Reformats</w:t>
      </w:r>
      <w:r w:rsidRPr="00302E60">
        <w:t xml:space="preserve"> A3.3.5 </w:t>
      </w:r>
      <w:r w:rsidR="003B5A5E">
        <w:t>“</w:t>
      </w:r>
      <w:r w:rsidRPr="00302E60">
        <w:t>Matrix of precautionary statements by hazard class/category</w:t>
      </w:r>
      <w:r w:rsidR="003B5A5E">
        <w:t>”</w:t>
      </w:r>
      <w:r w:rsidRPr="00302E60">
        <w:t xml:space="preserve">, </w:t>
      </w:r>
      <w:r>
        <w:t xml:space="preserve">in Section 3 of Annex 3 </w:t>
      </w:r>
      <w:r w:rsidRPr="00302E60">
        <w:t xml:space="preserve">to consolidate hazard categories where the precautionary statements are the same but other hazard communication varies. </w:t>
      </w:r>
      <w:r>
        <w:t>The new layout p</w:t>
      </w:r>
      <w:r w:rsidRPr="00BA2C7D">
        <w:t>rovides a consistent presentation for each hazard category of all the label elements, giving in one line symbol (</w:t>
      </w:r>
      <w:r>
        <w:t>symbol and description), signal word and</w:t>
      </w:r>
      <w:r w:rsidRPr="00BA2C7D">
        <w:t xml:space="preserve"> hazard statements (code and text), followed by the precautionary statements (cod</w:t>
      </w:r>
      <w:r>
        <w:t>e and text)</w:t>
      </w:r>
      <w:r w:rsidRPr="00BA2C7D">
        <w:t>. This gives a better overview of how all the label elements reflect changes in hazard severity.</w:t>
      </w:r>
      <w:r w:rsidRPr="00026C42">
        <w:t xml:space="preserve"> </w:t>
      </w:r>
    </w:p>
    <w:p w:rsidR="00885989" w:rsidRPr="00302E60" w:rsidRDefault="00885989" w:rsidP="00885989">
      <w:pPr>
        <w:pStyle w:val="HChG"/>
        <w:spacing w:before="240"/>
        <w:rPr>
          <w:rFonts w:eastAsia="MS Mincho"/>
        </w:rPr>
      </w:pPr>
      <w:r w:rsidRPr="00302E60">
        <w:rPr>
          <w:rFonts w:eastAsia="MS Mincho"/>
        </w:rPr>
        <w:tab/>
      </w:r>
      <w:r w:rsidRPr="00302E60">
        <w:rPr>
          <w:rFonts w:eastAsia="MS Mincho"/>
        </w:rPr>
        <w:tab/>
        <w:t>Action requested</w:t>
      </w:r>
    </w:p>
    <w:p w:rsidR="00885989" w:rsidRPr="005C3F86" w:rsidRDefault="00E72365" w:rsidP="001857C9">
      <w:pPr>
        <w:pStyle w:val="SingleTxtG"/>
      </w:pPr>
      <w:r>
        <w:t>4</w:t>
      </w:r>
      <w:r w:rsidR="00885989" w:rsidRPr="005C3F86">
        <w:t>.</w:t>
      </w:r>
      <w:r w:rsidR="00885989" w:rsidRPr="005C3F86">
        <w:tab/>
        <w:t>The Sub-Committee is invited to approve the proposed changes to Annex 3 of the GHS</w:t>
      </w:r>
      <w:r w:rsidR="005C3F86" w:rsidRPr="005C3F86">
        <w:t xml:space="preserve"> listed in paragraphs </w:t>
      </w:r>
      <w:r w:rsidR="00F90442">
        <w:t>7</w:t>
      </w:r>
      <w:r w:rsidR="005C3F86" w:rsidRPr="005C3F86">
        <w:t xml:space="preserve"> to </w:t>
      </w:r>
      <w:r w:rsidR="00F90442">
        <w:t>9</w:t>
      </w:r>
      <w:r w:rsidR="005C3F86" w:rsidRPr="005C3F86">
        <w:t xml:space="preserve"> below</w:t>
      </w:r>
      <w:r w:rsidR="00885989" w:rsidRPr="005C3F86">
        <w:t>. In particular:</w:t>
      </w:r>
    </w:p>
    <w:p w:rsidR="00C25EB6" w:rsidRPr="00207A8A" w:rsidRDefault="00F676A9" w:rsidP="005C3F86">
      <w:pPr>
        <w:pStyle w:val="SingleTxtG"/>
        <w:ind w:left="2268" w:hanging="567"/>
      </w:pPr>
      <w:r w:rsidRPr="00207A8A">
        <w:t>(a)</w:t>
      </w:r>
      <w:r w:rsidRPr="00207A8A">
        <w:tab/>
      </w:r>
      <w:r w:rsidR="001E5604" w:rsidRPr="00207A8A">
        <w:t>Amendments to</w:t>
      </w:r>
      <w:r w:rsidR="00885989" w:rsidRPr="00207A8A">
        <w:t xml:space="preserve"> precautionary statement</w:t>
      </w:r>
      <w:r w:rsidR="001E5604" w:rsidRPr="00207A8A">
        <w:t xml:space="preserve"> table</w:t>
      </w:r>
      <w:r w:rsidR="008B1F7D" w:rsidRPr="00207A8A">
        <w:t>s</w:t>
      </w:r>
      <w:r w:rsidR="00885989" w:rsidRPr="00207A8A">
        <w:t xml:space="preserve"> in Section 2</w:t>
      </w:r>
      <w:r w:rsidR="005C3F86" w:rsidRPr="00207A8A">
        <w:t xml:space="preserve"> (refer to paragraph </w:t>
      </w:r>
      <w:r w:rsidR="00F90442">
        <w:t>7</w:t>
      </w:r>
      <w:r w:rsidR="005C3F86" w:rsidRPr="00207A8A">
        <w:t>)</w:t>
      </w:r>
      <w:r w:rsidR="00F90442">
        <w:t>;</w:t>
      </w:r>
    </w:p>
    <w:p w:rsidR="00C25EB6" w:rsidRPr="00207A8A" w:rsidRDefault="00F676A9" w:rsidP="005C3F86">
      <w:pPr>
        <w:pStyle w:val="SingleTxtG"/>
        <w:ind w:left="2268" w:hanging="567"/>
      </w:pPr>
      <w:r w:rsidRPr="00207A8A">
        <w:t>(b)</w:t>
      </w:r>
      <w:r w:rsidR="005C3F86" w:rsidRPr="00207A8A">
        <w:tab/>
      </w:r>
      <w:r w:rsidR="00885989" w:rsidRPr="00207A8A">
        <w:t>New text on use of precautionary statements in Section 3</w:t>
      </w:r>
      <w:r w:rsidR="005C3F86" w:rsidRPr="00207A8A">
        <w:t xml:space="preserve"> (refer to paragrap</w:t>
      </w:r>
      <w:r w:rsidR="00F90442">
        <w:t>h 8</w:t>
      </w:r>
      <w:r w:rsidR="005C3F86" w:rsidRPr="00207A8A">
        <w:t>)</w:t>
      </w:r>
      <w:r w:rsidR="00F90442">
        <w:t>;</w:t>
      </w:r>
    </w:p>
    <w:p w:rsidR="00885989" w:rsidRPr="005C3F86" w:rsidRDefault="00F676A9" w:rsidP="005C3F86">
      <w:pPr>
        <w:pStyle w:val="SingleTxtG"/>
        <w:ind w:left="2268" w:hanging="567"/>
      </w:pPr>
      <w:r w:rsidRPr="00207A8A">
        <w:t>(c)</w:t>
      </w:r>
      <w:r w:rsidRPr="00207A8A">
        <w:tab/>
      </w:r>
      <w:r w:rsidR="00885989" w:rsidRPr="00207A8A">
        <w:t>New presentation for the precautionary statement matrix in Section 3</w:t>
      </w:r>
      <w:r w:rsidR="005C3F86" w:rsidRPr="00207A8A">
        <w:t xml:space="preserve"> (refer to paragraph </w:t>
      </w:r>
      <w:r w:rsidR="00F90442">
        <w:t>9</w:t>
      </w:r>
      <w:r w:rsidR="005C3F86" w:rsidRPr="00207A8A">
        <w:t>)</w:t>
      </w:r>
      <w:r w:rsidR="00F90442">
        <w:t>.</w:t>
      </w:r>
    </w:p>
    <w:p w:rsidR="00885989" w:rsidRDefault="003B5A5E" w:rsidP="00475E36">
      <w:pPr>
        <w:pStyle w:val="HChG"/>
        <w:spacing w:before="240"/>
        <w:rPr>
          <w:rFonts w:eastAsia="MS Mincho"/>
        </w:rPr>
      </w:pPr>
      <w:r>
        <w:rPr>
          <w:rFonts w:eastAsia="MS Mincho"/>
        </w:rPr>
        <w:tab/>
      </w:r>
      <w:r>
        <w:rPr>
          <w:rFonts w:eastAsia="MS Mincho"/>
        </w:rPr>
        <w:tab/>
      </w:r>
      <w:r w:rsidRPr="00475E36">
        <w:rPr>
          <w:rFonts w:eastAsia="MS Mincho"/>
        </w:rPr>
        <w:t>Proposal</w:t>
      </w:r>
    </w:p>
    <w:p w:rsidR="00063F75" w:rsidRDefault="00E72365" w:rsidP="00063F75">
      <w:pPr>
        <w:pStyle w:val="SingleTxtG"/>
      </w:pPr>
      <w:r>
        <w:t>5</w:t>
      </w:r>
      <w:r w:rsidR="00063F75" w:rsidRPr="009254AC">
        <w:t xml:space="preserve">. </w:t>
      </w:r>
      <w:r w:rsidR="00063F75" w:rsidRPr="009254AC">
        <w:tab/>
        <w:t xml:space="preserve">The list of amendments to Annex 3 of the GHS is provided in </w:t>
      </w:r>
      <w:r w:rsidR="00063F75">
        <w:t xml:space="preserve">paragraphs </w:t>
      </w:r>
      <w:r w:rsidR="00F90442">
        <w:t>7</w:t>
      </w:r>
      <w:r w:rsidR="00063F75">
        <w:t xml:space="preserve"> to </w:t>
      </w:r>
      <w:r w:rsidR="00F90442">
        <w:t>9 </w:t>
      </w:r>
      <w:r w:rsidR="008058CA">
        <w:t>below.</w:t>
      </w:r>
    </w:p>
    <w:p w:rsidR="00FD74C9" w:rsidRDefault="00FD74C9">
      <w:pPr>
        <w:suppressAutoHyphens w:val="0"/>
        <w:spacing w:line="240" w:lineRule="auto"/>
      </w:pPr>
      <w:r>
        <w:br w:type="page"/>
      </w:r>
    </w:p>
    <w:p w:rsidR="00063F75" w:rsidRPr="009254AC" w:rsidRDefault="00E72365" w:rsidP="00063F75">
      <w:pPr>
        <w:pStyle w:val="SingleTxtG"/>
      </w:pPr>
      <w:r>
        <w:lastRenderedPageBreak/>
        <w:t>6</w:t>
      </w:r>
      <w:r w:rsidR="00063F75" w:rsidRPr="009254AC">
        <w:t xml:space="preserve">. </w:t>
      </w:r>
      <w:r w:rsidR="00063F75" w:rsidRPr="009254AC">
        <w:tab/>
        <w:t>For practical reasons, marked-up copies of the changes to the current text in Annex 3 of the GHS are circulated separately</w:t>
      </w:r>
      <w:r w:rsidR="00F90442">
        <w:t>, in formal documents,</w:t>
      </w:r>
      <w:r w:rsidR="00063F75" w:rsidRPr="009254AC">
        <w:t xml:space="preserve"> as follows:</w:t>
      </w:r>
    </w:p>
    <w:p w:rsidR="00063F75" w:rsidRPr="009254AC" w:rsidRDefault="00063F75" w:rsidP="00AF7932">
      <w:pPr>
        <w:pStyle w:val="SingleTxtG"/>
        <w:keepNext/>
        <w:keepLines/>
        <w:ind w:left="2268" w:hanging="567"/>
      </w:pPr>
      <w:r w:rsidRPr="00207A8A">
        <w:t>(a)</w:t>
      </w:r>
      <w:r w:rsidRPr="00207A8A">
        <w:tab/>
        <w:t>INF.</w:t>
      </w:r>
      <w:r w:rsidR="00207A8A" w:rsidRPr="00207A8A">
        <w:t>3</w:t>
      </w:r>
      <w:r w:rsidRPr="00207A8A">
        <w:t>: Changes to Annex 3, Section 2</w:t>
      </w:r>
    </w:p>
    <w:p w:rsidR="00063F75" w:rsidRPr="00207A8A" w:rsidRDefault="00063F75" w:rsidP="00063F75">
      <w:pPr>
        <w:pStyle w:val="SingleTxtG"/>
        <w:ind w:left="2268" w:hanging="567"/>
      </w:pPr>
      <w:r w:rsidRPr="00207A8A">
        <w:t>(b)</w:t>
      </w:r>
      <w:r w:rsidRPr="00207A8A">
        <w:tab/>
        <w:t>INF.</w:t>
      </w:r>
      <w:r w:rsidR="00207A8A" w:rsidRPr="00207A8A">
        <w:t>3</w:t>
      </w:r>
      <w:r w:rsidRPr="00207A8A">
        <w:t>/Add.1: Changes to Annex 3, Section 3 (introductory text)</w:t>
      </w:r>
    </w:p>
    <w:p w:rsidR="00063F75" w:rsidRPr="00DE4121" w:rsidRDefault="00063F75" w:rsidP="00063F75">
      <w:pPr>
        <w:pStyle w:val="SingleTxtG"/>
        <w:ind w:left="2268" w:hanging="567"/>
      </w:pPr>
      <w:r w:rsidRPr="00207A8A">
        <w:t>(</w:t>
      </w:r>
      <w:proofErr w:type="gramStart"/>
      <w:r w:rsidRPr="00207A8A">
        <w:t>c</w:t>
      </w:r>
      <w:proofErr w:type="gramEnd"/>
      <w:r w:rsidRPr="00207A8A">
        <w:t>)</w:t>
      </w:r>
      <w:r w:rsidRPr="00207A8A">
        <w:tab/>
        <w:t>INF.</w:t>
      </w:r>
      <w:r w:rsidR="00207A8A" w:rsidRPr="00207A8A">
        <w:t>3</w:t>
      </w:r>
      <w:r w:rsidRPr="00207A8A">
        <w:t>/Add.2: Changes to Annex 3, Section 3, lay-out of the matrix tables under A3.3.5</w:t>
      </w:r>
      <w:r w:rsidR="00D64430" w:rsidRPr="00207A8A">
        <w:t xml:space="preserve"> and </w:t>
      </w:r>
      <w:r w:rsidR="001E5604" w:rsidRPr="00207A8A">
        <w:t>consequential changes for consist</w:t>
      </w:r>
      <w:r w:rsidR="00A82339">
        <w:t>ency with amendments to Annex 3</w:t>
      </w:r>
      <w:r w:rsidR="001E5604" w:rsidRPr="00207A8A">
        <w:t xml:space="preserve"> Section 2.</w:t>
      </w:r>
    </w:p>
    <w:p w:rsidR="00F90442" w:rsidRDefault="00063F75" w:rsidP="00F90442">
      <w:pPr>
        <w:pStyle w:val="H1G"/>
        <w:rPr>
          <w:rFonts w:eastAsia="MS Mincho"/>
        </w:rPr>
      </w:pPr>
      <w:r>
        <w:rPr>
          <w:rFonts w:eastAsia="MS Mincho"/>
        </w:rPr>
        <w:tab/>
      </w:r>
      <w:r w:rsidR="005E48D1">
        <w:rPr>
          <w:rFonts w:eastAsia="MS Mincho"/>
        </w:rPr>
        <w:tab/>
      </w:r>
      <w:r w:rsidR="00F90442">
        <w:rPr>
          <w:rFonts w:eastAsia="MS Mincho"/>
        </w:rPr>
        <w:t>Annex 3, Section 2</w:t>
      </w:r>
    </w:p>
    <w:p w:rsidR="005E48D1" w:rsidRPr="00F90442" w:rsidRDefault="00F90442" w:rsidP="005E48D1">
      <w:pPr>
        <w:pStyle w:val="H23G"/>
        <w:rPr>
          <w:rFonts w:eastAsia="MS Mincho"/>
          <w:b w:val="0"/>
        </w:rPr>
      </w:pPr>
      <w:r w:rsidRPr="00F90442">
        <w:rPr>
          <w:rFonts w:eastAsia="MS Mincho"/>
          <w:b w:val="0"/>
        </w:rPr>
        <w:tab/>
      </w:r>
      <w:r w:rsidRPr="00F90442">
        <w:rPr>
          <w:rFonts w:eastAsia="MS Mincho"/>
          <w:b w:val="0"/>
        </w:rPr>
        <w:tab/>
        <w:t>7.</w:t>
      </w:r>
      <w:r w:rsidRPr="00F90442">
        <w:rPr>
          <w:rFonts w:eastAsia="MS Mincho"/>
          <w:b w:val="0"/>
        </w:rPr>
        <w:tab/>
      </w:r>
      <w:r>
        <w:rPr>
          <w:rFonts w:eastAsia="MS Mincho"/>
          <w:b w:val="0"/>
        </w:rPr>
        <w:t xml:space="preserve">Amend tables A3.2.1, A3.2.2, A3.2.3 and A3.2.5 as follows: </w:t>
      </w:r>
    </w:p>
    <w:p w:rsidR="00466CC4" w:rsidRDefault="00466CC4" w:rsidP="00475E36">
      <w:pPr>
        <w:pStyle w:val="H23G"/>
      </w:pPr>
      <w:r>
        <w:rPr>
          <w:rFonts w:eastAsia="MS Mincho"/>
        </w:rPr>
        <w:tab/>
      </w:r>
      <w:r w:rsidR="00297A22">
        <w:rPr>
          <w:rFonts w:eastAsia="MS Mincho"/>
        </w:rPr>
        <w:tab/>
      </w:r>
      <w:r w:rsidR="00297A22">
        <w:rPr>
          <w:rFonts w:eastAsia="MS Mincho"/>
        </w:rPr>
        <w:tab/>
      </w:r>
      <w:r w:rsidR="00297A22">
        <w:t>Table A3.2.1:</w:t>
      </w:r>
    </w:p>
    <w:p w:rsidR="00297A22" w:rsidRDefault="00297A22" w:rsidP="00297A22">
      <w:pPr>
        <w:pStyle w:val="Bullet1G"/>
        <w:tabs>
          <w:tab w:val="clear" w:pos="1701"/>
        </w:tabs>
        <w:ind w:left="1985" w:hanging="284"/>
        <w:rPr>
          <w:rFonts w:eastAsia="MS Mincho"/>
          <w:b/>
        </w:rPr>
      </w:pPr>
      <w:r w:rsidRPr="00297A22">
        <w:rPr>
          <w:rFonts w:eastAsia="MS Mincho"/>
          <w:b/>
        </w:rPr>
        <w:t>P103</w:t>
      </w:r>
    </w:p>
    <w:p w:rsidR="00297A22" w:rsidRDefault="0088766E" w:rsidP="00475E36">
      <w:pPr>
        <w:pStyle w:val="SingleTxtG"/>
        <w:ind w:left="1985"/>
      </w:pPr>
      <w:r w:rsidRPr="008F750F">
        <w:rPr>
          <w:rFonts w:eastAsia="MS Mincho"/>
        </w:rPr>
        <w:t xml:space="preserve">Amend </w:t>
      </w:r>
      <w:r>
        <w:rPr>
          <w:rFonts w:eastAsia="MS Mincho"/>
        </w:rPr>
        <w:t xml:space="preserve">the text in column (2) </w:t>
      </w:r>
      <w:r w:rsidRPr="008F750F">
        <w:rPr>
          <w:rFonts w:eastAsia="MS Mincho"/>
        </w:rPr>
        <w:t>to read</w:t>
      </w:r>
      <w:r>
        <w:rPr>
          <w:rFonts w:eastAsia="MS Mincho"/>
        </w:rPr>
        <w:t xml:space="preserve"> as follows</w:t>
      </w:r>
      <w:r w:rsidR="00CE01FA">
        <w:rPr>
          <w:rFonts w:eastAsia="MS Mincho"/>
        </w:rPr>
        <w:t xml:space="preserve">: </w:t>
      </w:r>
      <w:r w:rsidR="00297A22">
        <w:t>“</w:t>
      </w:r>
      <w:r w:rsidR="00297A22" w:rsidRPr="00CE01FA">
        <w:t>Read carefully and follow all instructions.</w:t>
      </w:r>
      <w:r w:rsidR="00297A22">
        <w:t>”</w:t>
      </w:r>
    </w:p>
    <w:p w:rsidR="00297A22" w:rsidRPr="001A08E4" w:rsidRDefault="00297A22" w:rsidP="00475E36">
      <w:pPr>
        <w:pStyle w:val="SingleTxtG"/>
        <w:ind w:left="1985"/>
      </w:pPr>
      <w:r w:rsidRPr="00475E36">
        <w:rPr>
          <w:i/>
          <w:u w:val="single"/>
        </w:rPr>
        <w:t>Justification</w:t>
      </w:r>
      <w:r w:rsidRPr="001A08E4">
        <w:t xml:space="preserve">: The </w:t>
      </w:r>
      <w:r w:rsidR="00CE01FA" w:rsidRPr="001A08E4">
        <w:t>current P103, “</w:t>
      </w:r>
      <w:r w:rsidRPr="001A08E4">
        <w:t>Read label before use</w:t>
      </w:r>
      <w:r w:rsidR="00CE01FA" w:rsidRPr="001A08E4">
        <w:t>”</w:t>
      </w:r>
      <w:r w:rsidRPr="001A08E4">
        <w:t>, adds little value to the user. The new statement makes the reason for reading the label clearer for the consumer.</w:t>
      </w:r>
    </w:p>
    <w:p w:rsidR="00297A22" w:rsidRPr="00475E36" w:rsidRDefault="00297A22" w:rsidP="001A08E4">
      <w:pPr>
        <w:pStyle w:val="SingleTxtG"/>
        <w:ind w:left="1985"/>
        <w:rPr>
          <w:rFonts w:eastAsia="MS Mincho"/>
          <w:i/>
        </w:rPr>
      </w:pPr>
      <w:r w:rsidRPr="001A08E4">
        <w:t xml:space="preserve">Add </w:t>
      </w:r>
      <w:r w:rsidR="00B45987" w:rsidRPr="001A08E4">
        <w:t xml:space="preserve">the </w:t>
      </w:r>
      <w:r w:rsidR="0088766E" w:rsidRPr="001A08E4">
        <w:t xml:space="preserve">following </w:t>
      </w:r>
      <w:r w:rsidRPr="001A08E4">
        <w:t>new condition for use</w:t>
      </w:r>
      <w:r w:rsidR="0088766E" w:rsidRPr="0088766E">
        <w:t xml:space="preserve"> </w:t>
      </w:r>
      <w:r w:rsidR="0088766E" w:rsidRPr="001A08E4">
        <w:t>in column (5) below “Consumer products”</w:t>
      </w:r>
      <w:r w:rsidRPr="001A08E4">
        <w:t xml:space="preserve">: </w:t>
      </w:r>
      <w:r w:rsidR="00CE01FA" w:rsidRPr="001A08E4">
        <w:rPr>
          <w:i/>
        </w:rPr>
        <w:t>“</w:t>
      </w:r>
      <w:r w:rsidRPr="001A08E4">
        <w:rPr>
          <w:i/>
        </w:rPr>
        <w:t>- omit where P202 is used.</w:t>
      </w:r>
      <w:r w:rsidR="00CE01FA" w:rsidRPr="001A08E4">
        <w:rPr>
          <w:i/>
        </w:rPr>
        <w:t>”</w:t>
      </w:r>
    </w:p>
    <w:p w:rsidR="00CE01FA" w:rsidRPr="001A08E4" w:rsidRDefault="00CE01FA" w:rsidP="00475E36">
      <w:pPr>
        <w:pStyle w:val="SingleTxtG"/>
        <w:ind w:left="1985"/>
      </w:pPr>
      <w:r w:rsidRPr="00475E36">
        <w:rPr>
          <w:i/>
          <w:u w:val="single"/>
        </w:rPr>
        <w:t>Justification</w:t>
      </w:r>
      <w:r w:rsidRPr="001A08E4">
        <w:t>: P202, “Do not handle until all safety precautions have been read and understood”, is a more specific and appropriate statement than P103 for the hazards which trigger it.</w:t>
      </w:r>
    </w:p>
    <w:p w:rsidR="00CE01FA" w:rsidRDefault="00CE01FA" w:rsidP="00475E36">
      <w:pPr>
        <w:pStyle w:val="H23G"/>
      </w:pPr>
      <w:r>
        <w:rPr>
          <w:rFonts w:eastAsia="MS Mincho"/>
        </w:rPr>
        <w:tab/>
      </w:r>
      <w:r>
        <w:rPr>
          <w:rFonts w:eastAsia="MS Mincho"/>
        </w:rPr>
        <w:tab/>
      </w:r>
      <w:r>
        <w:rPr>
          <w:rFonts w:eastAsia="MS Mincho"/>
        </w:rPr>
        <w:tab/>
      </w:r>
      <w:r>
        <w:t>Table A3.2.2:</w:t>
      </w:r>
    </w:p>
    <w:p w:rsidR="00CE01FA" w:rsidRDefault="00CE01FA" w:rsidP="00CE01FA">
      <w:pPr>
        <w:pStyle w:val="Bullet1G"/>
        <w:tabs>
          <w:tab w:val="clear" w:pos="1701"/>
        </w:tabs>
        <w:ind w:left="1985" w:hanging="284"/>
        <w:rPr>
          <w:rFonts w:eastAsia="MS Mincho"/>
          <w:b/>
        </w:rPr>
      </w:pPr>
      <w:r w:rsidRPr="00297A22">
        <w:rPr>
          <w:rFonts w:eastAsia="MS Mincho"/>
          <w:b/>
        </w:rPr>
        <w:t>P</w:t>
      </w:r>
      <w:r>
        <w:rPr>
          <w:rFonts w:eastAsia="MS Mincho"/>
          <w:b/>
        </w:rPr>
        <w:t>201</w:t>
      </w:r>
    </w:p>
    <w:p w:rsidR="00CE01FA" w:rsidRDefault="00CE01FA" w:rsidP="001A08E4">
      <w:pPr>
        <w:pStyle w:val="SingleTxtG"/>
        <w:ind w:left="1985"/>
        <w:rPr>
          <w:rFonts w:eastAsia="MS Mincho"/>
          <w:i/>
        </w:rPr>
      </w:pPr>
      <w:r w:rsidRPr="001A08E4">
        <w:t xml:space="preserve">Add </w:t>
      </w:r>
      <w:r w:rsidR="00EC60D5" w:rsidRPr="001A08E4">
        <w:rPr>
          <w:rFonts w:eastAsia="MS Mincho"/>
        </w:rPr>
        <w:t>the</w:t>
      </w:r>
      <w:r w:rsidRPr="001A08E4">
        <w:rPr>
          <w:rFonts w:eastAsia="MS Mincho"/>
        </w:rPr>
        <w:t xml:space="preserve"> </w:t>
      </w:r>
      <w:r w:rsidR="0088766E" w:rsidRPr="001A08E4">
        <w:rPr>
          <w:rFonts w:eastAsia="MS Mincho"/>
        </w:rPr>
        <w:t xml:space="preserve">following </w:t>
      </w:r>
      <w:r w:rsidRPr="001A08E4">
        <w:t>condition for use</w:t>
      </w:r>
      <w:r w:rsidR="0088766E" w:rsidRPr="0088766E">
        <w:rPr>
          <w:rFonts w:eastAsia="MS Mincho"/>
        </w:rPr>
        <w:t xml:space="preserve"> </w:t>
      </w:r>
      <w:r w:rsidR="0088766E" w:rsidRPr="001A08E4">
        <w:rPr>
          <w:rFonts w:eastAsia="MS Mincho"/>
        </w:rPr>
        <w:t>in column (5)</w:t>
      </w:r>
      <w:r w:rsidR="00B55E75">
        <w:rPr>
          <w:rFonts w:eastAsia="MS Mincho"/>
        </w:rPr>
        <w:t xml:space="preserve"> for all hazard classes except Explosives (chapter2.1)</w:t>
      </w:r>
      <w:r w:rsidRPr="001A08E4">
        <w:t xml:space="preserve">: </w:t>
      </w:r>
      <w:r w:rsidR="00EC60D5" w:rsidRPr="004D5287">
        <w:rPr>
          <w:rFonts w:eastAsia="MS Mincho"/>
          <w:i/>
        </w:rPr>
        <w:t>“</w:t>
      </w:r>
      <w:r w:rsidRPr="004D5287">
        <w:rPr>
          <w:rFonts w:eastAsia="MS Mincho"/>
          <w:i/>
        </w:rPr>
        <w:t>- o</w:t>
      </w:r>
      <w:r w:rsidRPr="00475E36">
        <w:rPr>
          <w:rFonts w:eastAsia="MS Mincho"/>
          <w:i/>
        </w:rPr>
        <w:t>mit for consumer products where P202 is used</w:t>
      </w:r>
      <w:r w:rsidR="00EC60D5" w:rsidRPr="00475E36">
        <w:rPr>
          <w:rFonts w:eastAsia="MS Mincho"/>
          <w:i/>
        </w:rPr>
        <w:t>”</w:t>
      </w:r>
    </w:p>
    <w:p w:rsidR="00E03AC2" w:rsidRPr="00E03AC2" w:rsidRDefault="00E03AC2" w:rsidP="001A08E4">
      <w:pPr>
        <w:pStyle w:val="SingleTxtG"/>
        <w:ind w:left="1985"/>
        <w:rPr>
          <w:rFonts w:eastAsia="MS Mincho"/>
        </w:rPr>
      </w:pPr>
      <w:r>
        <w:rPr>
          <w:rFonts w:eastAsia="MS Mincho"/>
          <w:i/>
          <w:u w:val="single"/>
        </w:rPr>
        <w:t>Justification:</w:t>
      </w:r>
      <w:r>
        <w:rPr>
          <w:rFonts w:eastAsia="MS Mincho"/>
        </w:rPr>
        <w:t xml:space="preserve"> </w:t>
      </w:r>
      <w:r>
        <w:rPr>
          <w:sz w:val="18"/>
          <w:szCs w:val="18"/>
        </w:rPr>
        <w:t>P202,</w:t>
      </w:r>
      <w:r w:rsidR="00AC36B2">
        <w:rPr>
          <w:sz w:val="18"/>
          <w:szCs w:val="18"/>
        </w:rPr>
        <w:t xml:space="preserve"> “</w:t>
      </w:r>
      <w:r w:rsidRPr="00161F2E">
        <w:rPr>
          <w:i/>
          <w:sz w:val="18"/>
          <w:szCs w:val="18"/>
        </w:rPr>
        <w:t>Do not handle until all safety precautions have been read and understood</w:t>
      </w:r>
      <w:r w:rsidR="00AC36B2">
        <w:rPr>
          <w:sz w:val="18"/>
          <w:szCs w:val="18"/>
        </w:rPr>
        <w:t>”</w:t>
      </w:r>
      <w:r>
        <w:rPr>
          <w:sz w:val="18"/>
          <w:szCs w:val="18"/>
        </w:rPr>
        <w:t>,</w:t>
      </w:r>
      <w:r w:rsidR="00AC36B2">
        <w:rPr>
          <w:sz w:val="18"/>
          <w:szCs w:val="18"/>
        </w:rPr>
        <w:t xml:space="preserve"> is more helpful than P201, “</w:t>
      </w:r>
      <w:r w:rsidRPr="00161F2E">
        <w:rPr>
          <w:i/>
          <w:sz w:val="18"/>
          <w:szCs w:val="18"/>
        </w:rPr>
        <w:t>Obtain special instructions before</w:t>
      </w:r>
      <w:r>
        <w:rPr>
          <w:sz w:val="18"/>
          <w:szCs w:val="18"/>
        </w:rPr>
        <w:t xml:space="preserve"> </w:t>
      </w:r>
      <w:r w:rsidRPr="00161F2E">
        <w:rPr>
          <w:i/>
          <w:sz w:val="18"/>
          <w:szCs w:val="18"/>
        </w:rPr>
        <w:t>use</w:t>
      </w:r>
      <w:r w:rsidR="00AC36B2">
        <w:rPr>
          <w:sz w:val="18"/>
          <w:szCs w:val="18"/>
        </w:rPr>
        <w:t>”</w:t>
      </w:r>
      <w:r>
        <w:rPr>
          <w:sz w:val="18"/>
          <w:szCs w:val="18"/>
        </w:rPr>
        <w:t>, for consumer products and should take precedence where both are triggered.</w:t>
      </w:r>
    </w:p>
    <w:p w:rsidR="00EC60D5" w:rsidRDefault="00EC60D5" w:rsidP="00EC60D5">
      <w:pPr>
        <w:pStyle w:val="Bullet1G"/>
        <w:tabs>
          <w:tab w:val="clear" w:pos="1701"/>
        </w:tabs>
        <w:ind w:left="1985" w:hanging="284"/>
        <w:rPr>
          <w:rFonts w:eastAsia="MS Mincho"/>
          <w:b/>
        </w:rPr>
      </w:pPr>
      <w:r w:rsidRPr="00297A22">
        <w:rPr>
          <w:rFonts w:eastAsia="MS Mincho"/>
          <w:b/>
        </w:rPr>
        <w:t>P</w:t>
      </w:r>
      <w:r>
        <w:rPr>
          <w:rFonts w:eastAsia="MS Mincho"/>
          <w:b/>
        </w:rPr>
        <w:t>202</w:t>
      </w:r>
    </w:p>
    <w:p w:rsidR="00466CC4" w:rsidRDefault="00C87211" w:rsidP="00475E36">
      <w:pPr>
        <w:pStyle w:val="SingleTxtG"/>
        <w:ind w:left="1985"/>
        <w:rPr>
          <w:rFonts w:eastAsia="MS Mincho"/>
        </w:rPr>
      </w:pPr>
      <w:r>
        <w:rPr>
          <w:rFonts w:eastAsia="MS Mincho"/>
        </w:rPr>
        <w:t xml:space="preserve">Insert a new row for the </w:t>
      </w:r>
      <w:r w:rsidR="00EC60D5" w:rsidRPr="00475E36">
        <w:rPr>
          <w:rFonts w:eastAsia="MS Mincho"/>
        </w:rPr>
        <w:t xml:space="preserve">hazard class: </w:t>
      </w:r>
      <w:r>
        <w:rPr>
          <w:rFonts w:eastAsia="MS Mincho"/>
        </w:rPr>
        <w:t>“</w:t>
      </w:r>
      <w:r w:rsidR="00EC60D5" w:rsidRPr="00475E36">
        <w:rPr>
          <w:rFonts w:eastAsia="MS Mincho"/>
        </w:rPr>
        <w:t>Reproductive toxicity, effects on or via lactation (chapter 3.7)</w:t>
      </w:r>
      <w:r>
        <w:rPr>
          <w:rFonts w:eastAsia="MS Mincho"/>
        </w:rPr>
        <w:t>”, hazard category “</w:t>
      </w:r>
      <w:r w:rsidR="00EC60D5" w:rsidRPr="00475E36">
        <w:rPr>
          <w:rFonts w:eastAsia="MS Mincho"/>
        </w:rPr>
        <w:t>Additional category</w:t>
      </w:r>
      <w:r>
        <w:rPr>
          <w:rFonts w:eastAsia="MS Mincho"/>
        </w:rPr>
        <w:t>”</w:t>
      </w:r>
      <w:r w:rsidR="00EC60D5" w:rsidRPr="00475E36">
        <w:rPr>
          <w:rFonts w:eastAsia="MS Mincho"/>
        </w:rPr>
        <w:t>.</w:t>
      </w:r>
    </w:p>
    <w:p w:rsidR="00C87211" w:rsidRPr="001A08E4" w:rsidRDefault="00C87211" w:rsidP="00475E36">
      <w:pPr>
        <w:pStyle w:val="SingleTxtG"/>
        <w:ind w:left="1985"/>
      </w:pPr>
      <w:r w:rsidRPr="00475E36">
        <w:rPr>
          <w:i/>
          <w:u w:val="single"/>
        </w:rPr>
        <w:t>Justification</w:t>
      </w:r>
      <w:r w:rsidRPr="001A08E4">
        <w:rPr>
          <w:i/>
          <w:u w:val="single"/>
        </w:rPr>
        <w:t xml:space="preserve">: </w:t>
      </w:r>
      <w:r w:rsidRPr="001A08E4">
        <w:t>Consistency with P201 in covering all of the reproductive toxicity hazard class.</w:t>
      </w:r>
    </w:p>
    <w:p w:rsidR="00C87211" w:rsidRPr="00C87211" w:rsidRDefault="00C87211" w:rsidP="00C87211">
      <w:pPr>
        <w:pStyle w:val="Bullet1G"/>
        <w:tabs>
          <w:tab w:val="clear" w:pos="1701"/>
        </w:tabs>
        <w:ind w:left="1985" w:hanging="284"/>
        <w:rPr>
          <w:rFonts w:eastAsia="MS Mincho"/>
          <w:b/>
        </w:rPr>
      </w:pPr>
      <w:r w:rsidRPr="00C87211">
        <w:rPr>
          <w:rFonts w:eastAsia="MS Mincho"/>
          <w:b/>
        </w:rPr>
        <w:t>P231+P232</w:t>
      </w:r>
    </w:p>
    <w:p w:rsidR="00C87211" w:rsidRPr="00B55E75" w:rsidRDefault="00C87211" w:rsidP="00C87211">
      <w:pPr>
        <w:pStyle w:val="SingleTxtG"/>
        <w:ind w:left="1985"/>
      </w:pPr>
      <w:r w:rsidRPr="00B55E75">
        <w:t>Delete the entries for pyrophoric liquids (Chapter 2.9) and pyrophoric solids (Chapter</w:t>
      </w:r>
      <w:r w:rsidR="0040226E" w:rsidRPr="00B55E75">
        <w:t> </w:t>
      </w:r>
      <w:r w:rsidRPr="00B55E75">
        <w:t>2.10).</w:t>
      </w:r>
    </w:p>
    <w:p w:rsidR="00DA06AB" w:rsidRPr="001A08E4" w:rsidRDefault="00DA06AB" w:rsidP="00C87211">
      <w:pPr>
        <w:pStyle w:val="SingleTxtG"/>
        <w:ind w:left="1985"/>
      </w:pPr>
      <w:r w:rsidRPr="008F750F">
        <w:rPr>
          <w:i/>
          <w:u w:val="single"/>
        </w:rPr>
        <w:t>Justification</w:t>
      </w:r>
      <w:r w:rsidRPr="001A08E4">
        <w:rPr>
          <w:i/>
        </w:rPr>
        <w:t xml:space="preserve">: </w:t>
      </w:r>
      <w:r w:rsidRPr="001A08E4">
        <w:t>P232 is not applicable to pyrophoric liquids and solids so the combination statement, P231+P232, should not be applied to these hazard classes.</w:t>
      </w:r>
    </w:p>
    <w:p w:rsidR="00FD74C9" w:rsidRDefault="00FD74C9">
      <w:pPr>
        <w:suppressAutoHyphens w:val="0"/>
        <w:spacing w:line="240" w:lineRule="auto"/>
        <w:rPr>
          <w:rFonts w:eastAsia="MS Mincho"/>
          <w:b/>
        </w:rPr>
      </w:pPr>
      <w:r>
        <w:rPr>
          <w:rFonts w:eastAsia="MS Mincho"/>
        </w:rPr>
        <w:br w:type="page"/>
      </w:r>
    </w:p>
    <w:p w:rsidR="00DA06AB" w:rsidRDefault="00DA06AB" w:rsidP="00475E36">
      <w:pPr>
        <w:pStyle w:val="H23G"/>
      </w:pPr>
      <w:r>
        <w:rPr>
          <w:rFonts w:eastAsia="MS Mincho"/>
        </w:rPr>
        <w:lastRenderedPageBreak/>
        <w:tab/>
      </w:r>
      <w:r>
        <w:rPr>
          <w:rFonts w:eastAsia="MS Mincho"/>
        </w:rPr>
        <w:tab/>
      </w:r>
      <w:r>
        <w:rPr>
          <w:rFonts w:eastAsia="MS Mincho"/>
        </w:rPr>
        <w:tab/>
      </w:r>
      <w:r>
        <w:t>Table A3.2.3:</w:t>
      </w:r>
    </w:p>
    <w:p w:rsidR="00DA06AB" w:rsidRDefault="00DA06AB" w:rsidP="00DA06AB">
      <w:pPr>
        <w:pStyle w:val="Bullet1G"/>
        <w:tabs>
          <w:tab w:val="clear" w:pos="1701"/>
        </w:tabs>
        <w:ind w:left="1985" w:hanging="284"/>
        <w:rPr>
          <w:rFonts w:eastAsia="MS Mincho"/>
          <w:b/>
        </w:rPr>
      </w:pPr>
      <w:r w:rsidRPr="00297A22">
        <w:rPr>
          <w:rFonts w:eastAsia="MS Mincho"/>
          <w:b/>
        </w:rPr>
        <w:t>P</w:t>
      </w:r>
      <w:r>
        <w:rPr>
          <w:rFonts w:eastAsia="MS Mincho"/>
          <w:b/>
        </w:rPr>
        <w:t>301</w:t>
      </w:r>
    </w:p>
    <w:p w:rsidR="00927DD9" w:rsidRDefault="008703E9" w:rsidP="00927DD9">
      <w:pPr>
        <w:pStyle w:val="SingleTxtG"/>
        <w:ind w:left="1985"/>
      </w:pPr>
      <w:r>
        <w:rPr>
          <w:rFonts w:eastAsia="MS Mincho"/>
        </w:rPr>
        <w:t>For the hazard class “A</w:t>
      </w:r>
      <w:r w:rsidRPr="00DA06AB">
        <w:rPr>
          <w:rFonts w:eastAsia="MS Mincho"/>
        </w:rPr>
        <w:t xml:space="preserve">cute </w:t>
      </w:r>
      <w:r w:rsidR="00DA06AB" w:rsidRPr="00DA06AB">
        <w:rPr>
          <w:rFonts w:eastAsia="MS Mincho"/>
        </w:rPr>
        <w:t>toxicity, oral (Chapter 3.1)</w:t>
      </w:r>
      <w:r>
        <w:rPr>
          <w:rFonts w:eastAsia="MS Mincho"/>
        </w:rPr>
        <w:t xml:space="preserve">”, add </w:t>
      </w:r>
      <w:r w:rsidR="00927DD9">
        <w:rPr>
          <w:rFonts w:eastAsia="MS Mincho"/>
        </w:rPr>
        <w:t>“, 5” in column (4).</w:t>
      </w:r>
    </w:p>
    <w:p w:rsidR="00DE4121" w:rsidRDefault="00927DD9" w:rsidP="001A08E4">
      <w:pPr>
        <w:pStyle w:val="SingleTxtG"/>
        <w:ind w:left="1985"/>
      </w:pPr>
      <w:r w:rsidRPr="00475E36">
        <w:rPr>
          <w:i/>
          <w:u w:val="single"/>
        </w:rPr>
        <w:t>Justification</w:t>
      </w:r>
      <w:r w:rsidRPr="001A08E4">
        <w:t>: Consistency with specification of exposure route for acute toxicity, inhalation (Chapter 3.1) and principle that medical response statements should be combined with a route of exposure or symptom.</w:t>
      </w:r>
    </w:p>
    <w:p w:rsidR="00927DD9" w:rsidRDefault="00927DD9" w:rsidP="00927DD9">
      <w:pPr>
        <w:pStyle w:val="Bullet1G"/>
        <w:tabs>
          <w:tab w:val="clear" w:pos="1701"/>
        </w:tabs>
        <w:ind w:left="1985" w:hanging="284"/>
        <w:rPr>
          <w:rFonts w:eastAsia="MS Mincho"/>
          <w:b/>
        </w:rPr>
      </w:pPr>
      <w:r w:rsidRPr="00297A22">
        <w:rPr>
          <w:rFonts w:eastAsia="MS Mincho"/>
          <w:b/>
        </w:rPr>
        <w:t>P</w:t>
      </w:r>
      <w:r>
        <w:rPr>
          <w:rFonts w:eastAsia="MS Mincho"/>
          <w:b/>
        </w:rPr>
        <w:t>302</w:t>
      </w:r>
    </w:p>
    <w:p w:rsidR="0040226E" w:rsidRPr="0040226E" w:rsidRDefault="00927DD9" w:rsidP="0040226E">
      <w:pPr>
        <w:pStyle w:val="SingleTxtG"/>
        <w:ind w:left="1985"/>
        <w:rPr>
          <w:rFonts w:eastAsia="MS Mincho"/>
        </w:rPr>
      </w:pPr>
      <w:r w:rsidRPr="0040226E">
        <w:t>For the hazard class “acute toxicity, dermal (Chapter 3.1)</w:t>
      </w:r>
      <w:r w:rsidR="0040226E">
        <w:t>”, add “, 5” in column </w:t>
      </w:r>
      <w:r w:rsidRPr="0040226E">
        <w:t>(4)</w:t>
      </w:r>
    </w:p>
    <w:p w:rsidR="00D11EE3" w:rsidRPr="00D11EE3" w:rsidRDefault="00927DD9" w:rsidP="00D11EE3">
      <w:pPr>
        <w:pStyle w:val="SingleTxtG"/>
        <w:ind w:left="1985"/>
        <w:rPr>
          <w:u w:val="single"/>
        </w:rPr>
      </w:pPr>
      <w:r w:rsidRPr="00475E36">
        <w:rPr>
          <w:i/>
          <w:u w:val="single"/>
        </w:rPr>
        <w:t>Justification</w:t>
      </w:r>
      <w:r w:rsidRPr="001A08E4">
        <w:t>: Consistency with specification of exposure route for acute toxicity, inhalation (Chapter 3.1) and principle that medical response statements should be combined with a route of exposure or symptom.</w:t>
      </w:r>
    </w:p>
    <w:p w:rsidR="001A08E4" w:rsidRDefault="001A08E4" w:rsidP="001A08E4">
      <w:pPr>
        <w:pStyle w:val="Bullet1G"/>
        <w:tabs>
          <w:tab w:val="clear" w:pos="1701"/>
        </w:tabs>
        <w:ind w:left="1985" w:hanging="284"/>
        <w:rPr>
          <w:rFonts w:eastAsia="MS Mincho"/>
          <w:b/>
        </w:rPr>
      </w:pPr>
      <w:r w:rsidRPr="00297A22">
        <w:rPr>
          <w:rFonts w:eastAsia="MS Mincho"/>
          <w:b/>
        </w:rPr>
        <w:t>P</w:t>
      </w:r>
      <w:r>
        <w:rPr>
          <w:rFonts w:eastAsia="MS Mincho"/>
          <w:b/>
        </w:rPr>
        <w:t>312</w:t>
      </w:r>
    </w:p>
    <w:p w:rsidR="001A08E4" w:rsidRPr="001A08E4" w:rsidRDefault="001A08E4" w:rsidP="001A08E4">
      <w:pPr>
        <w:pStyle w:val="SingleTxtG"/>
        <w:ind w:left="1985"/>
        <w:rPr>
          <w:rFonts w:eastAsia="MS Mincho"/>
        </w:rPr>
      </w:pPr>
      <w:r w:rsidRPr="001A08E4">
        <w:rPr>
          <w:rFonts w:eastAsia="MS Mincho"/>
        </w:rPr>
        <w:t>Merge the two existing rows for acute toxicity, oral (Chapter 3.1) and acute toxicity, inhalation (Chapter 3.1).</w:t>
      </w:r>
    </w:p>
    <w:p w:rsidR="00DE4121" w:rsidRDefault="001A08E4" w:rsidP="00475E36">
      <w:pPr>
        <w:pStyle w:val="SingleTxtG"/>
        <w:ind w:left="1985"/>
      </w:pPr>
      <w:r w:rsidRPr="00475E36">
        <w:rPr>
          <w:i/>
          <w:u w:val="single"/>
        </w:rPr>
        <w:t>Justification</w:t>
      </w:r>
      <w:r w:rsidRPr="001A08E4">
        <w:t>: Consistent presentation with other entries in this table and removal of redundant rows.</w:t>
      </w:r>
    </w:p>
    <w:p w:rsidR="004D5287" w:rsidRDefault="004D5287" w:rsidP="004D5287">
      <w:pPr>
        <w:pStyle w:val="Bullet1G"/>
        <w:tabs>
          <w:tab w:val="clear" w:pos="1701"/>
        </w:tabs>
        <w:ind w:left="1985" w:hanging="284"/>
        <w:rPr>
          <w:rFonts w:eastAsia="MS Mincho"/>
          <w:b/>
        </w:rPr>
      </w:pPr>
      <w:r w:rsidRPr="00297A22">
        <w:rPr>
          <w:rFonts w:eastAsia="MS Mincho"/>
          <w:b/>
        </w:rPr>
        <w:t>P</w:t>
      </w:r>
      <w:r>
        <w:rPr>
          <w:rFonts w:eastAsia="MS Mincho"/>
          <w:b/>
        </w:rPr>
        <w:t>332</w:t>
      </w:r>
    </w:p>
    <w:p w:rsidR="004D5287" w:rsidRPr="004D5287" w:rsidRDefault="004D5287" w:rsidP="004D5287">
      <w:pPr>
        <w:pStyle w:val="SingleTxtG"/>
        <w:ind w:left="1985"/>
        <w:rPr>
          <w:rFonts w:eastAsia="MS Mincho"/>
        </w:rPr>
      </w:pPr>
      <w:r w:rsidRPr="004D5287">
        <w:rPr>
          <w:rFonts w:eastAsia="MS Mincho"/>
        </w:rPr>
        <w:t xml:space="preserve">Add </w:t>
      </w:r>
      <w:r w:rsidR="008859C3">
        <w:rPr>
          <w:rFonts w:eastAsia="MS Mincho"/>
        </w:rPr>
        <w:t xml:space="preserve">the following </w:t>
      </w:r>
      <w:r w:rsidRPr="004D5287">
        <w:rPr>
          <w:rFonts w:eastAsia="MS Mincho"/>
        </w:rPr>
        <w:t>new condition for use</w:t>
      </w:r>
      <w:r w:rsidR="008859C3">
        <w:rPr>
          <w:rFonts w:eastAsia="MS Mincho"/>
        </w:rPr>
        <w:t xml:space="preserve"> in column (5)</w:t>
      </w:r>
      <w:r w:rsidRPr="004D5287">
        <w:rPr>
          <w:rFonts w:eastAsia="MS Mincho"/>
        </w:rPr>
        <w:t xml:space="preserve">: </w:t>
      </w:r>
      <w:r w:rsidRPr="004D5287">
        <w:rPr>
          <w:rFonts w:eastAsia="MS Mincho"/>
          <w:i/>
        </w:rPr>
        <w:t>“- may be omitted if P333 is given on the label”.</w:t>
      </w:r>
    </w:p>
    <w:p w:rsidR="008859C3" w:rsidRPr="0065482D" w:rsidRDefault="008859C3" w:rsidP="00475E36">
      <w:pPr>
        <w:pStyle w:val="SingleTxtG"/>
        <w:ind w:left="1985"/>
      </w:pPr>
      <w:r w:rsidRPr="0065482D">
        <w:rPr>
          <w:i/>
          <w:u w:val="single"/>
        </w:rPr>
        <w:t>Justification</w:t>
      </w:r>
      <w:r w:rsidRPr="0065482D">
        <w:t>: Consistency with condition for use for P332+P313.</w:t>
      </w:r>
    </w:p>
    <w:p w:rsidR="008859C3" w:rsidRDefault="008859C3" w:rsidP="008859C3">
      <w:pPr>
        <w:pStyle w:val="Bullet1G"/>
        <w:tabs>
          <w:tab w:val="clear" w:pos="1701"/>
        </w:tabs>
        <w:ind w:left="1985" w:hanging="284"/>
        <w:rPr>
          <w:rFonts w:eastAsia="MS Mincho"/>
          <w:b/>
        </w:rPr>
      </w:pPr>
      <w:r w:rsidRPr="00297A22">
        <w:rPr>
          <w:rFonts w:eastAsia="MS Mincho"/>
          <w:b/>
        </w:rPr>
        <w:t>P</w:t>
      </w:r>
      <w:r>
        <w:rPr>
          <w:rFonts w:eastAsia="MS Mincho"/>
          <w:b/>
        </w:rPr>
        <w:t>375</w:t>
      </w:r>
    </w:p>
    <w:p w:rsidR="004D5287" w:rsidRPr="0065482D" w:rsidRDefault="008859C3" w:rsidP="00475E36">
      <w:pPr>
        <w:pStyle w:val="SingleTxtG"/>
        <w:ind w:left="1985"/>
      </w:pPr>
      <w:r w:rsidRPr="0065482D">
        <w:t>For the hazard class “desensitized explosives (Chapter 2.17)”, add “, 4” in column (4).</w:t>
      </w:r>
    </w:p>
    <w:p w:rsidR="008859C3" w:rsidRDefault="008859C3" w:rsidP="008859C3">
      <w:pPr>
        <w:pStyle w:val="SingleTxtG"/>
        <w:ind w:left="1985"/>
      </w:pPr>
      <w:r w:rsidRPr="00475E36">
        <w:rPr>
          <w:i/>
          <w:u w:val="single"/>
        </w:rPr>
        <w:t>Justification</w:t>
      </w:r>
      <w:r w:rsidRPr="008859C3">
        <w:rPr>
          <w:i/>
          <w:u w:val="single"/>
        </w:rPr>
        <w:t xml:space="preserve">: </w:t>
      </w:r>
      <w:r w:rsidRPr="008859C3">
        <w:t>Consistency, as P375 is applied to category 4 in the combination statement P371+P380+P375.</w:t>
      </w:r>
    </w:p>
    <w:p w:rsidR="002644D3" w:rsidRDefault="002644D3" w:rsidP="00475E36">
      <w:pPr>
        <w:pStyle w:val="H23G"/>
      </w:pPr>
      <w:r>
        <w:rPr>
          <w:rFonts w:eastAsia="MS Mincho"/>
        </w:rPr>
        <w:tab/>
      </w:r>
      <w:r>
        <w:rPr>
          <w:rFonts w:eastAsia="MS Mincho"/>
        </w:rPr>
        <w:tab/>
      </w:r>
      <w:r>
        <w:rPr>
          <w:rFonts w:eastAsia="MS Mincho"/>
        </w:rPr>
        <w:tab/>
      </w:r>
      <w:r>
        <w:t>Table A3.2.5:</w:t>
      </w:r>
    </w:p>
    <w:p w:rsidR="002644D3" w:rsidRDefault="002644D3" w:rsidP="002644D3">
      <w:pPr>
        <w:pStyle w:val="Bullet1G"/>
        <w:tabs>
          <w:tab w:val="clear" w:pos="1701"/>
        </w:tabs>
        <w:ind w:left="1985" w:hanging="284"/>
        <w:rPr>
          <w:rFonts w:eastAsia="MS Mincho"/>
          <w:b/>
        </w:rPr>
      </w:pPr>
      <w:r w:rsidRPr="00297A22">
        <w:rPr>
          <w:rFonts w:eastAsia="MS Mincho"/>
          <w:b/>
        </w:rPr>
        <w:t>P</w:t>
      </w:r>
      <w:r>
        <w:rPr>
          <w:rFonts w:eastAsia="MS Mincho"/>
          <w:b/>
        </w:rPr>
        <w:t>501</w:t>
      </w:r>
    </w:p>
    <w:p w:rsidR="008859C3" w:rsidRPr="002644D3" w:rsidRDefault="007558A5" w:rsidP="002644D3">
      <w:pPr>
        <w:pStyle w:val="SingleTxtG"/>
        <w:ind w:left="1985"/>
      </w:pPr>
      <w:proofErr w:type="gramStart"/>
      <w:r>
        <w:t>For the hazard class “</w:t>
      </w:r>
      <w:r w:rsidR="002644D3" w:rsidRPr="002644D3">
        <w:t>acute toxicity, inhalation (Chapter 3.2)</w:t>
      </w:r>
      <w:r w:rsidR="0040226E">
        <w:t>” add “, 3” in </w:t>
      </w:r>
      <w:r>
        <w:t>column (4)</w:t>
      </w:r>
      <w:r w:rsidR="002644D3" w:rsidRPr="002644D3">
        <w:t>.</w:t>
      </w:r>
      <w:proofErr w:type="gramEnd"/>
    </w:p>
    <w:p w:rsidR="008859C3" w:rsidRPr="002644D3" w:rsidRDefault="002644D3" w:rsidP="002644D3">
      <w:pPr>
        <w:pStyle w:val="SingleTxtG"/>
        <w:ind w:left="1985"/>
      </w:pPr>
      <w:r w:rsidRPr="00475E36">
        <w:rPr>
          <w:i/>
          <w:u w:val="single"/>
        </w:rPr>
        <w:t>Justification</w:t>
      </w:r>
      <w:r w:rsidRPr="002644D3">
        <w:rPr>
          <w:i/>
        </w:rPr>
        <w:t xml:space="preserve">: </w:t>
      </w:r>
      <w:r w:rsidRPr="002644D3">
        <w:t>Consistency, as P501 is applied to category 3 in A3.3.5: the</w:t>
      </w:r>
      <w:r w:rsidR="0040226E">
        <w:t> </w:t>
      </w:r>
      <w:r w:rsidRPr="002644D3">
        <w:t>precautionary statement matrix.</w:t>
      </w:r>
    </w:p>
    <w:p w:rsidR="0009436C" w:rsidRDefault="0009436C" w:rsidP="0009436C">
      <w:pPr>
        <w:pStyle w:val="H1G"/>
        <w:rPr>
          <w:rFonts w:eastAsia="MS Mincho"/>
        </w:rPr>
      </w:pPr>
      <w:r>
        <w:rPr>
          <w:rFonts w:eastAsia="MS Mincho"/>
        </w:rPr>
        <w:tab/>
      </w:r>
      <w:r>
        <w:rPr>
          <w:rFonts w:eastAsia="MS Mincho"/>
        </w:rPr>
        <w:tab/>
        <w:t>Annex 3, Section 3</w:t>
      </w:r>
      <w:r w:rsidR="00646B9C">
        <w:rPr>
          <w:rFonts w:eastAsia="MS Mincho"/>
        </w:rPr>
        <w:t xml:space="preserve"> (introductory text)</w:t>
      </w:r>
    </w:p>
    <w:p w:rsidR="0009436C" w:rsidRDefault="00646B9C" w:rsidP="00646B9C">
      <w:pPr>
        <w:pStyle w:val="SingleTxtG"/>
        <w:rPr>
          <w:rFonts w:eastAsia="MS Mincho"/>
        </w:rPr>
      </w:pPr>
      <w:r>
        <w:rPr>
          <w:rFonts w:eastAsia="MS Mincho"/>
        </w:rPr>
        <w:t>8</w:t>
      </w:r>
      <w:r w:rsidR="0009436C">
        <w:rPr>
          <w:rFonts w:eastAsia="MS Mincho"/>
        </w:rPr>
        <w:t xml:space="preserve">. </w:t>
      </w:r>
      <w:r w:rsidR="0009436C">
        <w:rPr>
          <w:rFonts w:eastAsia="MS Mincho"/>
        </w:rPr>
        <w:tab/>
      </w:r>
      <w:r>
        <w:rPr>
          <w:rFonts w:eastAsia="MS Mincho"/>
        </w:rPr>
        <w:t>Amend as follows:</w:t>
      </w:r>
    </w:p>
    <w:p w:rsidR="00F264E1" w:rsidRDefault="00F264E1" w:rsidP="00512833">
      <w:pPr>
        <w:pStyle w:val="SingleTxtG"/>
        <w:ind w:left="2835" w:hanging="1134"/>
        <w:rPr>
          <w:rFonts w:eastAsia="MS Mincho"/>
        </w:rPr>
      </w:pPr>
      <w:r>
        <w:rPr>
          <w:rFonts w:eastAsia="MS Mincho"/>
        </w:rPr>
        <w:t>A3.3.1.1</w:t>
      </w:r>
      <w:r>
        <w:rPr>
          <w:rFonts w:eastAsia="MS Mincho"/>
        </w:rPr>
        <w:tab/>
        <w:t>Add at the end of the existing tex</w:t>
      </w:r>
      <w:r w:rsidR="00512833">
        <w:rPr>
          <w:rFonts w:eastAsia="MS Mincho"/>
        </w:rPr>
        <w:t>t the current text of A3.3.1.6 as amended to read as follows:</w:t>
      </w:r>
    </w:p>
    <w:p w:rsidR="00512833" w:rsidRDefault="00512833" w:rsidP="00512833">
      <w:pPr>
        <w:pStyle w:val="SingleTxtG"/>
        <w:ind w:left="2835"/>
        <w:rPr>
          <w:rFonts w:eastAsia="MS Mincho"/>
        </w:rPr>
      </w:pPr>
      <w:r>
        <w:rPr>
          <w:rFonts w:eastAsia="MS Mincho"/>
        </w:rPr>
        <w:tab/>
        <w:t>“It will be subject to further refinement and development over time though the overall approach set out below will remain”.</w:t>
      </w:r>
    </w:p>
    <w:p w:rsidR="00CA6069" w:rsidRDefault="00512833" w:rsidP="00CA6069">
      <w:pPr>
        <w:pStyle w:val="SingleTxtG"/>
        <w:ind w:left="2835" w:hanging="1134"/>
        <w:rPr>
          <w:rFonts w:eastAsia="MS Mincho"/>
        </w:rPr>
      </w:pPr>
      <w:r>
        <w:rPr>
          <w:rFonts w:eastAsia="MS Mincho"/>
        </w:rPr>
        <w:lastRenderedPageBreak/>
        <w:t>A3.3.2.3</w:t>
      </w:r>
      <w:r>
        <w:rPr>
          <w:rFonts w:eastAsia="MS Mincho"/>
        </w:rPr>
        <w:tab/>
        <w:t>Renumber as new A3.3.1.2</w:t>
      </w:r>
      <w:r w:rsidR="00CA6069">
        <w:rPr>
          <w:rFonts w:eastAsia="MS Mincho"/>
        </w:rPr>
        <w:t xml:space="preserve"> and replace “Precautionary statements should appear on GHS labels along with” with “Precautionary statements should, as an important part of hazard communication, appear on GHS labels, along with”</w:t>
      </w:r>
    </w:p>
    <w:p w:rsidR="00684462" w:rsidRDefault="00684462" w:rsidP="00684462">
      <w:pPr>
        <w:pStyle w:val="SingleTxtG"/>
        <w:ind w:left="2835"/>
        <w:rPr>
          <w:rFonts w:eastAsia="MS Mincho"/>
        </w:rPr>
      </w:pPr>
      <w:r>
        <w:rPr>
          <w:rFonts w:eastAsia="MS Mincho"/>
        </w:rPr>
        <w:tab/>
      </w:r>
      <w:r w:rsidRPr="00684462">
        <w:rPr>
          <w:rFonts w:eastAsia="MS Mincho"/>
          <w:i/>
        </w:rPr>
        <w:t>Consequential amendment:</w:t>
      </w:r>
      <w:r>
        <w:rPr>
          <w:rFonts w:eastAsia="MS Mincho"/>
          <w:i/>
        </w:rPr>
        <w:t xml:space="preserve"> </w:t>
      </w:r>
      <w:r>
        <w:rPr>
          <w:rFonts w:eastAsia="MS Mincho"/>
        </w:rPr>
        <w:t>current A3.3.1.2 to A3.3.1.</w:t>
      </w:r>
      <w:r w:rsidR="000D6409">
        <w:rPr>
          <w:rFonts w:eastAsia="MS Mincho"/>
        </w:rPr>
        <w:t>5</w:t>
      </w:r>
      <w:r>
        <w:rPr>
          <w:rFonts w:eastAsia="MS Mincho"/>
        </w:rPr>
        <w:t xml:space="preserve"> </w:t>
      </w:r>
      <w:proofErr w:type="gramStart"/>
      <w:r>
        <w:rPr>
          <w:rFonts w:eastAsia="MS Mincho"/>
        </w:rPr>
        <w:t>become</w:t>
      </w:r>
      <w:proofErr w:type="gramEnd"/>
      <w:r>
        <w:rPr>
          <w:rFonts w:eastAsia="MS Mincho"/>
        </w:rPr>
        <w:t xml:space="preserve"> new paragraphs A3.3.1.3 to A.3.3.1.</w:t>
      </w:r>
      <w:r w:rsidR="000D6409">
        <w:rPr>
          <w:rFonts w:eastAsia="MS Mincho"/>
        </w:rPr>
        <w:t>6</w:t>
      </w:r>
      <w:r>
        <w:rPr>
          <w:rFonts w:eastAsia="MS Mincho"/>
        </w:rPr>
        <w:t>.</w:t>
      </w:r>
    </w:p>
    <w:p w:rsidR="00684462" w:rsidRDefault="00684462" w:rsidP="00684462">
      <w:pPr>
        <w:pStyle w:val="SingleTxtG"/>
        <w:ind w:left="2835" w:hanging="1134"/>
        <w:rPr>
          <w:rFonts w:eastAsia="MS Mincho"/>
        </w:rPr>
      </w:pPr>
      <w:r>
        <w:rPr>
          <w:rFonts w:eastAsia="MS Mincho"/>
        </w:rPr>
        <w:t>A3.3.1.3 (former A3.3.1.2)</w:t>
      </w:r>
      <w:r>
        <w:rPr>
          <w:rFonts w:eastAsia="MS Mincho"/>
        </w:rPr>
        <w:tab/>
      </w:r>
      <w:proofErr w:type="gramStart"/>
      <w:r w:rsidR="000D6409">
        <w:rPr>
          <w:rFonts w:eastAsia="MS Mincho"/>
        </w:rPr>
        <w:t>In</w:t>
      </w:r>
      <w:proofErr w:type="gramEnd"/>
      <w:r w:rsidR="000D6409">
        <w:rPr>
          <w:rFonts w:eastAsia="MS Mincho"/>
        </w:rPr>
        <w:t xml:space="preserve"> the first sentence replace “chemical product” with “substance or mixture” and in the second sentence replace “chemicals” with “substances or mixtures”.</w:t>
      </w:r>
    </w:p>
    <w:p w:rsidR="000D6409" w:rsidRDefault="000D6409" w:rsidP="00684462">
      <w:pPr>
        <w:pStyle w:val="SingleTxtG"/>
        <w:ind w:left="2835" w:hanging="1134"/>
        <w:rPr>
          <w:rFonts w:eastAsia="MS Mincho"/>
        </w:rPr>
      </w:pPr>
      <w:r>
        <w:rPr>
          <w:rFonts w:eastAsia="MS Mincho"/>
        </w:rPr>
        <w:t>A3.3.1.6 (former A3.3.1.5) Insert at the beginning of the paragraph the text of current paragraph A3.3.3.2, and amend to read as follows:</w:t>
      </w:r>
    </w:p>
    <w:p w:rsidR="000D6409" w:rsidRPr="000D4BFF" w:rsidRDefault="000D6409" w:rsidP="00A06CB9">
      <w:pPr>
        <w:pStyle w:val="SingleTxtG"/>
        <w:ind w:left="2835"/>
      </w:pPr>
      <w:r>
        <w:rPr>
          <w:rFonts w:eastAsia="MS Mincho"/>
        </w:rPr>
        <w:tab/>
      </w:r>
      <w:r w:rsidRPr="00A06CB9">
        <w:rPr>
          <w:rFonts w:eastAsia="MS Mincho"/>
        </w:rPr>
        <w:t>“</w:t>
      </w:r>
      <w:r w:rsidRPr="00A06CB9">
        <w:t>A3.3.1.6</w:t>
      </w:r>
      <w:r w:rsidRPr="00A06CB9">
        <w:tab/>
      </w:r>
      <w:r w:rsidRPr="000D4BFF">
        <w:t>The understanding and following of precautionary label information, specific safety guidelines, and the safety data sheet for each product before use are part of occupational health and safety procedures. Consistent use of precautionary statements will reinforce safe handling procedures and will enable the key concepts and approaches to be emphasized in workplace training and education activities.</w:t>
      </w:r>
      <w:r w:rsidR="00A06CB9" w:rsidRPr="000D4BFF">
        <w:t>”</w:t>
      </w:r>
    </w:p>
    <w:p w:rsidR="000D6409" w:rsidRDefault="00A06CB9" w:rsidP="00684462">
      <w:pPr>
        <w:pStyle w:val="SingleTxtG"/>
        <w:ind w:left="2835" w:hanging="1134"/>
        <w:rPr>
          <w:rFonts w:eastAsia="MS Mincho"/>
        </w:rPr>
      </w:pPr>
      <w:r>
        <w:rPr>
          <w:rFonts w:eastAsia="MS Mincho"/>
        </w:rPr>
        <w:t>A3.3.3.3 and A3.3.4.7 become new paragraphs A3.3.1.7 and A3.3.1.8.</w:t>
      </w:r>
    </w:p>
    <w:p w:rsidR="00DF62AE" w:rsidRDefault="00A06CB9" w:rsidP="00684462">
      <w:pPr>
        <w:pStyle w:val="SingleTxtG"/>
        <w:ind w:left="2835" w:hanging="1134"/>
        <w:rPr>
          <w:rFonts w:eastAsia="MS Mincho"/>
        </w:rPr>
      </w:pPr>
      <w:r>
        <w:rPr>
          <w:rFonts w:eastAsia="MS Mincho"/>
        </w:rPr>
        <w:t>A3.3.2</w:t>
      </w:r>
      <w:r>
        <w:rPr>
          <w:rFonts w:eastAsia="MS Mincho"/>
        </w:rPr>
        <w:tab/>
        <w:t xml:space="preserve">Amend </w:t>
      </w:r>
      <w:r w:rsidR="00DF62AE">
        <w:rPr>
          <w:rFonts w:eastAsia="MS Mincho"/>
        </w:rPr>
        <w:t xml:space="preserve">to read as follows: </w:t>
      </w:r>
    </w:p>
    <w:p w:rsidR="00DF62AE" w:rsidRDefault="00DF62AE" w:rsidP="00DF62AE">
      <w:pPr>
        <w:pStyle w:val="SingleTxtG"/>
        <w:ind w:left="2835"/>
      </w:pPr>
      <w:r>
        <w:rPr>
          <w:i/>
        </w:rPr>
        <w:t>“</w:t>
      </w:r>
      <w:r w:rsidRPr="00DF62AE">
        <w:rPr>
          <w:b/>
        </w:rPr>
        <w:t>A3.3.2</w:t>
      </w:r>
      <w:r w:rsidRPr="00DF62AE">
        <w:rPr>
          <w:b/>
        </w:rPr>
        <w:tab/>
        <w:t>Flexibility in the use of precautionary statements</w:t>
      </w:r>
      <w:r w:rsidRPr="00773451">
        <w:t xml:space="preserve"> </w:t>
      </w:r>
    </w:p>
    <w:p w:rsidR="00DF62AE" w:rsidRPr="00422199" w:rsidRDefault="00DF62AE" w:rsidP="00DF62AE">
      <w:pPr>
        <w:pStyle w:val="SingleTxtG"/>
        <w:ind w:left="2835"/>
        <w:rPr>
          <w:b/>
          <w:i/>
        </w:rPr>
      </w:pPr>
      <w:r w:rsidRPr="00422199">
        <w:rPr>
          <w:b/>
        </w:rPr>
        <w:t>A3.3.2.1</w:t>
      </w:r>
      <w:r w:rsidRPr="00422199">
        <w:rPr>
          <w:b/>
        </w:rPr>
        <w:tab/>
      </w:r>
      <w:r w:rsidRPr="00422199">
        <w:rPr>
          <w:b/>
          <w:i/>
        </w:rPr>
        <w:t>Omission of precautionary statements where the advice is not relevant</w:t>
      </w:r>
    </w:p>
    <w:p w:rsidR="00DF62AE" w:rsidRPr="00422199" w:rsidRDefault="00DF62AE" w:rsidP="00DF62AE">
      <w:pPr>
        <w:pStyle w:val="SingleTxtG"/>
        <w:ind w:left="2835"/>
      </w:pPr>
      <w:r w:rsidRPr="00422199">
        <w:tab/>
        <w:t>Subject to any requirements of competent authorities, those responsible for labelling may decide to omit other precautionary statements for a hazard class and category where the information is clearly not appropriate or is adequately addressed by other information on the label, taking into account the nature of the user (e.g. consumer, employers and workers), the quantity supplied, and the intended and foreseeable circumstances of use. Where a decision is made to omit a precautionary statement the supplier of the</w:t>
      </w:r>
      <w:r w:rsidRPr="00422199">
        <w:rPr>
          <w:i/>
        </w:rPr>
        <w:t xml:space="preserve"> </w:t>
      </w:r>
      <w:r w:rsidRPr="00422199">
        <w:t>substance or mixture should be able to demonstrate that the precautionary statement is not appropriate for the intended and foreseeable use, including potential emergency situations.</w:t>
      </w:r>
    </w:p>
    <w:p w:rsidR="00DF62AE" w:rsidRPr="00422199" w:rsidRDefault="00DF62AE" w:rsidP="00422199">
      <w:pPr>
        <w:pStyle w:val="SingleTxtG"/>
        <w:ind w:left="2835"/>
        <w:rPr>
          <w:b/>
          <w:i/>
        </w:rPr>
      </w:pPr>
      <w:r w:rsidRPr="00422199">
        <w:rPr>
          <w:b/>
        </w:rPr>
        <w:t>A3.3.2.2</w:t>
      </w:r>
      <w:r w:rsidRPr="00422199">
        <w:rPr>
          <w:b/>
        </w:rPr>
        <w:tab/>
      </w:r>
      <w:r w:rsidRPr="00422199">
        <w:rPr>
          <w:b/>
          <w:i/>
        </w:rPr>
        <w:t>Combination or consolidation of precautionary statements</w:t>
      </w:r>
    </w:p>
    <w:p w:rsidR="00DF62AE" w:rsidRPr="00422199" w:rsidRDefault="00DF62AE" w:rsidP="00422199">
      <w:pPr>
        <w:pStyle w:val="SingleTxtG"/>
        <w:tabs>
          <w:tab w:val="left" w:pos="3969"/>
        </w:tabs>
        <w:ind w:left="2835"/>
      </w:pPr>
      <w:r w:rsidRPr="00422199">
        <w:t>A3.3.2.2.1</w:t>
      </w:r>
      <w:r w:rsidRPr="00422199">
        <w:tab/>
        <w:t>To provide flexibility in the application of precautionary phrases, combinations or consolidations of precautionary statements are encouraged to save label space and improve readability. The matrix and the Tables in Section 2 of Annex 3 include a number of combined precautionary statements.  However, these are only examples and those responsible for labelling should further combine and consolidate phrases where this contributes to clarity and comprehensibility of label information.</w:t>
      </w:r>
    </w:p>
    <w:p w:rsidR="00DF62AE" w:rsidRPr="008671D0" w:rsidRDefault="00DF62AE" w:rsidP="008671D0">
      <w:pPr>
        <w:pStyle w:val="SingleTxtG"/>
        <w:tabs>
          <w:tab w:val="left" w:pos="3969"/>
        </w:tabs>
        <w:ind w:left="2835"/>
      </w:pPr>
      <w:r w:rsidRPr="008671D0">
        <w:t>A3.3.2.2.2</w:t>
      </w:r>
      <w:r w:rsidRPr="008671D0">
        <w:tab/>
        <w:t xml:space="preserve">Combinations of precautionary statements can also be useful for different types of hazard where the precautionary behaviour is similar. Examples are P372+ P370+ P380 </w:t>
      </w:r>
      <w:r w:rsidR="008671D0">
        <w:t>“</w:t>
      </w:r>
      <w:r w:rsidRPr="008671D0">
        <w:rPr>
          <w:b/>
        </w:rPr>
        <w:t xml:space="preserve">Explosion risk. In case </w:t>
      </w:r>
      <w:r w:rsidRPr="008671D0">
        <w:rPr>
          <w:b/>
        </w:rPr>
        <w:lastRenderedPageBreak/>
        <w:t>of fire: evacuate area</w:t>
      </w:r>
      <w:r w:rsidR="008671D0">
        <w:t>”</w:t>
      </w:r>
      <w:r w:rsidRPr="008671D0">
        <w:t xml:space="preserve"> and P210+ P403 </w:t>
      </w:r>
      <w:r w:rsidR="008671D0">
        <w:t>“</w:t>
      </w:r>
      <w:r w:rsidRPr="008671D0">
        <w:rPr>
          <w:b/>
        </w:rPr>
        <w:t>Keep away from heat, sparks and open flame and store in a cool well ventilated place</w:t>
      </w:r>
      <w:r w:rsidR="008671D0">
        <w:t>”</w:t>
      </w:r>
      <w:r w:rsidRPr="008671D0">
        <w:t xml:space="preserve">. </w:t>
      </w:r>
    </w:p>
    <w:p w:rsidR="00DF62AE" w:rsidRPr="008671D0" w:rsidRDefault="00DF62AE" w:rsidP="00AF7932">
      <w:pPr>
        <w:pStyle w:val="SingleTxtG"/>
        <w:keepNext/>
        <w:keepLines/>
        <w:ind w:left="2835"/>
        <w:rPr>
          <w:b/>
        </w:rPr>
      </w:pPr>
      <w:r w:rsidRPr="008671D0">
        <w:rPr>
          <w:b/>
        </w:rPr>
        <w:t>A3.3.2.3</w:t>
      </w:r>
      <w:r w:rsidRPr="008671D0">
        <w:rPr>
          <w:b/>
        </w:rPr>
        <w:tab/>
      </w:r>
      <w:r w:rsidRPr="008671D0">
        <w:rPr>
          <w:b/>
          <w:i/>
        </w:rPr>
        <w:t>Variations of text not affecting the safety message</w:t>
      </w:r>
      <w:r w:rsidRPr="008671D0">
        <w:rPr>
          <w:b/>
        </w:rPr>
        <w:t xml:space="preserve"> </w:t>
      </w:r>
    </w:p>
    <w:p w:rsidR="008671D0" w:rsidRPr="008671D0" w:rsidRDefault="00DF62AE" w:rsidP="008671D0">
      <w:pPr>
        <w:pStyle w:val="SingleTxtG"/>
        <w:tabs>
          <w:tab w:val="left" w:pos="3969"/>
        </w:tabs>
        <w:ind w:left="2835"/>
      </w:pPr>
      <w:r w:rsidRPr="008671D0">
        <w:t>A3.3.2.3.1</w:t>
      </w:r>
      <w:r w:rsidRPr="008671D0">
        <w:tab/>
        <w:t xml:space="preserve">Subject to any requirements of competent authorities, the precautionary statements that appear on labels or in safety data sheets may incorporate minor textual variations from those set out in the GHS where these variations assist in communicating safety information and the safety advice is not diluted or compromised. These may include spelling variations, synonyms or other equivalent terms appropriate to the region where the product is supplied and used. </w:t>
      </w:r>
    </w:p>
    <w:p w:rsidR="00DF62AE" w:rsidRPr="008671D0" w:rsidRDefault="00DF62AE" w:rsidP="008671D0">
      <w:pPr>
        <w:pStyle w:val="SingleTxtG"/>
        <w:tabs>
          <w:tab w:val="left" w:pos="3969"/>
        </w:tabs>
        <w:ind w:left="2835"/>
      </w:pPr>
      <w:r w:rsidRPr="008671D0">
        <w:t>A3.3.2.3.2</w:t>
      </w:r>
      <w:r w:rsidRPr="008671D0">
        <w:tab/>
        <w:t xml:space="preserve">In all cases, clear plain language is essential to convey information on precautionary behaviour. Furthermore, to ensure clarity of safety messages any variations should be applied consistently on the label and in the safety data sheet. </w:t>
      </w:r>
    </w:p>
    <w:p w:rsidR="00DF62AE" w:rsidRPr="008671D0" w:rsidRDefault="00DF62AE" w:rsidP="008671D0">
      <w:pPr>
        <w:pStyle w:val="SingleTxtG"/>
        <w:ind w:left="2835"/>
        <w:rPr>
          <w:b/>
        </w:rPr>
      </w:pPr>
      <w:r w:rsidRPr="008671D0">
        <w:rPr>
          <w:b/>
        </w:rPr>
        <w:t>A3.3.2.4</w:t>
      </w:r>
      <w:r w:rsidR="00DA7DFF">
        <w:rPr>
          <w:b/>
        </w:rPr>
        <w:tab/>
      </w:r>
      <w:r w:rsidRPr="008671D0">
        <w:rPr>
          <w:b/>
          <w:i/>
        </w:rPr>
        <w:t>Application of precautionary statements concerning medical response</w:t>
      </w:r>
    </w:p>
    <w:p w:rsidR="008671D0" w:rsidRDefault="00DF62AE" w:rsidP="008671D0">
      <w:pPr>
        <w:pStyle w:val="SingleTxtG"/>
        <w:tabs>
          <w:tab w:val="left" w:pos="3969"/>
        </w:tabs>
        <w:ind w:left="2835"/>
      </w:pPr>
      <w:r w:rsidRPr="008671D0">
        <w:t xml:space="preserve">A3.3.2.4.1 </w:t>
      </w:r>
      <w:r w:rsidR="00DA7DFF">
        <w:tab/>
      </w:r>
      <w:r w:rsidRPr="008671D0">
        <w:t xml:space="preserve">Where a substance or mixture is classified for a number of health hazards, this may trigger multiple precautionary statements relating to medical response i.e. calling a poison </w:t>
      </w:r>
      <w:proofErr w:type="spellStart"/>
      <w:r w:rsidRPr="008671D0">
        <w:t>center</w:t>
      </w:r>
      <w:proofErr w:type="spellEnd"/>
      <w:r w:rsidRPr="008671D0">
        <w:t>/doctor/… (</w:t>
      </w:r>
      <w:proofErr w:type="gramStart"/>
      <w:r w:rsidR="008671D0">
        <w:t>s</w:t>
      </w:r>
      <w:r w:rsidRPr="008671D0">
        <w:t>eries</w:t>
      </w:r>
      <w:proofErr w:type="gramEnd"/>
      <w:r w:rsidRPr="008671D0">
        <w:t xml:space="preserve"> P310-P312) and getting medical advice/attention (</w:t>
      </w:r>
      <w:r w:rsidR="008671D0">
        <w:t>s</w:t>
      </w:r>
      <w:r w:rsidRPr="008671D0">
        <w:t xml:space="preserve">eries P313-315). Usually, the label need only include one precautionary statement reflecting the response at the highest level with the greatest urgency, which should always be combined with at least one route of exposure or symptom (‘IF’ statement). </w:t>
      </w:r>
    </w:p>
    <w:p w:rsidR="00DF62AE" w:rsidRPr="008671D0" w:rsidRDefault="00DA7DFF" w:rsidP="008671D0">
      <w:pPr>
        <w:pStyle w:val="SingleTxtG"/>
        <w:tabs>
          <w:tab w:val="left" w:pos="3969"/>
        </w:tabs>
        <w:ind w:left="2835"/>
      </w:pPr>
      <w:r>
        <w:rPr>
          <w:b/>
          <w:i/>
        </w:rPr>
        <w:t>NOTE</w:t>
      </w:r>
      <w:r w:rsidR="008671D0" w:rsidRPr="008671D0">
        <w:rPr>
          <w:b/>
          <w:i/>
        </w:rPr>
        <w:t>:</w:t>
      </w:r>
      <w:r w:rsidR="008671D0" w:rsidRPr="008671D0">
        <w:t xml:space="preserve"> </w:t>
      </w:r>
      <w:r w:rsidR="00DF62AE" w:rsidRPr="008671D0">
        <w:rPr>
          <w:i/>
        </w:rPr>
        <w:t xml:space="preserve">This does not apply to P314 </w:t>
      </w:r>
      <w:r w:rsidR="008671D0">
        <w:rPr>
          <w:i/>
        </w:rPr>
        <w:t>“</w:t>
      </w:r>
      <w:r w:rsidR="00DF62AE" w:rsidRPr="00DA7DFF">
        <w:rPr>
          <w:b/>
          <w:i/>
        </w:rPr>
        <w:t>Get medical advice/attention if you feel unwell</w:t>
      </w:r>
      <w:r w:rsidR="008671D0">
        <w:rPr>
          <w:i/>
        </w:rPr>
        <w:t>”</w:t>
      </w:r>
      <w:r w:rsidR="00DF62AE" w:rsidRPr="008671D0">
        <w:rPr>
          <w:i/>
        </w:rPr>
        <w:t xml:space="preserve"> nor P315 </w:t>
      </w:r>
      <w:r w:rsidR="008671D0">
        <w:rPr>
          <w:i/>
        </w:rPr>
        <w:t>“</w:t>
      </w:r>
      <w:r w:rsidR="00DF62AE" w:rsidRPr="00DA7DFF">
        <w:rPr>
          <w:b/>
          <w:i/>
        </w:rPr>
        <w:t>Get immediate medical/advice attention</w:t>
      </w:r>
      <w:r w:rsidR="008671D0">
        <w:rPr>
          <w:i/>
        </w:rPr>
        <w:t>”</w:t>
      </w:r>
      <w:r w:rsidR="00DF62AE" w:rsidRPr="008671D0">
        <w:rPr>
          <w:i/>
        </w:rPr>
        <w:t xml:space="preserve"> which are not combined with a</w:t>
      </w:r>
      <w:r w:rsidR="00912CE5">
        <w:rPr>
          <w:i/>
        </w:rPr>
        <w:t xml:space="preserve"> separate</w:t>
      </w:r>
      <w:r w:rsidR="00DF62AE" w:rsidRPr="008671D0">
        <w:rPr>
          <w:i/>
        </w:rPr>
        <w:t xml:space="preserve"> </w:t>
      </w:r>
      <w:r>
        <w:rPr>
          <w:i/>
        </w:rPr>
        <w:t>“</w:t>
      </w:r>
      <w:r w:rsidR="00DF62AE" w:rsidRPr="008671D0">
        <w:rPr>
          <w:i/>
        </w:rPr>
        <w:t>IF</w:t>
      </w:r>
      <w:r>
        <w:rPr>
          <w:i/>
        </w:rPr>
        <w:t>”</w:t>
      </w:r>
      <w:r w:rsidR="00DF62AE" w:rsidRPr="008671D0">
        <w:rPr>
          <w:i/>
        </w:rPr>
        <w:t xml:space="preserve"> statement and should appear without prioritisation.</w:t>
      </w:r>
    </w:p>
    <w:p w:rsidR="00DF62AE" w:rsidRPr="00DA7DFF" w:rsidRDefault="00DF62AE" w:rsidP="00DA7DFF">
      <w:pPr>
        <w:pStyle w:val="SingleTxtG"/>
        <w:tabs>
          <w:tab w:val="left" w:pos="3969"/>
        </w:tabs>
        <w:ind w:left="2835"/>
      </w:pPr>
      <w:r w:rsidRPr="00DA7DFF">
        <w:t xml:space="preserve">A.3.3.2.4.2 </w:t>
      </w:r>
      <w:r w:rsidR="00DA7DFF">
        <w:tab/>
      </w:r>
      <w:r w:rsidRPr="00DA7DFF">
        <w:t>In general, the following principles should be applied:</w:t>
      </w:r>
    </w:p>
    <w:p w:rsidR="00DF62AE" w:rsidRPr="00DA7DFF" w:rsidRDefault="00DA7DFF" w:rsidP="00DA7DFF">
      <w:pPr>
        <w:pStyle w:val="SingleTxtG"/>
        <w:ind w:left="3402" w:hanging="567"/>
      </w:pPr>
      <w:r w:rsidRPr="00DA7DFF">
        <w:t>(a)</w:t>
      </w:r>
      <w:r w:rsidRPr="00DA7DFF">
        <w:tab/>
      </w:r>
      <w:r w:rsidR="00DF62AE" w:rsidRPr="00DA7DFF">
        <w:t>Where the classification of a substance or mixture triggers several different precautionary statements</w:t>
      </w:r>
      <w:r w:rsidR="00912CE5">
        <w:t xml:space="preserve"> a system of prioritisation should be applied.</w:t>
      </w:r>
      <w:r w:rsidR="00DF62AE" w:rsidRPr="00DA7DFF">
        <w:t xml:space="preserve"> </w:t>
      </w:r>
      <w:r w:rsidR="00912CE5">
        <w:t>P310, “</w:t>
      </w:r>
      <w:r w:rsidR="00912CE5" w:rsidRPr="00912CE5">
        <w:rPr>
          <w:b/>
        </w:rPr>
        <w:t>Immediately call a POISON CENTER/doctor/…</w:t>
      </w:r>
      <w:r w:rsidR="00912CE5">
        <w:t>”, should be prioritised over P311-P313; P311, “</w:t>
      </w:r>
      <w:r w:rsidR="00912CE5">
        <w:rPr>
          <w:b/>
        </w:rPr>
        <w:t>Call a POISON CENTER/doctor/…</w:t>
      </w:r>
      <w:r w:rsidR="00912CE5">
        <w:t>” over P312</w:t>
      </w:r>
      <w:r w:rsidR="00ED6C25">
        <w:t xml:space="preserve"> and P313; </w:t>
      </w:r>
      <w:r w:rsidR="00912CE5">
        <w:t xml:space="preserve">and </w:t>
      </w:r>
      <w:r w:rsidR="00211686">
        <w:t xml:space="preserve">where only </w:t>
      </w:r>
      <w:r w:rsidR="00912CE5">
        <w:t>P312, “</w:t>
      </w:r>
      <w:r w:rsidR="00912CE5" w:rsidRPr="00912CE5">
        <w:rPr>
          <w:b/>
        </w:rPr>
        <w:t>Call a POISON CENTER/doctor/…if you feel unwell</w:t>
      </w:r>
      <w:r w:rsidR="00912CE5">
        <w:t>”</w:t>
      </w:r>
      <w:r w:rsidR="00211686">
        <w:t>;</w:t>
      </w:r>
      <w:r w:rsidR="00912CE5">
        <w:t xml:space="preserve"> and P313, “</w:t>
      </w:r>
      <w:r w:rsidR="00912CE5" w:rsidRPr="00912CE5">
        <w:rPr>
          <w:b/>
        </w:rPr>
        <w:t>Get medical advice/attention</w:t>
      </w:r>
      <w:r w:rsidR="00912CE5">
        <w:t>”,</w:t>
      </w:r>
      <w:r w:rsidR="00211686">
        <w:t xml:space="preserve"> are triggered, </w:t>
      </w:r>
      <w:r w:rsidR="00912CE5">
        <w:t>P311</w:t>
      </w:r>
      <w:r w:rsidR="00211686">
        <w:t>, “</w:t>
      </w:r>
      <w:r w:rsidR="00211686" w:rsidRPr="00211686">
        <w:rPr>
          <w:b/>
        </w:rPr>
        <w:t>Call a POISON CENTER/doctor/…</w:t>
      </w:r>
      <w:r w:rsidR="00211686" w:rsidRPr="00211686">
        <w:t>”</w:t>
      </w:r>
      <w:r w:rsidR="00211686">
        <w:t xml:space="preserve"> should be used</w:t>
      </w:r>
      <w:r w:rsidR="00211686" w:rsidRPr="00211686">
        <w:t>.</w:t>
      </w:r>
    </w:p>
    <w:p w:rsidR="004F160A" w:rsidRDefault="00DA7DFF" w:rsidP="00FD15CB">
      <w:pPr>
        <w:pStyle w:val="SingleTxtG"/>
        <w:ind w:left="3402" w:hanging="567"/>
      </w:pPr>
      <w:r w:rsidRPr="00FD15CB">
        <w:t>(b)</w:t>
      </w:r>
      <w:r w:rsidRPr="00FD15CB">
        <w:tab/>
      </w:r>
      <w:r w:rsidR="00DF62AE" w:rsidRPr="00FD15CB">
        <w:t xml:space="preserve">Routes of exposure, including P308 </w:t>
      </w:r>
      <w:r w:rsidR="00FD15CB">
        <w:t>“</w:t>
      </w:r>
      <w:r w:rsidR="00DF62AE" w:rsidRPr="00FD15CB">
        <w:rPr>
          <w:b/>
        </w:rPr>
        <w:t>IF exposed or concerned</w:t>
      </w:r>
      <w:r w:rsidR="00FD15CB">
        <w:t>”</w:t>
      </w:r>
      <w:r w:rsidR="00DF62AE" w:rsidRPr="00FD15CB">
        <w:t xml:space="preserve">, may be combined when triggered with a medical response statement. If the response statement is triggered with three or more routes of exposure then P308 may be used instead.  </w:t>
      </w:r>
      <w:proofErr w:type="gramStart"/>
      <w:r w:rsidR="00DF62AE" w:rsidRPr="00FD15CB">
        <w:t xml:space="preserve">However, relevant </w:t>
      </w:r>
      <w:r w:rsidR="00FD15CB">
        <w:t>“</w:t>
      </w:r>
      <w:r w:rsidR="00DF62AE" w:rsidRPr="00FD15CB">
        <w:t>IF</w:t>
      </w:r>
      <w:r w:rsidR="00FD15CB">
        <w:t>”</w:t>
      </w:r>
      <w:r w:rsidR="00DF62AE" w:rsidRPr="00FD15CB">
        <w:t xml:space="preserve"> statements describing symptoms (e.g. P332, P333, P337, P342) should be included in full.</w:t>
      </w:r>
      <w:proofErr w:type="gramEnd"/>
      <w:r w:rsidR="00DF62AE" w:rsidRPr="00FD15CB">
        <w:t xml:space="preserve"> If a </w:t>
      </w:r>
      <w:r w:rsidR="004F160A">
        <w:t>route of exposure</w:t>
      </w:r>
      <w:r w:rsidR="00DF62AE" w:rsidRPr="00FD15CB">
        <w:t xml:space="preserve"> is triggered multiple times it should only be included once. </w:t>
      </w:r>
    </w:p>
    <w:p w:rsidR="007845B6" w:rsidRDefault="007845B6">
      <w:pPr>
        <w:suppressAutoHyphens w:val="0"/>
        <w:spacing w:line="240" w:lineRule="auto"/>
      </w:pPr>
      <w:r>
        <w:br w:type="page"/>
      </w:r>
    </w:p>
    <w:p w:rsidR="00DF62AE" w:rsidRPr="00FD15CB" w:rsidRDefault="00DF62AE" w:rsidP="004F160A">
      <w:pPr>
        <w:pStyle w:val="SingleTxtG"/>
        <w:ind w:left="3402"/>
      </w:pPr>
      <w:r w:rsidRPr="00FD15CB">
        <w:lastRenderedPageBreak/>
        <w:t>For example:</w:t>
      </w:r>
    </w:p>
    <w:p w:rsidR="00DF62AE" w:rsidRPr="00FD15CB" w:rsidRDefault="00FD15CB" w:rsidP="00FD15CB">
      <w:pPr>
        <w:pStyle w:val="SingleTxtG"/>
        <w:ind w:left="3969" w:hanging="567"/>
      </w:pPr>
      <w:r>
        <w:t>(</w:t>
      </w:r>
      <w:proofErr w:type="spellStart"/>
      <w:r>
        <w:t>i</w:t>
      </w:r>
      <w:proofErr w:type="spellEnd"/>
      <w:r>
        <w:t>)</w:t>
      </w:r>
      <w:r>
        <w:tab/>
      </w:r>
      <w:proofErr w:type="gramStart"/>
      <w:r w:rsidR="007845B6">
        <w:t>i</w:t>
      </w:r>
      <w:r w:rsidR="00DF62AE" w:rsidRPr="00FD15CB">
        <w:t>f</w:t>
      </w:r>
      <w:proofErr w:type="gramEnd"/>
      <w:r w:rsidR="00DF62AE" w:rsidRPr="00FD15CB">
        <w:t xml:space="preserve"> P301 and P30</w:t>
      </w:r>
      <w:r w:rsidR="00ED6C25">
        <w:t>5</w:t>
      </w:r>
      <w:r w:rsidR="00577EBE">
        <w:t>,</w:t>
      </w:r>
      <w:r w:rsidR="00DF62AE" w:rsidRPr="00FD15CB">
        <w:t xml:space="preserve"> </w:t>
      </w:r>
      <w:r>
        <w:t>“</w:t>
      </w:r>
      <w:r w:rsidR="00DF62AE" w:rsidRPr="007602C8">
        <w:rPr>
          <w:b/>
        </w:rPr>
        <w:t>IF SWALLOWED:</w:t>
      </w:r>
      <w:r w:rsidR="007602C8">
        <w:t>”</w:t>
      </w:r>
      <w:r w:rsidR="00DF62AE" w:rsidRPr="00FD15CB">
        <w:t xml:space="preserve"> and </w:t>
      </w:r>
      <w:r w:rsidR="007602C8">
        <w:t>“</w:t>
      </w:r>
      <w:r w:rsidR="00DF62AE" w:rsidRPr="007602C8">
        <w:rPr>
          <w:b/>
        </w:rPr>
        <w:t>IF IN EYES:</w:t>
      </w:r>
      <w:r w:rsidR="007602C8">
        <w:t>”</w:t>
      </w:r>
      <w:r w:rsidR="00577EBE">
        <w:t>,</w:t>
      </w:r>
      <w:r w:rsidR="00DF62AE" w:rsidRPr="00FD15CB">
        <w:t xml:space="preserve"> are triggered with P313</w:t>
      </w:r>
      <w:r w:rsidR="00577EBE">
        <w:t>,</w:t>
      </w:r>
      <w:r w:rsidR="00DF62AE" w:rsidRPr="00FD15CB">
        <w:t xml:space="preserve"> </w:t>
      </w:r>
      <w:r w:rsidR="007602C8">
        <w:t>“</w:t>
      </w:r>
      <w:r w:rsidR="00DF62AE" w:rsidRPr="007602C8">
        <w:rPr>
          <w:b/>
        </w:rPr>
        <w:t>Get medical advice/attention</w:t>
      </w:r>
      <w:r w:rsidR="007602C8">
        <w:t>”</w:t>
      </w:r>
      <w:r w:rsidR="00577EBE">
        <w:t>,</w:t>
      </w:r>
      <w:r w:rsidR="004F160A">
        <w:t xml:space="preserve"> and P312</w:t>
      </w:r>
      <w:r w:rsidR="00577EBE">
        <w:t>,</w:t>
      </w:r>
      <w:r w:rsidR="004F160A">
        <w:t xml:space="preserve"> “</w:t>
      </w:r>
      <w:r w:rsidR="004F160A">
        <w:rPr>
          <w:b/>
        </w:rPr>
        <w:t>Immediately call a POISON CENTER/doctor/…if you feel unwell</w:t>
      </w:r>
      <w:r w:rsidR="004F160A">
        <w:t>”</w:t>
      </w:r>
      <w:r w:rsidR="00DF62AE" w:rsidRPr="00FD15CB">
        <w:t xml:space="preserve">, </w:t>
      </w:r>
      <w:r w:rsidR="004F160A">
        <w:t>then P</w:t>
      </w:r>
      <w:r w:rsidR="00ED6C25">
        <w:t>301 + P305 + P311</w:t>
      </w:r>
      <w:r w:rsidR="004F160A">
        <w:t>,</w:t>
      </w:r>
      <w:r w:rsidR="00DF62AE" w:rsidRPr="00FD15CB">
        <w:t xml:space="preserve"> </w:t>
      </w:r>
      <w:r w:rsidR="007602C8">
        <w:t>“</w:t>
      </w:r>
      <w:r w:rsidR="00DF62AE" w:rsidRPr="007602C8">
        <w:rPr>
          <w:b/>
        </w:rPr>
        <w:t xml:space="preserve">IF SWALLOWED OR IN EYES: </w:t>
      </w:r>
      <w:r w:rsidR="004F160A">
        <w:rPr>
          <w:b/>
        </w:rPr>
        <w:t>Call a POISON CENTER/doctor/..</w:t>
      </w:r>
      <w:r w:rsidR="00DF62AE" w:rsidRPr="007602C8">
        <w:rPr>
          <w:b/>
        </w:rPr>
        <w:t>.</w:t>
      </w:r>
      <w:r w:rsidR="007602C8" w:rsidRPr="004F160A">
        <w:t>”</w:t>
      </w:r>
      <w:r w:rsidR="004F160A" w:rsidRPr="004F160A">
        <w:t xml:space="preserve">, should </w:t>
      </w:r>
      <w:r w:rsidR="004F160A">
        <w:t>appear</w:t>
      </w:r>
      <w:r w:rsidR="004F160A">
        <w:rPr>
          <w:b/>
        </w:rPr>
        <w:t>.</w:t>
      </w:r>
    </w:p>
    <w:p w:rsidR="00DF62AE" w:rsidRPr="007602C8" w:rsidRDefault="007602C8" w:rsidP="007602C8">
      <w:pPr>
        <w:pStyle w:val="SingleTxtG"/>
        <w:ind w:left="3969" w:hanging="567"/>
      </w:pPr>
      <w:r>
        <w:t>(ii)</w:t>
      </w:r>
      <w:r>
        <w:tab/>
      </w:r>
      <w:r w:rsidR="007845B6">
        <w:t>i</w:t>
      </w:r>
      <w:r w:rsidR="00DF62AE" w:rsidRPr="007602C8">
        <w:t>f P30</w:t>
      </w:r>
      <w:r w:rsidR="004F160A">
        <w:t>4</w:t>
      </w:r>
      <w:r w:rsidR="00DF62AE" w:rsidRPr="007602C8">
        <w:t>, P30</w:t>
      </w:r>
      <w:r w:rsidR="003E0C31">
        <w:t>2</w:t>
      </w:r>
      <w:r w:rsidR="00DF62AE" w:rsidRPr="007602C8">
        <w:t>, P301 and P33</w:t>
      </w:r>
      <w:r w:rsidR="004F160A">
        <w:t>3</w:t>
      </w:r>
      <w:r w:rsidR="00577EBE">
        <w:t>,</w:t>
      </w:r>
      <w:r w:rsidR="00DF62AE" w:rsidRPr="007602C8">
        <w:t xml:space="preserve"> </w:t>
      </w:r>
      <w:r>
        <w:t>“</w:t>
      </w:r>
      <w:r w:rsidR="00DF62AE" w:rsidRPr="007602C8">
        <w:rPr>
          <w:b/>
        </w:rPr>
        <w:t xml:space="preserve">IF </w:t>
      </w:r>
      <w:r w:rsidR="004F160A">
        <w:rPr>
          <w:b/>
        </w:rPr>
        <w:t>INHALED</w:t>
      </w:r>
      <w:r w:rsidR="00DF62AE" w:rsidRPr="007602C8">
        <w:rPr>
          <w:b/>
        </w:rPr>
        <w:t>:</w:t>
      </w:r>
      <w:r>
        <w:t>”</w:t>
      </w:r>
      <w:r w:rsidR="00DF62AE" w:rsidRPr="007602C8">
        <w:t xml:space="preserve">, </w:t>
      </w:r>
      <w:r>
        <w:t>“</w:t>
      </w:r>
      <w:r w:rsidR="00DF62AE" w:rsidRPr="007602C8">
        <w:rPr>
          <w:b/>
        </w:rPr>
        <w:t xml:space="preserve">IF </w:t>
      </w:r>
      <w:r w:rsidR="003E0C31">
        <w:rPr>
          <w:b/>
        </w:rPr>
        <w:t>ON SKIN</w:t>
      </w:r>
      <w:r w:rsidR="00DF62AE" w:rsidRPr="007602C8">
        <w:rPr>
          <w:b/>
        </w:rPr>
        <w:t>:</w:t>
      </w:r>
      <w:r>
        <w:t>”</w:t>
      </w:r>
      <w:r w:rsidR="00DF62AE" w:rsidRPr="007602C8">
        <w:t xml:space="preserve">, </w:t>
      </w:r>
      <w:r>
        <w:t>“</w:t>
      </w:r>
      <w:r w:rsidR="00DF62AE" w:rsidRPr="007602C8">
        <w:rPr>
          <w:b/>
        </w:rPr>
        <w:t>IF SWALLOWED:</w:t>
      </w:r>
      <w:r>
        <w:t>”</w:t>
      </w:r>
      <w:r w:rsidR="00DF62AE" w:rsidRPr="007602C8">
        <w:t xml:space="preserve"> and </w:t>
      </w:r>
      <w:r>
        <w:t>“</w:t>
      </w:r>
      <w:r w:rsidR="00DF62AE" w:rsidRPr="007602C8">
        <w:rPr>
          <w:b/>
        </w:rPr>
        <w:t xml:space="preserve">If skin irritation </w:t>
      </w:r>
      <w:r w:rsidR="004F160A">
        <w:rPr>
          <w:b/>
        </w:rPr>
        <w:t xml:space="preserve">or rash </w:t>
      </w:r>
      <w:r w:rsidR="00DF62AE" w:rsidRPr="007602C8">
        <w:rPr>
          <w:b/>
        </w:rPr>
        <w:t>occurs:</w:t>
      </w:r>
      <w:r>
        <w:t>”</w:t>
      </w:r>
      <w:r w:rsidR="00DF62AE" w:rsidRPr="007602C8">
        <w:t>, are triggered with P310</w:t>
      </w:r>
      <w:r w:rsidR="00577EBE">
        <w:t>,</w:t>
      </w:r>
      <w:r w:rsidR="00DF62AE" w:rsidRPr="007602C8">
        <w:t xml:space="preserve"> </w:t>
      </w:r>
      <w:r>
        <w:t>“</w:t>
      </w:r>
      <w:r w:rsidR="00DF62AE" w:rsidRPr="007602C8">
        <w:rPr>
          <w:b/>
        </w:rPr>
        <w:t>Immediately call a POISON CENTER/doctor/…</w:t>
      </w:r>
      <w:r>
        <w:t>”</w:t>
      </w:r>
      <w:r w:rsidR="00577EBE">
        <w:t>,</w:t>
      </w:r>
      <w:r w:rsidR="004F160A">
        <w:t xml:space="preserve"> and P311</w:t>
      </w:r>
      <w:r w:rsidR="00DF62AE" w:rsidRPr="007602C8">
        <w:t>,</w:t>
      </w:r>
      <w:r w:rsidR="004F160A">
        <w:t xml:space="preserve"> “</w:t>
      </w:r>
      <w:r w:rsidR="004F160A">
        <w:rPr>
          <w:b/>
        </w:rPr>
        <w:t>Call a POISON CENTER/doctor/…</w:t>
      </w:r>
      <w:r w:rsidR="004F160A">
        <w:t>”,</w:t>
      </w:r>
      <w:r w:rsidR="00DF62AE" w:rsidRPr="007602C8">
        <w:t xml:space="preserve"> then P308 + P332 + P310</w:t>
      </w:r>
      <w:r w:rsidR="00577EBE">
        <w:t>,</w:t>
      </w:r>
      <w:r w:rsidR="00DF62AE" w:rsidRPr="007602C8">
        <w:t xml:space="preserve"> </w:t>
      </w:r>
      <w:r>
        <w:t>“</w:t>
      </w:r>
      <w:r w:rsidR="00DF62AE" w:rsidRPr="007602C8">
        <w:rPr>
          <w:b/>
        </w:rPr>
        <w:t xml:space="preserve">IF exposed or concerned or if skin irritation </w:t>
      </w:r>
      <w:r w:rsidR="004F160A">
        <w:rPr>
          <w:b/>
        </w:rPr>
        <w:t xml:space="preserve">or rash </w:t>
      </w:r>
      <w:r w:rsidR="00DF62AE" w:rsidRPr="007602C8">
        <w:rPr>
          <w:b/>
        </w:rPr>
        <w:t>occurs: Immediately call a POISON CENTER/doctor/…</w:t>
      </w:r>
      <w:r>
        <w:t>”</w:t>
      </w:r>
      <w:r w:rsidR="00DF62AE" w:rsidRPr="007602C8">
        <w:t xml:space="preserve">, </w:t>
      </w:r>
      <w:r w:rsidR="004F160A">
        <w:t>should</w:t>
      </w:r>
      <w:r w:rsidR="004F160A" w:rsidRPr="007602C8">
        <w:t xml:space="preserve"> </w:t>
      </w:r>
      <w:r w:rsidR="004F160A">
        <w:t>appear</w:t>
      </w:r>
      <w:r w:rsidR="00DF62AE" w:rsidRPr="007602C8">
        <w:t>.</w:t>
      </w:r>
    </w:p>
    <w:p w:rsidR="00DF62AE" w:rsidRPr="007602C8" w:rsidRDefault="007602C8" w:rsidP="007602C8">
      <w:pPr>
        <w:pStyle w:val="SingleTxtG"/>
        <w:ind w:left="3969" w:hanging="567"/>
      </w:pPr>
      <w:r>
        <w:t>(iii)</w:t>
      </w:r>
      <w:r>
        <w:tab/>
      </w:r>
      <w:r w:rsidR="007845B6">
        <w:t>i</w:t>
      </w:r>
      <w:r w:rsidR="00DF62AE" w:rsidRPr="007602C8">
        <w:t>f P305</w:t>
      </w:r>
      <w:r w:rsidR="004F160A" w:rsidRPr="004F160A">
        <w:t xml:space="preserve"> and</w:t>
      </w:r>
      <w:r w:rsidR="004F160A">
        <w:rPr>
          <w:b/>
        </w:rPr>
        <w:t xml:space="preserve"> </w:t>
      </w:r>
      <w:r w:rsidR="004F160A" w:rsidRPr="004F160A">
        <w:t>P302</w:t>
      </w:r>
      <w:r w:rsidR="004F160A">
        <w:t>,</w:t>
      </w:r>
      <w:r w:rsidR="004F160A">
        <w:rPr>
          <w:b/>
        </w:rPr>
        <w:t xml:space="preserve"> </w:t>
      </w:r>
      <w:r w:rsidR="00DF62AE" w:rsidRPr="007602C8">
        <w:t xml:space="preserve"> </w:t>
      </w:r>
      <w:r>
        <w:t>“</w:t>
      </w:r>
      <w:r w:rsidR="00DF62AE" w:rsidRPr="007602C8">
        <w:rPr>
          <w:b/>
        </w:rPr>
        <w:t>IF IN EYES:</w:t>
      </w:r>
      <w:r w:rsidR="004F160A">
        <w:rPr>
          <w:b/>
        </w:rPr>
        <w:t xml:space="preserve">” </w:t>
      </w:r>
      <w:r w:rsidR="004F160A" w:rsidRPr="004F160A">
        <w:t>and</w:t>
      </w:r>
      <w:r w:rsidR="004F160A">
        <w:rPr>
          <w:b/>
        </w:rPr>
        <w:t xml:space="preserve"> </w:t>
      </w:r>
      <w:r w:rsidR="004F160A" w:rsidRPr="004F160A">
        <w:t>“</w:t>
      </w:r>
      <w:r w:rsidR="004F160A">
        <w:rPr>
          <w:b/>
        </w:rPr>
        <w:t>IF ON SKIN</w:t>
      </w:r>
      <w:r w:rsidR="004F160A" w:rsidRPr="004F160A">
        <w:t>”,</w:t>
      </w:r>
      <w:r w:rsidR="004F160A">
        <w:rPr>
          <w:b/>
        </w:rPr>
        <w:t xml:space="preserve"> </w:t>
      </w:r>
      <w:r w:rsidR="004F160A" w:rsidRPr="004F160A">
        <w:t>are triggered with P310,</w:t>
      </w:r>
      <w:r w:rsidR="00DF62AE" w:rsidRPr="007602C8">
        <w:rPr>
          <w:b/>
        </w:rPr>
        <w:t xml:space="preserve"> </w:t>
      </w:r>
      <w:r w:rsidR="004F160A">
        <w:t>“</w:t>
      </w:r>
      <w:r w:rsidR="00DF62AE" w:rsidRPr="007602C8">
        <w:rPr>
          <w:b/>
        </w:rPr>
        <w:t>Immediately call a POISON CENTER/doctor/…</w:t>
      </w:r>
      <w:r>
        <w:t>”</w:t>
      </w:r>
      <w:r w:rsidR="00DF62AE" w:rsidRPr="007602C8">
        <w:t>, P313</w:t>
      </w:r>
      <w:r w:rsidR="004F160A">
        <w:t>,</w:t>
      </w:r>
      <w:r w:rsidR="00DF62AE" w:rsidRPr="007602C8">
        <w:t xml:space="preserve"> </w:t>
      </w:r>
      <w:r>
        <w:t>“</w:t>
      </w:r>
      <w:r w:rsidR="00DF62AE" w:rsidRPr="007602C8">
        <w:rPr>
          <w:b/>
        </w:rPr>
        <w:t>Get medical advice/attention</w:t>
      </w:r>
      <w:r>
        <w:t>”</w:t>
      </w:r>
      <w:r w:rsidR="00DF62AE" w:rsidRPr="007602C8">
        <w:t>,</w:t>
      </w:r>
      <w:r w:rsidR="004F160A">
        <w:t xml:space="preserve"> and P314, “</w:t>
      </w:r>
      <w:r w:rsidR="004F160A" w:rsidRPr="004F160A">
        <w:rPr>
          <w:b/>
        </w:rPr>
        <w:t>Get medical advice/attention if you feel unwell</w:t>
      </w:r>
      <w:r w:rsidR="004F160A">
        <w:t>”</w:t>
      </w:r>
      <w:r w:rsidR="00DF62AE" w:rsidRPr="007602C8">
        <w:t>, then P303 + P302 + P310</w:t>
      </w:r>
      <w:r>
        <w:t>:</w:t>
      </w:r>
      <w:r w:rsidR="00DF62AE" w:rsidRPr="007602C8">
        <w:t xml:space="preserve"> </w:t>
      </w:r>
      <w:r>
        <w:t>“</w:t>
      </w:r>
      <w:r w:rsidR="00DF62AE" w:rsidRPr="007602C8">
        <w:rPr>
          <w:b/>
        </w:rPr>
        <w:t>IF IN EYES OR ON SKIN: Immediately call a POISON CENTER/doctor/…</w:t>
      </w:r>
      <w:r>
        <w:t>”</w:t>
      </w:r>
      <w:r w:rsidR="00DF62AE" w:rsidRPr="007602C8">
        <w:t xml:space="preserve">, </w:t>
      </w:r>
      <w:r w:rsidR="004F160A">
        <w:t>and P314, “</w:t>
      </w:r>
      <w:r w:rsidR="004F160A" w:rsidRPr="004F160A">
        <w:rPr>
          <w:b/>
        </w:rPr>
        <w:t>Get medical advice/ attention if you feel unwell…”</w:t>
      </w:r>
      <w:r w:rsidR="004F160A">
        <w:rPr>
          <w:b/>
        </w:rPr>
        <w:t xml:space="preserve"> </w:t>
      </w:r>
      <w:r w:rsidR="004F160A">
        <w:t>should</w:t>
      </w:r>
      <w:r w:rsidR="004F160A" w:rsidRPr="007602C8">
        <w:t xml:space="preserve"> </w:t>
      </w:r>
      <w:r w:rsidR="004F160A">
        <w:t>appear separately</w:t>
      </w:r>
      <w:r w:rsidR="00DF62AE" w:rsidRPr="007602C8">
        <w:t>.</w:t>
      </w:r>
    </w:p>
    <w:p w:rsidR="007602C8" w:rsidRDefault="007602C8" w:rsidP="007602C8">
      <w:pPr>
        <w:pStyle w:val="SingleTxtG"/>
        <w:ind w:left="2835" w:hanging="1134"/>
        <w:rPr>
          <w:rFonts w:eastAsia="MS Mincho"/>
        </w:rPr>
      </w:pPr>
      <w:r>
        <w:rPr>
          <w:rFonts w:eastAsia="MS Mincho"/>
        </w:rPr>
        <w:t>A3.3.3</w:t>
      </w:r>
      <w:r w:rsidR="00921719">
        <w:rPr>
          <w:rFonts w:eastAsia="MS Mincho"/>
        </w:rPr>
        <w:t>.1</w:t>
      </w:r>
      <w:r>
        <w:rPr>
          <w:rFonts w:eastAsia="MS Mincho"/>
        </w:rPr>
        <w:tab/>
        <w:t>Amend t</w:t>
      </w:r>
      <w:r w:rsidR="00921719">
        <w:rPr>
          <w:rFonts w:eastAsia="MS Mincho"/>
        </w:rPr>
        <w:t xml:space="preserve">he second sentence to read as follows: </w:t>
      </w:r>
    </w:p>
    <w:p w:rsidR="00921719" w:rsidRPr="00921719" w:rsidRDefault="00921719" w:rsidP="00921719">
      <w:pPr>
        <w:pStyle w:val="SingleTxtG"/>
        <w:ind w:left="2835"/>
      </w:pPr>
      <w:r w:rsidRPr="00921719">
        <w:rPr>
          <w:rFonts w:eastAsia="MS Mincho"/>
        </w:rPr>
        <w:tab/>
        <w:t>“</w:t>
      </w:r>
      <w:r w:rsidRPr="00921719">
        <w:t xml:space="preserve">To this end the needs of, and the information sources available to two groups of users should be taken into account: consumers </w:t>
      </w:r>
      <w:r>
        <w:t>and</w:t>
      </w:r>
      <w:r w:rsidRPr="00921719">
        <w:t xml:space="preserve"> employers</w:t>
      </w:r>
      <w:r w:rsidR="00730AB4">
        <w:t>/</w:t>
      </w:r>
      <w:r w:rsidRPr="00921719">
        <w:t xml:space="preserve">workers.” </w:t>
      </w:r>
    </w:p>
    <w:p w:rsidR="00921719" w:rsidRDefault="00921719" w:rsidP="00921719">
      <w:pPr>
        <w:pStyle w:val="SingleTxtG"/>
        <w:ind w:left="2835" w:hanging="1134"/>
        <w:rPr>
          <w:rFonts w:eastAsia="MS Mincho"/>
        </w:rPr>
      </w:pPr>
      <w:r>
        <w:rPr>
          <w:rFonts w:eastAsia="MS Mincho"/>
        </w:rPr>
        <w:t>A3.3.3.2</w:t>
      </w:r>
      <w:r>
        <w:rPr>
          <w:rFonts w:eastAsia="MS Mincho"/>
        </w:rPr>
        <w:tab/>
      </w:r>
      <w:r w:rsidR="000D4BFF">
        <w:rPr>
          <w:rFonts w:eastAsia="MS Mincho"/>
        </w:rPr>
        <w:t>Delete the table and a</w:t>
      </w:r>
      <w:r>
        <w:rPr>
          <w:rFonts w:eastAsia="MS Mincho"/>
        </w:rPr>
        <w:t xml:space="preserve">mend </w:t>
      </w:r>
      <w:r w:rsidR="000D4BFF">
        <w:rPr>
          <w:rFonts w:eastAsia="MS Mincho"/>
        </w:rPr>
        <w:t xml:space="preserve">the paragraph </w:t>
      </w:r>
      <w:r>
        <w:rPr>
          <w:rFonts w:eastAsia="MS Mincho"/>
        </w:rPr>
        <w:t xml:space="preserve">to read as follows: </w:t>
      </w:r>
    </w:p>
    <w:p w:rsidR="00921719" w:rsidRPr="00921719" w:rsidRDefault="00921719" w:rsidP="00921719">
      <w:pPr>
        <w:pStyle w:val="SingleTxtG"/>
        <w:ind w:left="2835"/>
        <w:rPr>
          <w:rFonts w:eastAsia="MS Mincho"/>
        </w:rPr>
      </w:pPr>
      <w:r>
        <w:rPr>
          <w:rFonts w:eastAsia="MS Mincho"/>
        </w:rPr>
        <w:t>“</w:t>
      </w:r>
      <w:r w:rsidRPr="00921719">
        <w:rPr>
          <w:rFonts w:eastAsia="MS Mincho"/>
        </w:rPr>
        <w:t>In addition to the appropriate precautionary statements in the matrix, taking into account the guidance in this section, the general precautionary statements laid out in Table A3.2.1 are appropriate for consumers and should also appear on GHS labels.</w:t>
      </w:r>
      <w:r>
        <w:rPr>
          <w:rFonts w:eastAsia="MS Mincho"/>
        </w:rPr>
        <w:t>”</w:t>
      </w:r>
    </w:p>
    <w:p w:rsidR="00E71A23" w:rsidRPr="00E71A23" w:rsidRDefault="00CF1860" w:rsidP="00CF1860">
      <w:pPr>
        <w:pStyle w:val="SingleTxtG"/>
        <w:ind w:left="1701"/>
        <w:rPr>
          <w:rFonts w:eastAsia="MS Mincho"/>
        </w:rPr>
      </w:pPr>
      <w:r>
        <w:rPr>
          <w:rFonts w:eastAsia="MS Mincho"/>
        </w:rPr>
        <w:t>A3.3.</w:t>
      </w:r>
      <w:r w:rsidR="0020412D">
        <w:rPr>
          <w:rFonts w:eastAsia="MS Mincho"/>
        </w:rPr>
        <w:t xml:space="preserve">4 and A3.3.4.1 </w:t>
      </w:r>
      <w:r w:rsidR="002D094B">
        <w:rPr>
          <w:rFonts w:eastAsia="MS Mincho"/>
        </w:rPr>
        <w:t xml:space="preserve">(new) </w:t>
      </w:r>
      <w:r w:rsidR="0020412D">
        <w:rPr>
          <w:rFonts w:eastAsia="MS Mincho"/>
        </w:rPr>
        <w:tab/>
      </w:r>
      <w:proofErr w:type="gramStart"/>
      <w:r w:rsidR="0020412D">
        <w:rPr>
          <w:rFonts w:eastAsia="MS Mincho"/>
        </w:rPr>
        <w:t>Insert</w:t>
      </w:r>
      <w:proofErr w:type="gramEnd"/>
      <w:r w:rsidR="0020412D">
        <w:rPr>
          <w:rFonts w:eastAsia="MS Mincho"/>
        </w:rPr>
        <w:t xml:space="preserve"> the following paragraphs:</w:t>
      </w:r>
      <w:r>
        <w:rPr>
          <w:rFonts w:eastAsia="MS Mincho"/>
        </w:rPr>
        <w:t xml:space="preserve"> </w:t>
      </w:r>
    </w:p>
    <w:p w:rsidR="0020412D" w:rsidRPr="0020412D" w:rsidRDefault="0020412D" w:rsidP="0020412D">
      <w:pPr>
        <w:pStyle w:val="SingleTxtG"/>
        <w:ind w:left="2835"/>
        <w:rPr>
          <w:b/>
        </w:rPr>
      </w:pPr>
      <w:r w:rsidRPr="0020412D">
        <w:rPr>
          <w:b/>
          <w:i/>
        </w:rPr>
        <w:t>“</w:t>
      </w:r>
      <w:r w:rsidRPr="0020412D">
        <w:rPr>
          <w:b/>
        </w:rPr>
        <w:t>A3.3.4</w:t>
      </w:r>
      <w:r w:rsidRPr="0020412D">
        <w:rPr>
          <w:b/>
        </w:rPr>
        <w:tab/>
      </w:r>
      <w:r w:rsidRPr="002D094B">
        <w:rPr>
          <w:b/>
          <w:i/>
        </w:rPr>
        <w:t xml:space="preserve">Matrix of precautionary statements by hazard class/category </w:t>
      </w:r>
    </w:p>
    <w:p w:rsidR="00EF3134" w:rsidRPr="00773451" w:rsidRDefault="00EF3134" w:rsidP="00EF3134">
      <w:pPr>
        <w:pStyle w:val="SingleTxtG"/>
        <w:tabs>
          <w:tab w:val="left" w:pos="3969"/>
        </w:tabs>
        <w:ind w:left="2835"/>
      </w:pPr>
      <w:r w:rsidRPr="007F524C">
        <w:t>A3.3.</w:t>
      </w:r>
      <w:r>
        <w:t>4</w:t>
      </w:r>
      <w:r w:rsidRPr="007F524C">
        <w:t>.1</w:t>
      </w:r>
      <w:r w:rsidRPr="00773451">
        <w:tab/>
        <w:t xml:space="preserve">This section sets out a matrix </w:t>
      </w:r>
      <w:r w:rsidRPr="00E71A23">
        <w:t xml:space="preserve">listing </w:t>
      </w:r>
      <w:r w:rsidRPr="00773451">
        <w:t>the recommended precautionary statements for each hazard class and hazard category of the GHS by type of precautionary statement (see A3.2.2.1)</w:t>
      </w:r>
      <w:r>
        <w:t xml:space="preserve">. </w:t>
      </w:r>
      <w:r w:rsidRPr="00E71A23">
        <w:t>The matrix</w:t>
      </w:r>
      <w:r>
        <w:t xml:space="preserve"> </w:t>
      </w:r>
      <w:r w:rsidRPr="00773451">
        <w:t>guides the selection of appropriate precautionary statements</w:t>
      </w:r>
      <w:r>
        <w:t xml:space="preserve">, </w:t>
      </w:r>
      <w:r w:rsidRPr="00E71A23">
        <w:t xml:space="preserve">and </w:t>
      </w:r>
      <w:r w:rsidRPr="00773451">
        <w:t xml:space="preserve">includes elements for all categories of precautionary action. All specific elements relating to particular hazard classes should be used. </w:t>
      </w:r>
      <w:r w:rsidRPr="00E71A23">
        <w:t>In addition,</w:t>
      </w:r>
      <w:r>
        <w:t xml:space="preserve"> g</w:t>
      </w:r>
      <w:r w:rsidRPr="00773451">
        <w:t xml:space="preserve">eneral </w:t>
      </w:r>
      <w:r w:rsidRPr="00E71A23">
        <w:t>precautionary statements</w:t>
      </w:r>
      <w:r>
        <w:t xml:space="preserve"> </w:t>
      </w:r>
      <w:r w:rsidRPr="00773451">
        <w:t>not linked</w:t>
      </w:r>
      <w:r w:rsidRPr="00EF3134">
        <w:t xml:space="preserve"> </w:t>
      </w:r>
      <w:r w:rsidRPr="00773451">
        <w:t>to a certain hazard class or category should also be used where relevant</w:t>
      </w:r>
      <w:r>
        <w:t xml:space="preserve"> </w:t>
      </w:r>
      <w:r w:rsidRPr="00E71A23">
        <w:t>(see A3.3.3).</w:t>
      </w:r>
      <w:r>
        <w:t>”</w:t>
      </w:r>
      <w:r w:rsidRPr="00773451">
        <w:t xml:space="preserve"> </w:t>
      </w:r>
    </w:p>
    <w:p w:rsidR="007845B6" w:rsidRDefault="007845B6">
      <w:pPr>
        <w:suppressAutoHyphens w:val="0"/>
        <w:spacing w:line="240" w:lineRule="auto"/>
        <w:rPr>
          <w:rFonts w:eastAsia="MS Mincho"/>
        </w:rPr>
      </w:pPr>
      <w:r>
        <w:rPr>
          <w:rFonts w:eastAsia="MS Mincho"/>
        </w:rPr>
        <w:br w:type="page"/>
      </w:r>
    </w:p>
    <w:p w:rsidR="002D094B" w:rsidRDefault="006A2F87" w:rsidP="00E71A23">
      <w:pPr>
        <w:pStyle w:val="SingleTxtG"/>
        <w:ind w:left="2835" w:hanging="1134"/>
        <w:rPr>
          <w:rFonts w:eastAsia="MS Mincho"/>
        </w:rPr>
      </w:pPr>
      <w:r>
        <w:rPr>
          <w:rFonts w:eastAsia="MS Mincho"/>
        </w:rPr>
        <w:lastRenderedPageBreak/>
        <w:t xml:space="preserve">Renumber the </w:t>
      </w:r>
      <w:r w:rsidR="002D094B">
        <w:rPr>
          <w:rFonts w:eastAsia="MS Mincho"/>
        </w:rPr>
        <w:t xml:space="preserve">first two sentences of </w:t>
      </w:r>
      <w:r w:rsidR="00E71A23">
        <w:rPr>
          <w:rFonts w:eastAsia="MS Mincho"/>
        </w:rPr>
        <w:t xml:space="preserve">current A3.3.4.1 </w:t>
      </w:r>
      <w:r>
        <w:rPr>
          <w:rFonts w:eastAsia="MS Mincho"/>
        </w:rPr>
        <w:t>as</w:t>
      </w:r>
      <w:r w:rsidR="002D094B">
        <w:rPr>
          <w:rFonts w:eastAsia="MS Mincho"/>
        </w:rPr>
        <w:t xml:space="preserve"> new paragraph A3.3.4.2.</w:t>
      </w:r>
    </w:p>
    <w:p w:rsidR="006A2F87" w:rsidRDefault="00B30116" w:rsidP="00B30116">
      <w:pPr>
        <w:pStyle w:val="SingleTxtG"/>
        <w:ind w:left="1701"/>
        <w:rPr>
          <w:rFonts w:eastAsia="MS Mincho"/>
        </w:rPr>
      </w:pPr>
      <w:r>
        <w:rPr>
          <w:rFonts w:eastAsia="MS Mincho"/>
        </w:rPr>
        <w:t>C</w:t>
      </w:r>
      <w:r w:rsidR="006A2F87">
        <w:rPr>
          <w:rFonts w:eastAsia="MS Mincho"/>
        </w:rPr>
        <w:t>urrent paragraph</w:t>
      </w:r>
      <w:r>
        <w:rPr>
          <w:rFonts w:eastAsia="MS Mincho"/>
        </w:rPr>
        <w:t>s</w:t>
      </w:r>
      <w:r w:rsidR="006A2F87">
        <w:rPr>
          <w:rFonts w:eastAsia="MS Mincho"/>
        </w:rPr>
        <w:t xml:space="preserve"> A3.3.4.2</w:t>
      </w:r>
      <w:r>
        <w:rPr>
          <w:rFonts w:eastAsia="MS Mincho"/>
        </w:rPr>
        <w:t>, A3.3.4.3, A3.3.4.4 and A3.3.4.</w:t>
      </w:r>
      <w:r w:rsidR="00A924CD">
        <w:rPr>
          <w:rFonts w:eastAsia="MS Mincho"/>
        </w:rPr>
        <w:t>5</w:t>
      </w:r>
      <w:r>
        <w:rPr>
          <w:rFonts w:eastAsia="MS Mincho"/>
        </w:rPr>
        <w:t xml:space="preserve"> become new paragraphs</w:t>
      </w:r>
      <w:r w:rsidRPr="00B30116">
        <w:rPr>
          <w:rFonts w:eastAsia="MS Mincho"/>
        </w:rPr>
        <w:t xml:space="preserve"> </w:t>
      </w:r>
      <w:r>
        <w:rPr>
          <w:rFonts w:eastAsia="MS Mincho"/>
        </w:rPr>
        <w:t>A3.3.4.3, A3.3.4.4, A3.3.4.5 and A3.3.4.6</w:t>
      </w:r>
      <w:r w:rsidR="00A924CD">
        <w:rPr>
          <w:rFonts w:eastAsia="MS Mincho"/>
        </w:rPr>
        <w:t>, respectively.</w:t>
      </w:r>
    </w:p>
    <w:p w:rsidR="00646B9C" w:rsidRDefault="00646B9C" w:rsidP="00646B9C">
      <w:pPr>
        <w:pStyle w:val="H1G"/>
        <w:rPr>
          <w:rFonts w:eastAsia="MS Mincho"/>
        </w:rPr>
      </w:pPr>
      <w:r>
        <w:rPr>
          <w:rFonts w:eastAsia="MS Mincho"/>
        </w:rPr>
        <w:tab/>
      </w:r>
      <w:r>
        <w:rPr>
          <w:rFonts w:eastAsia="MS Mincho"/>
        </w:rPr>
        <w:tab/>
        <w:t>Annex 3, Section 3 (matrix tables under A3.3.5)</w:t>
      </w:r>
    </w:p>
    <w:p w:rsidR="005E48D1" w:rsidRDefault="00646B9C" w:rsidP="005E2F7F">
      <w:pPr>
        <w:pStyle w:val="SingleTxtG"/>
        <w:rPr>
          <w:rFonts w:eastAsia="MS Mincho"/>
        </w:rPr>
      </w:pPr>
      <w:r>
        <w:rPr>
          <w:rFonts w:eastAsia="MS Mincho"/>
        </w:rPr>
        <w:t>9.</w:t>
      </w:r>
      <w:r>
        <w:rPr>
          <w:rFonts w:eastAsia="MS Mincho"/>
        </w:rPr>
        <w:tab/>
      </w:r>
      <w:proofErr w:type="gramStart"/>
      <w:r w:rsidR="003441E0">
        <w:rPr>
          <w:rFonts w:eastAsia="MS Mincho"/>
        </w:rPr>
        <w:t>For</w:t>
      </w:r>
      <w:proofErr w:type="gramEnd"/>
      <w:r w:rsidR="003441E0">
        <w:rPr>
          <w:rFonts w:eastAsia="MS Mincho"/>
        </w:rPr>
        <w:t xml:space="preserve"> all the matrix tables in A3.3.5, amend the layout </w:t>
      </w:r>
      <w:r w:rsidR="00106F8A">
        <w:rPr>
          <w:rFonts w:eastAsia="MS Mincho"/>
        </w:rPr>
        <w:t xml:space="preserve">of the first half of the matrix </w:t>
      </w:r>
      <w:r w:rsidR="003441E0">
        <w:rPr>
          <w:rFonts w:eastAsia="MS Mincho"/>
        </w:rPr>
        <w:t>as follows</w:t>
      </w:r>
      <w:r w:rsidR="00106F8A">
        <w:rPr>
          <w:rFonts w:eastAsia="MS Mincho"/>
        </w:rPr>
        <w:t xml:space="preserve"> </w:t>
      </w:r>
      <w:r w:rsidR="00106F8A" w:rsidRPr="00106F8A">
        <w:rPr>
          <w:rFonts w:eastAsia="MS Mincho"/>
          <w:i/>
        </w:rPr>
        <w:t xml:space="preserve">(the </w:t>
      </w:r>
      <w:r w:rsidR="00106F8A">
        <w:rPr>
          <w:rFonts w:eastAsia="MS Mincho"/>
          <w:i/>
        </w:rPr>
        <w:t>layout of the part of</w:t>
      </w:r>
      <w:r w:rsidR="00106F8A" w:rsidRPr="00106F8A">
        <w:rPr>
          <w:rFonts w:eastAsia="MS Mincho"/>
          <w:i/>
        </w:rPr>
        <w:t xml:space="preserve"> the matrix containing the precautionary statemen</w:t>
      </w:r>
      <w:r w:rsidR="00106F8A">
        <w:rPr>
          <w:rFonts w:eastAsia="MS Mincho"/>
          <w:i/>
        </w:rPr>
        <w:t>t</w:t>
      </w:r>
      <w:r w:rsidR="00106F8A" w:rsidRPr="00106F8A">
        <w:rPr>
          <w:rFonts w:eastAsia="MS Mincho"/>
          <w:i/>
        </w:rPr>
        <w:t>s remain</w:t>
      </w:r>
      <w:r w:rsidR="00106F8A">
        <w:rPr>
          <w:rFonts w:eastAsia="MS Mincho"/>
          <w:i/>
        </w:rPr>
        <w:t>s</w:t>
      </w:r>
      <w:r w:rsidR="00106F8A" w:rsidRPr="00106F8A">
        <w:rPr>
          <w:rFonts w:eastAsia="MS Mincho"/>
          <w:i/>
        </w:rPr>
        <w:t xml:space="preserve"> uncha</w:t>
      </w:r>
      <w:r w:rsidR="00106F8A">
        <w:rPr>
          <w:rFonts w:eastAsia="MS Mincho"/>
          <w:i/>
        </w:rPr>
        <w:t>n</w:t>
      </w:r>
      <w:r w:rsidR="00106F8A" w:rsidRPr="00106F8A">
        <w:rPr>
          <w:rFonts w:eastAsia="MS Mincho"/>
          <w:i/>
        </w:rPr>
        <w:t>ged)</w:t>
      </w:r>
      <w:r w:rsidR="003441E0">
        <w:rPr>
          <w:rFonts w:eastAsia="MS Mincho"/>
        </w:rPr>
        <w:t>:</w:t>
      </w:r>
    </w:p>
    <w:p w:rsidR="003441E0" w:rsidRDefault="003441E0" w:rsidP="005E2F7F">
      <w:pPr>
        <w:pStyle w:val="SingleTxtG"/>
        <w:rPr>
          <w:rFonts w:eastAsia="MS Mincho"/>
        </w:rPr>
      </w:pPr>
      <w:r>
        <w:rPr>
          <w:rFonts w:eastAsia="MS Mincho"/>
        </w:rPr>
        <w:t>Replace:</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62"/>
        <w:gridCol w:w="992"/>
        <w:gridCol w:w="1559"/>
        <w:gridCol w:w="2268"/>
      </w:tblGrid>
      <w:tr w:rsidR="003441E0" w:rsidRPr="00746AD5" w:rsidTr="007845B6">
        <w:trPr>
          <w:cantSplit/>
        </w:trPr>
        <w:tc>
          <w:tcPr>
            <w:tcW w:w="8730" w:type="dxa"/>
            <w:gridSpan w:val="5"/>
            <w:tcBorders>
              <w:top w:val="nil"/>
              <w:left w:val="nil"/>
              <w:bottom w:val="nil"/>
              <w:right w:val="nil"/>
            </w:tcBorders>
          </w:tcPr>
          <w:p w:rsidR="003441E0" w:rsidRPr="003441E0" w:rsidRDefault="003441E0" w:rsidP="005E2F7F">
            <w:pPr>
              <w:pStyle w:val="Heading2"/>
              <w:spacing w:before="40" w:after="40"/>
              <w:ind w:firstLine="34"/>
              <w:jc w:val="center"/>
              <w:rPr>
                <w:b/>
                <w:sz w:val="18"/>
                <w:szCs w:val="18"/>
              </w:rPr>
            </w:pPr>
            <w:r w:rsidRPr="00746AD5">
              <w:rPr>
                <w:sz w:val="18"/>
                <w:szCs w:val="18"/>
              </w:rPr>
              <w:br w:type="page"/>
            </w:r>
            <w:r w:rsidRPr="00746AD5">
              <w:rPr>
                <w:sz w:val="18"/>
                <w:szCs w:val="18"/>
              </w:rPr>
              <w:br w:type="page"/>
            </w:r>
            <w:r>
              <w:rPr>
                <w:b/>
                <w:sz w:val="18"/>
                <w:szCs w:val="18"/>
              </w:rPr>
              <w:t>HAZARD CLASS</w:t>
            </w:r>
          </w:p>
          <w:p w:rsidR="003441E0" w:rsidRPr="00746AD5" w:rsidRDefault="003441E0" w:rsidP="005E2F7F">
            <w:pPr>
              <w:pStyle w:val="Heading2"/>
              <w:spacing w:before="40" w:after="40"/>
              <w:ind w:firstLine="34"/>
              <w:jc w:val="center"/>
              <w:rPr>
                <w:sz w:val="18"/>
                <w:szCs w:val="18"/>
              </w:rPr>
            </w:pPr>
            <w:r w:rsidRPr="003441E0">
              <w:rPr>
                <w:b/>
                <w:sz w:val="18"/>
                <w:szCs w:val="18"/>
              </w:rPr>
              <w:t>(</w:t>
            </w:r>
            <w:r>
              <w:rPr>
                <w:b/>
                <w:sz w:val="18"/>
                <w:szCs w:val="18"/>
              </w:rPr>
              <w:t xml:space="preserve">GHS </w:t>
            </w:r>
            <w:r w:rsidRPr="003441E0">
              <w:rPr>
                <w:b/>
                <w:sz w:val="18"/>
                <w:szCs w:val="18"/>
              </w:rPr>
              <w:t>Chapter)</w:t>
            </w:r>
          </w:p>
        </w:tc>
      </w:tr>
      <w:tr w:rsidR="005E2F7F" w:rsidRPr="00746AD5" w:rsidTr="007845B6">
        <w:tc>
          <w:tcPr>
            <w:tcW w:w="2349" w:type="dxa"/>
            <w:tcBorders>
              <w:top w:val="nil"/>
              <w:left w:val="nil"/>
              <w:bottom w:val="nil"/>
              <w:right w:val="nil"/>
            </w:tcBorders>
          </w:tcPr>
          <w:p w:rsidR="003441E0" w:rsidRPr="00746AD5" w:rsidRDefault="003441E0" w:rsidP="005E2F7F">
            <w:pPr>
              <w:spacing w:before="40" w:after="40"/>
              <w:rPr>
                <w:sz w:val="18"/>
                <w:szCs w:val="18"/>
              </w:rPr>
            </w:pPr>
          </w:p>
        </w:tc>
        <w:tc>
          <w:tcPr>
            <w:tcW w:w="1562" w:type="dxa"/>
            <w:tcBorders>
              <w:top w:val="nil"/>
              <w:left w:val="nil"/>
              <w:bottom w:val="nil"/>
              <w:right w:val="nil"/>
            </w:tcBorders>
          </w:tcPr>
          <w:p w:rsidR="003441E0" w:rsidRPr="00746AD5" w:rsidRDefault="003441E0" w:rsidP="005E2F7F">
            <w:pPr>
              <w:spacing w:before="40" w:after="40"/>
              <w:rPr>
                <w:sz w:val="18"/>
                <w:szCs w:val="18"/>
              </w:rPr>
            </w:pPr>
          </w:p>
        </w:tc>
        <w:tc>
          <w:tcPr>
            <w:tcW w:w="2551" w:type="dxa"/>
            <w:gridSpan w:val="2"/>
            <w:tcBorders>
              <w:top w:val="nil"/>
              <w:left w:val="nil"/>
              <w:bottom w:val="nil"/>
            </w:tcBorders>
          </w:tcPr>
          <w:p w:rsidR="003441E0" w:rsidRPr="00746AD5" w:rsidRDefault="003441E0" w:rsidP="005E2F7F">
            <w:pPr>
              <w:spacing w:before="40" w:after="40"/>
              <w:rPr>
                <w:sz w:val="18"/>
                <w:szCs w:val="18"/>
              </w:rPr>
            </w:pPr>
          </w:p>
        </w:tc>
        <w:tc>
          <w:tcPr>
            <w:tcW w:w="2268" w:type="dxa"/>
            <w:tcBorders>
              <w:bottom w:val="single" w:sz="4" w:space="0" w:color="auto"/>
            </w:tcBorders>
          </w:tcPr>
          <w:p w:rsidR="003441E0" w:rsidRPr="00746AD5" w:rsidRDefault="003441E0" w:rsidP="005E2F7F">
            <w:pPr>
              <w:pStyle w:val="Heading3"/>
              <w:spacing w:before="40" w:after="40"/>
              <w:jc w:val="center"/>
              <w:rPr>
                <w:sz w:val="18"/>
                <w:szCs w:val="18"/>
              </w:rPr>
            </w:pPr>
            <w:r w:rsidRPr="00746AD5">
              <w:rPr>
                <w:sz w:val="18"/>
                <w:szCs w:val="18"/>
              </w:rPr>
              <w:t>Symbol</w:t>
            </w:r>
          </w:p>
          <w:p w:rsidR="003441E0" w:rsidRPr="00746AD5" w:rsidRDefault="003441E0" w:rsidP="001B0884">
            <w:pPr>
              <w:pStyle w:val="Style1"/>
              <w:spacing w:before="40" w:after="40"/>
              <w:jc w:val="center"/>
              <w:rPr>
                <w:sz w:val="18"/>
                <w:szCs w:val="18"/>
              </w:rPr>
            </w:pPr>
            <w:r>
              <w:rPr>
                <w:sz w:val="18"/>
                <w:szCs w:val="18"/>
              </w:rPr>
              <w:t>[symbo</w:t>
            </w:r>
            <w:r w:rsidR="005E2F7F">
              <w:rPr>
                <w:sz w:val="18"/>
                <w:szCs w:val="18"/>
              </w:rPr>
              <w:t>l</w:t>
            </w:r>
            <w:r w:rsidR="003961CC">
              <w:rPr>
                <w:sz w:val="18"/>
                <w:szCs w:val="18"/>
              </w:rPr>
              <w:t xml:space="preserve"> </w:t>
            </w:r>
            <w:r w:rsidR="001B0884">
              <w:rPr>
                <w:sz w:val="18"/>
                <w:szCs w:val="18"/>
              </w:rPr>
              <w:t>name</w:t>
            </w:r>
            <w:r w:rsidR="005E2F7F">
              <w:rPr>
                <w:sz w:val="18"/>
                <w:szCs w:val="18"/>
              </w:rPr>
              <w:t xml:space="preserve"> </w:t>
            </w:r>
            <w:r w:rsidR="005E2F7F">
              <w:rPr>
                <w:sz w:val="18"/>
                <w:szCs w:val="18"/>
              </w:rPr>
              <w:br/>
              <w:t>according to 1.4.10.3]</w:t>
            </w:r>
          </w:p>
        </w:tc>
      </w:tr>
      <w:tr w:rsidR="005E2F7F" w:rsidRPr="00746AD5" w:rsidTr="007845B6">
        <w:trPr>
          <w:cantSplit/>
        </w:trPr>
        <w:tc>
          <w:tcPr>
            <w:tcW w:w="2349" w:type="dxa"/>
            <w:tcBorders>
              <w:top w:val="nil"/>
              <w:left w:val="nil"/>
              <w:bottom w:val="nil"/>
              <w:right w:val="nil"/>
            </w:tcBorders>
          </w:tcPr>
          <w:p w:rsidR="003441E0" w:rsidRPr="00746AD5" w:rsidRDefault="003441E0" w:rsidP="005E2F7F">
            <w:pPr>
              <w:spacing w:before="40" w:after="40"/>
              <w:rPr>
                <w:b/>
                <w:bCs/>
                <w:sz w:val="18"/>
                <w:szCs w:val="18"/>
              </w:rPr>
            </w:pPr>
            <w:r w:rsidRPr="00746AD5">
              <w:rPr>
                <w:b/>
                <w:bCs/>
                <w:sz w:val="18"/>
                <w:szCs w:val="18"/>
              </w:rPr>
              <w:t>Hazard category</w:t>
            </w:r>
            <w:r w:rsidR="005E2F7F">
              <w:rPr>
                <w:b/>
                <w:bCs/>
                <w:sz w:val="18"/>
                <w:szCs w:val="18"/>
              </w:rPr>
              <w:t>/categories</w:t>
            </w:r>
          </w:p>
        </w:tc>
        <w:tc>
          <w:tcPr>
            <w:tcW w:w="1562" w:type="dxa"/>
            <w:tcBorders>
              <w:top w:val="nil"/>
              <w:left w:val="nil"/>
              <w:bottom w:val="nil"/>
              <w:right w:val="nil"/>
            </w:tcBorders>
          </w:tcPr>
          <w:p w:rsidR="003441E0" w:rsidRPr="00746AD5" w:rsidRDefault="003441E0" w:rsidP="005E2F7F">
            <w:pPr>
              <w:spacing w:before="40" w:after="40"/>
              <w:rPr>
                <w:b/>
                <w:bCs/>
                <w:sz w:val="18"/>
                <w:szCs w:val="18"/>
              </w:rPr>
            </w:pPr>
            <w:r w:rsidRPr="00746AD5">
              <w:rPr>
                <w:b/>
                <w:bCs/>
                <w:sz w:val="18"/>
                <w:szCs w:val="18"/>
              </w:rPr>
              <w:t>Signal word</w:t>
            </w:r>
            <w:r w:rsidR="005E2F7F">
              <w:rPr>
                <w:b/>
                <w:bCs/>
                <w:sz w:val="18"/>
                <w:szCs w:val="18"/>
              </w:rPr>
              <w:t>(s)</w:t>
            </w:r>
          </w:p>
        </w:tc>
        <w:tc>
          <w:tcPr>
            <w:tcW w:w="2551" w:type="dxa"/>
            <w:gridSpan w:val="2"/>
            <w:tcBorders>
              <w:top w:val="nil"/>
              <w:left w:val="nil"/>
              <w:bottom w:val="nil"/>
              <w:right w:val="nil"/>
            </w:tcBorders>
          </w:tcPr>
          <w:p w:rsidR="003441E0" w:rsidRPr="00746AD5" w:rsidRDefault="003441E0" w:rsidP="005E2F7F">
            <w:pPr>
              <w:spacing w:before="40" w:after="40"/>
              <w:ind w:right="252"/>
              <w:rPr>
                <w:b/>
                <w:bCs/>
                <w:sz w:val="18"/>
                <w:szCs w:val="18"/>
              </w:rPr>
            </w:pPr>
            <w:r w:rsidRPr="00746AD5">
              <w:rPr>
                <w:b/>
                <w:bCs/>
                <w:sz w:val="18"/>
                <w:szCs w:val="18"/>
              </w:rPr>
              <w:t>Hazard statement</w:t>
            </w:r>
            <w:r w:rsidR="005E2F7F">
              <w:rPr>
                <w:b/>
                <w:bCs/>
                <w:sz w:val="18"/>
                <w:szCs w:val="18"/>
              </w:rPr>
              <w:t xml:space="preserve"> (s)</w:t>
            </w:r>
          </w:p>
        </w:tc>
        <w:tc>
          <w:tcPr>
            <w:tcW w:w="2268" w:type="dxa"/>
            <w:vMerge w:val="restart"/>
            <w:tcBorders>
              <w:top w:val="single" w:sz="4" w:space="0" w:color="auto"/>
              <w:left w:val="nil"/>
              <w:bottom w:val="nil"/>
              <w:right w:val="nil"/>
            </w:tcBorders>
          </w:tcPr>
          <w:p w:rsidR="005E2F7F" w:rsidRPr="00F04A9C" w:rsidRDefault="005E2F7F" w:rsidP="00F04A9C">
            <w:pPr>
              <w:spacing w:before="40" w:after="40"/>
              <w:jc w:val="center"/>
              <w:rPr>
                <w:bCs/>
                <w:sz w:val="18"/>
                <w:szCs w:val="18"/>
              </w:rPr>
            </w:pPr>
            <w:r w:rsidRPr="00F04A9C">
              <w:rPr>
                <w:bCs/>
                <w:sz w:val="18"/>
                <w:szCs w:val="18"/>
              </w:rPr>
              <w:t>[Graphic symbol]</w:t>
            </w:r>
          </w:p>
        </w:tc>
      </w:tr>
      <w:tr w:rsidR="005E2F7F" w:rsidRPr="00746AD5" w:rsidTr="007845B6">
        <w:trPr>
          <w:cantSplit/>
        </w:trPr>
        <w:tc>
          <w:tcPr>
            <w:tcW w:w="2349" w:type="dxa"/>
            <w:tcBorders>
              <w:top w:val="nil"/>
              <w:left w:val="nil"/>
              <w:bottom w:val="nil"/>
              <w:right w:val="nil"/>
            </w:tcBorders>
          </w:tcPr>
          <w:p w:rsidR="003441E0" w:rsidRPr="00746AD5" w:rsidRDefault="005E2F7F" w:rsidP="005E2F7F">
            <w:pPr>
              <w:spacing w:before="40" w:after="40"/>
              <w:rPr>
                <w:sz w:val="18"/>
                <w:szCs w:val="18"/>
              </w:rPr>
            </w:pPr>
            <w:r>
              <w:rPr>
                <w:sz w:val="18"/>
                <w:szCs w:val="18"/>
              </w:rPr>
              <w:t>[hazard category number or designation]</w:t>
            </w:r>
          </w:p>
        </w:tc>
        <w:tc>
          <w:tcPr>
            <w:tcW w:w="1562" w:type="dxa"/>
            <w:tcBorders>
              <w:top w:val="nil"/>
              <w:left w:val="nil"/>
              <w:bottom w:val="nil"/>
              <w:right w:val="nil"/>
            </w:tcBorders>
          </w:tcPr>
          <w:p w:rsidR="003441E0" w:rsidRPr="00746AD5" w:rsidRDefault="005E2F7F" w:rsidP="005E2F7F">
            <w:pPr>
              <w:spacing w:before="40" w:after="40"/>
              <w:rPr>
                <w:sz w:val="18"/>
                <w:szCs w:val="18"/>
              </w:rPr>
            </w:pPr>
            <w:r>
              <w:rPr>
                <w:sz w:val="18"/>
                <w:szCs w:val="18"/>
              </w:rPr>
              <w:t>[Signal word text]</w:t>
            </w:r>
          </w:p>
        </w:tc>
        <w:tc>
          <w:tcPr>
            <w:tcW w:w="992" w:type="dxa"/>
            <w:tcBorders>
              <w:top w:val="nil"/>
              <w:left w:val="nil"/>
              <w:bottom w:val="nil"/>
              <w:right w:val="nil"/>
            </w:tcBorders>
          </w:tcPr>
          <w:p w:rsidR="003441E0" w:rsidRPr="00746AD5" w:rsidRDefault="005E2F7F" w:rsidP="005E2F7F">
            <w:pPr>
              <w:spacing w:before="40" w:after="40"/>
              <w:jc w:val="center"/>
              <w:rPr>
                <w:sz w:val="18"/>
                <w:szCs w:val="18"/>
              </w:rPr>
            </w:pPr>
            <w:r>
              <w:rPr>
                <w:sz w:val="18"/>
                <w:szCs w:val="18"/>
              </w:rPr>
              <w:t>[H code]</w:t>
            </w:r>
          </w:p>
        </w:tc>
        <w:tc>
          <w:tcPr>
            <w:tcW w:w="1559" w:type="dxa"/>
            <w:tcBorders>
              <w:top w:val="nil"/>
              <w:left w:val="nil"/>
              <w:bottom w:val="nil"/>
              <w:right w:val="nil"/>
            </w:tcBorders>
          </w:tcPr>
          <w:p w:rsidR="003441E0" w:rsidRPr="00746AD5" w:rsidRDefault="005E2F7F" w:rsidP="005E2F7F">
            <w:pPr>
              <w:spacing w:before="40" w:after="40"/>
              <w:rPr>
                <w:sz w:val="18"/>
                <w:szCs w:val="18"/>
              </w:rPr>
            </w:pPr>
            <w:r>
              <w:rPr>
                <w:sz w:val="18"/>
                <w:szCs w:val="18"/>
              </w:rPr>
              <w:t>[Hazard statement text]</w:t>
            </w:r>
          </w:p>
        </w:tc>
        <w:tc>
          <w:tcPr>
            <w:tcW w:w="2268" w:type="dxa"/>
            <w:vMerge/>
            <w:tcBorders>
              <w:left w:val="nil"/>
              <w:bottom w:val="nil"/>
              <w:right w:val="nil"/>
            </w:tcBorders>
          </w:tcPr>
          <w:p w:rsidR="003441E0" w:rsidRPr="00746AD5" w:rsidRDefault="003441E0" w:rsidP="005E2F7F">
            <w:pPr>
              <w:spacing w:before="40" w:after="40"/>
              <w:rPr>
                <w:sz w:val="18"/>
                <w:szCs w:val="18"/>
              </w:rPr>
            </w:pPr>
          </w:p>
        </w:tc>
      </w:tr>
    </w:tbl>
    <w:p w:rsidR="00DE4121" w:rsidRPr="005E2F7F" w:rsidRDefault="005E2F7F" w:rsidP="000B18F4">
      <w:pPr>
        <w:pStyle w:val="SingleTxtG"/>
        <w:spacing w:before="240"/>
        <w:rPr>
          <w:rFonts w:eastAsia="MS Mincho"/>
        </w:rPr>
      </w:pPr>
      <w:r>
        <w:rPr>
          <w:rFonts w:eastAsia="MS Mincho"/>
        </w:rPr>
        <w:t>Wi</w:t>
      </w:r>
      <w:r w:rsidRPr="005E2F7F">
        <w:rPr>
          <w:rFonts w:eastAsia="MS Mincho"/>
        </w:rPr>
        <w:t>th</w:t>
      </w:r>
      <w:r>
        <w:rPr>
          <w:rFonts w:eastAsia="MS Mincho"/>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275"/>
        <w:gridCol w:w="1276"/>
        <w:gridCol w:w="1559"/>
        <w:gridCol w:w="1134"/>
        <w:gridCol w:w="1134"/>
      </w:tblGrid>
      <w:tr w:rsidR="003961CC" w:rsidRPr="00746AD5" w:rsidTr="00F15D91">
        <w:trPr>
          <w:cantSplit/>
        </w:trPr>
        <w:tc>
          <w:tcPr>
            <w:tcW w:w="8730" w:type="dxa"/>
            <w:gridSpan w:val="6"/>
            <w:tcBorders>
              <w:top w:val="nil"/>
              <w:left w:val="nil"/>
              <w:bottom w:val="nil"/>
              <w:right w:val="nil"/>
            </w:tcBorders>
          </w:tcPr>
          <w:p w:rsidR="003961CC" w:rsidRPr="003441E0" w:rsidRDefault="003961CC" w:rsidP="005C3F86">
            <w:pPr>
              <w:pStyle w:val="Heading2"/>
              <w:spacing w:before="40" w:after="40"/>
              <w:ind w:firstLine="34"/>
              <w:jc w:val="center"/>
              <w:rPr>
                <w:b/>
                <w:sz w:val="18"/>
                <w:szCs w:val="18"/>
              </w:rPr>
            </w:pPr>
            <w:r w:rsidRPr="00746AD5">
              <w:rPr>
                <w:sz w:val="18"/>
                <w:szCs w:val="18"/>
              </w:rPr>
              <w:br w:type="page"/>
            </w:r>
            <w:r w:rsidRPr="00746AD5">
              <w:rPr>
                <w:sz w:val="18"/>
                <w:szCs w:val="18"/>
              </w:rPr>
              <w:br w:type="page"/>
            </w:r>
            <w:r>
              <w:rPr>
                <w:b/>
                <w:sz w:val="18"/>
                <w:szCs w:val="18"/>
              </w:rPr>
              <w:t>HAZARD CLASS</w:t>
            </w:r>
          </w:p>
          <w:p w:rsidR="003961CC" w:rsidRPr="00746AD5" w:rsidRDefault="003961CC" w:rsidP="005C3F86">
            <w:pPr>
              <w:pStyle w:val="Heading2"/>
              <w:spacing w:before="40" w:after="40"/>
              <w:ind w:firstLine="34"/>
              <w:jc w:val="center"/>
              <w:rPr>
                <w:sz w:val="18"/>
                <w:szCs w:val="18"/>
              </w:rPr>
            </w:pPr>
            <w:r w:rsidRPr="003441E0">
              <w:rPr>
                <w:b/>
                <w:sz w:val="18"/>
                <w:szCs w:val="18"/>
              </w:rPr>
              <w:t>(</w:t>
            </w:r>
            <w:r>
              <w:rPr>
                <w:b/>
                <w:sz w:val="18"/>
                <w:szCs w:val="18"/>
              </w:rPr>
              <w:t xml:space="preserve">GHS </w:t>
            </w:r>
            <w:r w:rsidRPr="003441E0">
              <w:rPr>
                <w:b/>
                <w:sz w:val="18"/>
                <w:szCs w:val="18"/>
              </w:rPr>
              <w:t>Chapter)</w:t>
            </w:r>
          </w:p>
        </w:tc>
      </w:tr>
      <w:tr w:rsidR="001B0884" w:rsidRPr="00746AD5" w:rsidTr="00F15D91">
        <w:trPr>
          <w:cantSplit/>
        </w:trPr>
        <w:tc>
          <w:tcPr>
            <w:tcW w:w="2352" w:type="dxa"/>
            <w:tcBorders>
              <w:top w:val="nil"/>
              <w:left w:val="nil"/>
              <w:bottom w:val="nil"/>
              <w:right w:val="nil"/>
            </w:tcBorders>
          </w:tcPr>
          <w:p w:rsidR="001B0884" w:rsidRPr="00746AD5" w:rsidRDefault="001B0884" w:rsidP="005C3F86">
            <w:pPr>
              <w:spacing w:before="40" w:after="40"/>
              <w:rPr>
                <w:b/>
                <w:bCs/>
                <w:sz w:val="18"/>
                <w:szCs w:val="18"/>
              </w:rPr>
            </w:pPr>
            <w:r w:rsidRPr="00746AD5">
              <w:rPr>
                <w:b/>
                <w:bCs/>
                <w:sz w:val="18"/>
                <w:szCs w:val="18"/>
              </w:rPr>
              <w:t>Hazard category</w:t>
            </w:r>
            <w:r>
              <w:rPr>
                <w:b/>
                <w:bCs/>
                <w:sz w:val="18"/>
                <w:szCs w:val="18"/>
              </w:rPr>
              <w:t>/categories</w:t>
            </w:r>
          </w:p>
        </w:tc>
        <w:tc>
          <w:tcPr>
            <w:tcW w:w="2551" w:type="dxa"/>
            <w:gridSpan w:val="2"/>
            <w:tcBorders>
              <w:top w:val="nil"/>
              <w:left w:val="nil"/>
              <w:bottom w:val="nil"/>
              <w:right w:val="nil"/>
            </w:tcBorders>
          </w:tcPr>
          <w:p w:rsidR="001B0884" w:rsidRPr="00746AD5" w:rsidRDefault="001B0884" w:rsidP="003961CC">
            <w:pPr>
              <w:spacing w:before="40" w:after="40"/>
              <w:jc w:val="center"/>
              <w:rPr>
                <w:b/>
                <w:bCs/>
                <w:sz w:val="18"/>
                <w:szCs w:val="18"/>
              </w:rPr>
            </w:pPr>
            <w:r>
              <w:rPr>
                <w:b/>
                <w:bCs/>
                <w:sz w:val="18"/>
                <w:szCs w:val="18"/>
              </w:rPr>
              <w:t>Symbol</w:t>
            </w:r>
          </w:p>
        </w:tc>
        <w:tc>
          <w:tcPr>
            <w:tcW w:w="1559" w:type="dxa"/>
            <w:tcBorders>
              <w:top w:val="nil"/>
              <w:left w:val="nil"/>
              <w:bottom w:val="nil"/>
              <w:right w:val="nil"/>
            </w:tcBorders>
          </w:tcPr>
          <w:p w:rsidR="001B0884" w:rsidRPr="00746AD5" w:rsidRDefault="001B0884" w:rsidP="005C3F86">
            <w:pPr>
              <w:spacing w:before="40" w:after="40"/>
              <w:rPr>
                <w:b/>
                <w:bCs/>
                <w:sz w:val="18"/>
                <w:szCs w:val="18"/>
              </w:rPr>
            </w:pPr>
            <w:r w:rsidRPr="00746AD5">
              <w:rPr>
                <w:b/>
                <w:bCs/>
                <w:sz w:val="18"/>
                <w:szCs w:val="18"/>
              </w:rPr>
              <w:t>Signal word</w:t>
            </w:r>
            <w:r>
              <w:rPr>
                <w:b/>
                <w:bCs/>
                <w:sz w:val="18"/>
                <w:szCs w:val="18"/>
              </w:rPr>
              <w:t>(s)</w:t>
            </w:r>
          </w:p>
        </w:tc>
        <w:tc>
          <w:tcPr>
            <w:tcW w:w="2268" w:type="dxa"/>
            <w:gridSpan w:val="2"/>
            <w:tcBorders>
              <w:top w:val="nil"/>
              <w:left w:val="nil"/>
              <w:bottom w:val="nil"/>
              <w:right w:val="nil"/>
            </w:tcBorders>
          </w:tcPr>
          <w:p w:rsidR="001B0884" w:rsidRPr="00746AD5" w:rsidRDefault="001B0884" w:rsidP="005C3F86">
            <w:pPr>
              <w:spacing w:before="40" w:after="40"/>
              <w:ind w:right="252"/>
              <w:rPr>
                <w:b/>
                <w:bCs/>
                <w:sz w:val="18"/>
                <w:szCs w:val="18"/>
              </w:rPr>
            </w:pPr>
            <w:r w:rsidRPr="00746AD5">
              <w:rPr>
                <w:b/>
                <w:bCs/>
                <w:sz w:val="18"/>
                <w:szCs w:val="18"/>
              </w:rPr>
              <w:t>Hazard statement</w:t>
            </w:r>
            <w:r>
              <w:rPr>
                <w:b/>
                <w:bCs/>
                <w:sz w:val="18"/>
                <w:szCs w:val="18"/>
              </w:rPr>
              <w:t xml:space="preserve"> (s)</w:t>
            </w:r>
          </w:p>
        </w:tc>
      </w:tr>
      <w:tr w:rsidR="001B0884" w:rsidRPr="00746AD5" w:rsidTr="00F15D91">
        <w:trPr>
          <w:cantSplit/>
        </w:trPr>
        <w:tc>
          <w:tcPr>
            <w:tcW w:w="2352" w:type="dxa"/>
            <w:tcBorders>
              <w:top w:val="nil"/>
              <w:left w:val="nil"/>
              <w:bottom w:val="nil"/>
              <w:right w:val="nil"/>
            </w:tcBorders>
          </w:tcPr>
          <w:p w:rsidR="001B0884" w:rsidRPr="00746AD5" w:rsidRDefault="001B0884" w:rsidP="005C3F86">
            <w:pPr>
              <w:spacing w:before="40" w:after="40"/>
              <w:rPr>
                <w:sz w:val="18"/>
                <w:szCs w:val="18"/>
              </w:rPr>
            </w:pPr>
            <w:r>
              <w:rPr>
                <w:sz w:val="18"/>
                <w:szCs w:val="18"/>
              </w:rPr>
              <w:t>[hazard category number or designation]</w:t>
            </w:r>
          </w:p>
        </w:tc>
        <w:tc>
          <w:tcPr>
            <w:tcW w:w="1275" w:type="dxa"/>
            <w:tcBorders>
              <w:top w:val="nil"/>
              <w:left w:val="nil"/>
              <w:bottom w:val="nil"/>
              <w:right w:val="nil"/>
            </w:tcBorders>
          </w:tcPr>
          <w:p w:rsidR="001B0884" w:rsidRDefault="001B0884" w:rsidP="001B0884">
            <w:pPr>
              <w:spacing w:before="40" w:after="40"/>
              <w:jc w:val="center"/>
              <w:rPr>
                <w:sz w:val="18"/>
                <w:szCs w:val="18"/>
              </w:rPr>
            </w:pPr>
            <w:r>
              <w:rPr>
                <w:sz w:val="18"/>
                <w:szCs w:val="18"/>
              </w:rPr>
              <w:t>[symbol name</w:t>
            </w:r>
            <w:r>
              <w:rPr>
                <w:sz w:val="18"/>
                <w:szCs w:val="18"/>
              </w:rPr>
              <w:br/>
              <w:t>according to 1.4.10.3]</w:t>
            </w:r>
          </w:p>
        </w:tc>
        <w:tc>
          <w:tcPr>
            <w:tcW w:w="1276" w:type="dxa"/>
            <w:tcBorders>
              <w:top w:val="nil"/>
              <w:left w:val="nil"/>
              <w:bottom w:val="nil"/>
              <w:right w:val="nil"/>
            </w:tcBorders>
          </w:tcPr>
          <w:p w:rsidR="001B0884" w:rsidRDefault="001B0884" w:rsidP="001B0884">
            <w:pPr>
              <w:spacing w:before="40" w:after="40"/>
              <w:jc w:val="center"/>
              <w:rPr>
                <w:sz w:val="18"/>
                <w:szCs w:val="18"/>
              </w:rPr>
            </w:pPr>
            <w:r>
              <w:rPr>
                <w:sz w:val="18"/>
                <w:szCs w:val="18"/>
              </w:rPr>
              <w:t>[graphic symbol]</w:t>
            </w:r>
          </w:p>
        </w:tc>
        <w:tc>
          <w:tcPr>
            <w:tcW w:w="1559" w:type="dxa"/>
            <w:tcBorders>
              <w:top w:val="nil"/>
              <w:left w:val="nil"/>
              <w:bottom w:val="nil"/>
              <w:right w:val="nil"/>
            </w:tcBorders>
          </w:tcPr>
          <w:p w:rsidR="001B0884" w:rsidRPr="00746AD5" w:rsidRDefault="001B0884" w:rsidP="005C3F86">
            <w:pPr>
              <w:spacing w:before="40" w:after="40"/>
              <w:rPr>
                <w:sz w:val="18"/>
                <w:szCs w:val="18"/>
              </w:rPr>
            </w:pPr>
            <w:r>
              <w:rPr>
                <w:sz w:val="18"/>
                <w:szCs w:val="18"/>
              </w:rPr>
              <w:t>[Signal word text]</w:t>
            </w:r>
          </w:p>
        </w:tc>
        <w:tc>
          <w:tcPr>
            <w:tcW w:w="1134" w:type="dxa"/>
            <w:tcBorders>
              <w:top w:val="nil"/>
              <w:left w:val="nil"/>
              <w:bottom w:val="nil"/>
              <w:right w:val="nil"/>
            </w:tcBorders>
          </w:tcPr>
          <w:p w:rsidR="001B0884" w:rsidRPr="00746AD5" w:rsidRDefault="001B0884" w:rsidP="005C3F86">
            <w:pPr>
              <w:spacing w:before="40" w:after="40"/>
              <w:jc w:val="center"/>
              <w:rPr>
                <w:sz w:val="18"/>
                <w:szCs w:val="18"/>
              </w:rPr>
            </w:pPr>
            <w:r>
              <w:rPr>
                <w:sz w:val="18"/>
                <w:szCs w:val="18"/>
              </w:rPr>
              <w:t>[H code]</w:t>
            </w:r>
          </w:p>
        </w:tc>
        <w:tc>
          <w:tcPr>
            <w:tcW w:w="1134" w:type="dxa"/>
            <w:tcBorders>
              <w:top w:val="nil"/>
              <w:left w:val="nil"/>
              <w:bottom w:val="nil"/>
              <w:right w:val="nil"/>
            </w:tcBorders>
          </w:tcPr>
          <w:p w:rsidR="001B0884" w:rsidRPr="00746AD5" w:rsidRDefault="001B0884" w:rsidP="005C3F86">
            <w:pPr>
              <w:spacing w:before="40" w:after="40"/>
              <w:rPr>
                <w:sz w:val="18"/>
                <w:szCs w:val="18"/>
              </w:rPr>
            </w:pPr>
            <w:r>
              <w:rPr>
                <w:sz w:val="18"/>
                <w:szCs w:val="18"/>
              </w:rPr>
              <w:t>[Hazard statement text]</w:t>
            </w:r>
          </w:p>
        </w:tc>
      </w:tr>
    </w:tbl>
    <w:p w:rsidR="009F0F06" w:rsidRPr="00657335" w:rsidRDefault="0049191D" w:rsidP="0049191D">
      <w:pPr>
        <w:spacing w:before="240"/>
        <w:ind w:left="1134" w:right="1134"/>
        <w:jc w:val="center"/>
      </w:pPr>
      <w:r>
        <w:rPr>
          <w:u w:val="single"/>
        </w:rPr>
        <w:tab/>
      </w:r>
      <w:r>
        <w:rPr>
          <w:u w:val="single"/>
        </w:rPr>
        <w:tab/>
      </w:r>
      <w:r>
        <w:rPr>
          <w:u w:val="single"/>
        </w:rPr>
        <w:tab/>
      </w:r>
    </w:p>
    <w:sectPr w:rsidR="009F0F06" w:rsidRPr="00657335" w:rsidSect="0065733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86" w:rsidRDefault="005C3F86"/>
  </w:endnote>
  <w:endnote w:type="continuationSeparator" w:id="0">
    <w:p w:rsidR="005C3F86" w:rsidRDefault="005C3F86"/>
  </w:endnote>
  <w:endnote w:type="continuationNotice" w:id="1">
    <w:p w:rsidR="005C3F86" w:rsidRDefault="005C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86" w:rsidRPr="00657335" w:rsidRDefault="005C3F86" w:rsidP="00657335">
    <w:pPr>
      <w:pStyle w:val="Footer"/>
      <w:tabs>
        <w:tab w:val="right" w:pos="9638"/>
      </w:tabs>
      <w:rPr>
        <w:sz w:val="18"/>
      </w:rPr>
    </w:pPr>
    <w:r w:rsidRPr="00657335">
      <w:rPr>
        <w:b/>
        <w:sz w:val="18"/>
      </w:rPr>
      <w:fldChar w:fldCharType="begin"/>
    </w:r>
    <w:r w:rsidRPr="00657335">
      <w:rPr>
        <w:b/>
        <w:sz w:val="18"/>
      </w:rPr>
      <w:instrText xml:space="preserve"> PAGE  \* MERGEFORMAT </w:instrText>
    </w:r>
    <w:r w:rsidRPr="00657335">
      <w:rPr>
        <w:b/>
        <w:sz w:val="18"/>
      </w:rPr>
      <w:fldChar w:fldCharType="separate"/>
    </w:r>
    <w:r w:rsidR="00EF7FA5">
      <w:rPr>
        <w:b/>
        <w:noProof/>
        <w:sz w:val="18"/>
      </w:rPr>
      <w:t>8</w:t>
    </w:r>
    <w:r w:rsidRPr="006573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86" w:rsidRPr="00657335" w:rsidRDefault="005C3F86" w:rsidP="00657335">
    <w:pPr>
      <w:pStyle w:val="Footer"/>
      <w:tabs>
        <w:tab w:val="right" w:pos="9638"/>
      </w:tabs>
      <w:rPr>
        <w:b/>
        <w:sz w:val="18"/>
      </w:rPr>
    </w:pPr>
    <w:r>
      <w:tab/>
    </w:r>
    <w:r w:rsidRPr="00657335">
      <w:rPr>
        <w:b/>
        <w:sz w:val="18"/>
      </w:rPr>
      <w:fldChar w:fldCharType="begin"/>
    </w:r>
    <w:r w:rsidRPr="00657335">
      <w:rPr>
        <w:b/>
        <w:sz w:val="18"/>
      </w:rPr>
      <w:instrText xml:space="preserve"> PAGE  \* MERGEFORMAT </w:instrText>
    </w:r>
    <w:r w:rsidRPr="00657335">
      <w:rPr>
        <w:b/>
        <w:sz w:val="18"/>
      </w:rPr>
      <w:fldChar w:fldCharType="separate"/>
    </w:r>
    <w:r w:rsidR="00EF7FA5">
      <w:rPr>
        <w:b/>
        <w:noProof/>
        <w:sz w:val="18"/>
      </w:rPr>
      <w:t>7</w:t>
    </w:r>
    <w:r w:rsidRPr="006573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86" w:rsidRPr="000B175B" w:rsidRDefault="005C3F86" w:rsidP="000B175B">
      <w:pPr>
        <w:tabs>
          <w:tab w:val="right" w:pos="2155"/>
        </w:tabs>
        <w:spacing w:after="80"/>
        <w:ind w:left="680"/>
        <w:rPr>
          <w:u w:val="single"/>
        </w:rPr>
      </w:pPr>
      <w:r>
        <w:rPr>
          <w:u w:val="single"/>
        </w:rPr>
        <w:tab/>
      </w:r>
    </w:p>
  </w:footnote>
  <w:footnote w:type="continuationSeparator" w:id="0">
    <w:p w:rsidR="005C3F86" w:rsidRPr="00FC68B7" w:rsidRDefault="005C3F86" w:rsidP="00FC68B7">
      <w:pPr>
        <w:tabs>
          <w:tab w:val="left" w:pos="2155"/>
        </w:tabs>
        <w:spacing w:after="80"/>
        <w:ind w:left="680"/>
        <w:rPr>
          <w:u w:val="single"/>
        </w:rPr>
      </w:pPr>
      <w:r>
        <w:rPr>
          <w:u w:val="single"/>
        </w:rPr>
        <w:tab/>
      </w:r>
    </w:p>
  </w:footnote>
  <w:footnote w:type="continuationNotice" w:id="1">
    <w:p w:rsidR="005C3F86" w:rsidRDefault="005C3F86"/>
  </w:footnote>
  <w:footnote w:id="2">
    <w:p w:rsidR="005C3F86" w:rsidRPr="00DE4121" w:rsidRDefault="005C3F86" w:rsidP="00FD261F">
      <w:pPr>
        <w:pStyle w:val="FootnoteText"/>
        <w:rPr>
          <w:lang w:val="fr-CH"/>
        </w:rPr>
      </w:pPr>
      <w:r>
        <w:tab/>
      </w:r>
      <w:r>
        <w:rPr>
          <w:rStyle w:val="FootnoteReference"/>
        </w:rPr>
        <w:footnoteRef/>
      </w:r>
      <w:r>
        <w:t xml:space="preserve"> </w:t>
      </w:r>
      <w:r>
        <w:tab/>
        <w:t>In accordance with the programme of work of the Sub-Committee for 2015–2016 approved by the Committee at its seventh session (see ST/SG/AC.10/C.3/92, paragraph 95, ST/SG/AC.10/C.4/60, annex III and ST/SG/AC.10/42, para. 15)</w:t>
      </w:r>
    </w:p>
  </w:footnote>
  <w:footnote w:id="3">
    <w:p w:rsidR="005C3F86" w:rsidRPr="00DE4121" w:rsidRDefault="005C3F86">
      <w:pPr>
        <w:pStyle w:val="FootnoteText"/>
        <w:rPr>
          <w:lang w:val="fr-CH"/>
        </w:rPr>
      </w:pPr>
      <w:r>
        <w:tab/>
      </w:r>
      <w:r>
        <w:rPr>
          <w:rStyle w:val="FootnoteReference"/>
        </w:rPr>
        <w:footnoteRef/>
      </w:r>
      <w:r>
        <w:t xml:space="preserve"> </w:t>
      </w:r>
      <w:r>
        <w:tab/>
      </w:r>
      <w:r w:rsidRPr="00DE4121">
        <w:t>Programme of work of the Sub-Committee of Experts on the Globally Harmonized System of Classification and Labelling of Chemicals for 2015-2016 (</w:t>
      </w:r>
      <w:proofErr w:type="gramStart"/>
      <w:r w:rsidRPr="00DE4121">
        <w:t>refer</w:t>
      </w:r>
      <w:proofErr w:type="gramEnd"/>
      <w:r w:rsidRPr="00DE4121">
        <w:t xml:space="preserve"> to ST/SG/AC.10/C.4/56, annex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86" w:rsidRPr="00657335" w:rsidRDefault="005C3F86">
    <w:pPr>
      <w:pStyle w:val="Header"/>
    </w:pPr>
    <w:r w:rsidRPr="001D6AFC">
      <w:t>ST/SG/AC.10/C.4/2016/</w:t>
    </w:r>
    <w:r w:rsidR="001D6AFC" w:rsidRPr="001D6AFC">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86" w:rsidRPr="00657335" w:rsidRDefault="005C3F86" w:rsidP="00657335">
    <w:pPr>
      <w:pStyle w:val="Header"/>
      <w:jc w:val="right"/>
    </w:pPr>
    <w:r w:rsidRPr="001D6AFC">
      <w:t>ST/SG/AC.10/C.4/2016/</w:t>
    </w:r>
    <w:r w:rsidR="001D6AFC" w:rsidRPr="001D6AFC">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D23CA1"/>
    <w:multiLevelType w:val="hybridMultilevel"/>
    <w:tmpl w:val="C6D44148"/>
    <w:lvl w:ilvl="0" w:tplc="DC08D7A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575D4F6D"/>
    <w:multiLevelType w:val="hybridMultilevel"/>
    <w:tmpl w:val="6DE6978C"/>
    <w:lvl w:ilvl="0" w:tplc="7534BE9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5161EB"/>
    <w:multiLevelType w:val="hybridMultilevel"/>
    <w:tmpl w:val="EFA41F36"/>
    <w:lvl w:ilvl="0" w:tplc="24040A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9BB3C5D"/>
    <w:multiLevelType w:val="hybridMultilevel"/>
    <w:tmpl w:val="D7FEA97C"/>
    <w:lvl w:ilvl="0" w:tplc="43F09D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DE80D87"/>
    <w:multiLevelType w:val="hybridMultilevel"/>
    <w:tmpl w:val="9B6C133A"/>
    <w:lvl w:ilvl="0" w:tplc="E73444E6">
      <w:start w:val="1"/>
      <w:numFmt w:val="lowerRoman"/>
      <w:lvlText w:val="(%1)"/>
      <w:lvlJc w:val="left"/>
      <w:pPr>
        <w:ind w:left="2988" w:hanging="72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35"/>
    <w:rsid w:val="00026C42"/>
    <w:rsid w:val="00050F6B"/>
    <w:rsid w:val="00057FD8"/>
    <w:rsid w:val="00063F75"/>
    <w:rsid w:val="00072C8C"/>
    <w:rsid w:val="00091419"/>
    <w:rsid w:val="000931C0"/>
    <w:rsid w:val="0009436C"/>
    <w:rsid w:val="000B08B8"/>
    <w:rsid w:val="000B175B"/>
    <w:rsid w:val="000B18F4"/>
    <w:rsid w:val="000B3A0F"/>
    <w:rsid w:val="000D4BFF"/>
    <w:rsid w:val="000D6409"/>
    <w:rsid w:val="000E0415"/>
    <w:rsid w:val="00106249"/>
    <w:rsid w:val="00106F8A"/>
    <w:rsid w:val="0011582C"/>
    <w:rsid w:val="00117787"/>
    <w:rsid w:val="00131D42"/>
    <w:rsid w:val="001633FB"/>
    <w:rsid w:val="0017482D"/>
    <w:rsid w:val="001857C9"/>
    <w:rsid w:val="001A08E4"/>
    <w:rsid w:val="001B0884"/>
    <w:rsid w:val="001B4B04"/>
    <w:rsid w:val="001C6663"/>
    <w:rsid w:val="001C7895"/>
    <w:rsid w:val="001D26DF"/>
    <w:rsid w:val="001D2FDC"/>
    <w:rsid w:val="001D6AFC"/>
    <w:rsid w:val="001E5604"/>
    <w:rsid w:val="0020412D"/>
    <w:rsid w:val="00207A8A"/>
    <w:rsid w:val="0021039B"/>
    <w:rsid w:val="00211686"/>
    <w:rsid w:val="00211E0B"/>
    <w:rsid w:val="002309A7"/>
    <w:rsid w:val="00237785"/>
    <w:rsid w:val="00241466"/>
    <w:rsid w:val="002644D3"/>
    <w:rsid w:val="002725CA"/>
    <w:rsid w:val="00280EB7"/>
    <w:rsid w:val="00297A22"/>
    <w:rsid w:val="002B1CDA"/>
    <w:rsid w:val="002D094B"/>
    <w:rsid w:val="003107FA"/>
    <w:rsid w:val="003229D8"/>
    <w:rsid w:val="003441E0"/>
    <w:rsid w:val="0039277A"/>
    <w:rsid w:val="003961CC"/>
    <w:rsid w:val="003972E0"/>
    <w:rsid w:val="003B5A5E"/>
    <w:rsid w:val="003C054C"/>
    <w:rsid w:val="003C2CC4"/>
    <w:rsid w:val="003D4B23"/>
    <w:rsid w:val="003E0C31"/>
    <w:rsid w:val="0040226E"/>
    <w:rsid w:val="00422199"/>
    <w:rsid w:val="004325CB"/>
    <w:rsid w:val="00434149"/>
    <w:rsid w:val="00437F3F"/>
    <w:rsid w:val="00437F8B"/>
    <w:rsid w:val="00446DE4"/>
    <w:rsid w:val="00466CC4"/>
    <w:rsid w:val="004750C2"/>
    <w:rsid w:val="00475E36"/>
    <w:rsid w:val="0049191D"/>
    <w:rsid w:val="004B2C9D"/>
    <w:rsid w:val="004D5287"/>
    <w:rsid w:val="004F160A"/>
    <w:rsid w:val="00512833"/>
    <w:rsid w:val="00527910"/>
    <w:rsid w:val="005420F2"/>
    <w:rsid w:val="00577EBE"/>
    <w:rsid w:val="00590144"/>
    <w:rsid w:val="005948CC"/>
    <w:rsid w:val="005B3DB3"/>
    <w:rsid w:val="005C3F86"/>
    <w:rsid w:val="005E2F7F"/>
    <w:rsid w:val="005E48D1"/>
    <w:rsid w:val="005F4827"/>
    <w:rsid w:val="00611FC4"/>
    <w:rsid w:val="006176FB"/>
    <w:rsid w:val="0063419C"/>
    <w:rsid w:val="00640B26"/>
    <w:rsid w:val="00646B9C"/>
    <w:rsid w:val="0065482D"/>
    <w:rsid w:val="00657335"/>
    <w:rsid w:val="00684462"/>
    <w:rsid w:val="006A2F87"/>
    <w:rsid w:val="006A7392"/>
    <w:rsid w:val="006C0D34"/>
    <w:rsid w:val="006E564B"/>
    <w:rsid w:val="0072632A"/>
    <w:rsid w:val="00730AB4"/>
    <w:rsid w:val="0074329B"/>
    <w:rsid w:val="007558A5"/>
    <w:rsid w:val="007602C8"/>
    <w:rsid w:val="007845B6"/>
    <w:rsid w:val="00790791"/>
    <w:rsid w:val="00791326"/>
    <w:rsid w:val="007A631B"/>
    <w:rsid w:val="007B004B"/>
    <w:rsid w:val="007B6BA5"/>
    <w:rsid w:val="007C3390"/>
    <w:rsid w:val="007C4F4B"/>
    <w:rsid w:val="007F6611"/>
    <w:rsid w:val="00804CB0"/>
    <w:rsid w:val="008058CA"/>
    <w:rsid w:val="00811DCC"/>
    <w:rsid w:val="00815C31"/>
    <w:rsid w:val="008175E9"/>
    <w:rsid w:val="008242D7"/>
    <w:rsid w:val="008671D0"/>
    <w:rsid w:val="008703E9"/>
    <w:rsid w:val="00871FD5"/>
    <w:rsid w:val="00885989"/>
    <w:rsid w:val="008859C3"/>
    <w:rsid w:val="0088766E"/>
    <w:rsid w:val="008979B1"/>
    <w:rsid w:val="008A6B25"/>
    <w:rsid w:val="008A6C4F"/>
    <w:rsid w:val="008B1F7D"/>
    <w:rsid w:val="008D0E23"/>
    <w:rsid w:val="008E0E46"/>
    <w:rsid w:val="00912CE5"/>
    <w:rsid w:val="00921719"/>
    <w:rsid w:val="009254AC"/>
    <w:rsid w:val="00927DD9"/>
    <w:rsid w:val="00945A5D"/>
    <w:rsid w:val="00963CBA"/>
    <w:rsid w:val="00974777"/>
    <w:rsid w:val="0099124E"/>
    <w:rsid w:val="00991261"/>
    <w:rsid w:val="0099386C"/>
    <w:rsid w:val="009F0F06"/>
    <w:rsid w:val="009F3B21"/>
    <w:rsid w:val="00A06CB9"/>
    <w:rsid w:val="00A1427D"/>
    <w:rsid w:val="00A3215C"/>
    <w:rsid w:val="00A56BA9"/>
    <w:rsid w:val="00A57B55"/>
    <w:rsid w:val="00A72F22"/>
    <w:rsid w:val="00A748A6"/>
    <w:rsid w:val="00A75EC9"/>
    <w:rsid w:val="00A81FD3"/>
    <w:rsid w:val="00A82339"/>
    <w:rsid w:val="00A879A4"/>
    <w:rsid w:val="00A924CD"/>
    <w:rsid w:val="00AC36B2"/>
    <w:rsid w:val="00AF7932"/>
    <w:rsid w:val="00B30116"/>
    <w:rsid w:val="00B30179"/>
    <w:rsid w:val="00B3317B"/>
    <w:rsid w:val="00B45987"/>
    <w:rsid w:val="00B55E75"/>
    <w:rsid w:val="00B81E12"/>
    <w:rsid w:val="00B93068"/>
    <w:rsid w:val="00BC74E9"/>
    <w:rsid w:val="00BD687C"/>
    <w:rsid w:val="00BE618E"/>
    <w:rsid w:val="00C25EB6"/>
    <w:rsid w:val="00C463DD"/>
    <w:rsid w:val="00C53CC9"/>
    <w:rsid w:val="00C62F76"/>
    <w:rsid w:val="00C745C3"/>
    <w:rsid w:val="00C87211"/>
    <w:rsid w:val="00CA6069"/>
    <w:rsid w:val="00CC72E5"/>
    <w:rsid w:val="00CE01FA"/>
    <w:rsid w:val="00CE4A8F"/>
    <w:rsid w:val="00CF1860"/>
    <w:rsid w:val="00CF5DB3"/>
    <w:rsid w:val="00D11EE3"/>
    <w:rsid w:val="00D16E14"/>
    <w:rsid w:val="00D2031B"/>
    <w:rsid w:val="00D25FE2"/>
    <w:rsid w:val="00D43252"/>
    <w:rsid w:val="00D64430"/>
    <w:rsid w:val="00D753D8"/>
    <w:rsid w:val="00D96CC5"/>
    <w:rsid w:val="00D978C6"/>
    <w:rsid w:val="00DA06AB"/>
    <w:rsid w:val="00DA67AD"/>
    <w:rsid w:val="00DA7DFF"/>
    <w:rsid w:val="00DE4121"/>
    <w:rsid w:val="00DF62AE"/>
    <w:rsid w:val="00E02F0F"/>
    <w:rsid w:val="00E03AC2"/>
    <w:rsid w:val="00E130AB"/>
    <w:rsid w:val="00E5644E"/>
    <w:rsid w:val="00E71A23"/>
    <w:rsid w:val="00E72365"/>
    <w:rsid w:val="00E7260F"/>
    <w:rsid w:val="00E8535A"/>
    <w:rsid w:val="00E96630"/>
    <w:rsid w:val="00EA772F"/>
    <w:rsid w:val="00EB6832"/>
    <w:rsid w:val="00EC60D5"/>
    <w:rsid w:val="00ED6C25"/>
    <w:rsid w:val="00ED7A2A"/>
    <w:rsid w:val="00EF1D7F"/>
    <w:rsid w:val="00EF3134"/>
    <w:rsid w:val="00EF7FA5"/>
    <w:rsid w:val="00F04A9C"/>
    <w:rsid w:val="00F15D91"/>
    <w:rsid w:val="00F2529E"/>
    <w:rsid w:val="00F264E1"/>
    <w:rsid w:val="00F40E75"/>
    <w:rsid w:val="00F412D7"/>
    <w:rsid w:val="00F54674"/>
    <w:rsid w:val="00F676A9"/>
    <w:rsid w:val="00F90442"/>
    <w:rsid w:val="00FC68B7"/>
    <w:rsid w:val="00FD15CB"/>
    <w:rsid w:val="00FD261F"/>
    <w:rsid w:val="00FD3606"/>
    <w:rsid w:val="00FD6B2B"/>
    <w:rsid w:val="00FD74C9"/>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6573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7335"/>
    <w:rPr>
      <w:rFonts w:ascii="Tahoma" w:hAnsi="Tahoma" w:cs="Tahoma"/>
      <w:sz w:val="16"/>
      <w:szCs w:val="16"/>
      <w:lang w:eastAsia="en-US"/>
    </w:rPr>
  </w:style>
  <w:style w:type="character" w:customStyle="1" w:styleId="HChGChar">
    <w:name w:val="_ H _Ch_G Char"/>
    <w:link w:val="HChG"/>
    <w:rsid w:val="00DE4121"/>
    <w:rPr>
      <w:b/>
      <w:sz w:val="28"/>
      <w:lang w:eastAsia="en-US"/>
    </w:rPr>
  </w:style>
  <w:style w:type="character" w:customStyle="1" w:styleId="SingleTxtGChar">
    <w:name w:val="_ Single Txt_G Char"/>
    <w:link w:val="SingleTxtG"/>
    <w:rsid w:val="00DE4121"/>
    <w:rPr>
      <w:lang w:eastAsia="en-US"/>
    </w:rPr>
  </w:style>
  <w:style w:type="character" w:customStyle="1" w:styleId="FootnoteTextChar">
    <w:name w:val="Footnote Text Char"/>
    <w:aliases w:val="5_G Char"/>
    <w:link w:val="FootnoteText"/>
    <w:rsid w:val="00DE4121"/>
    <w:rPr>
      <w:sz w:val="18"/>
      <w:lang w:eastAsia="en-US"/>
    </w:rPr>
  </w:style>
  <w:style w:type="paragraph" w:styleId="ListParagraph">
    <w:name w:val="List Paragraph"/>
    <w:basedOn w:val="Normal"/>
    <w:uiPriority w:val="34"/>
    <w:qFormat/>
    <w:rsid w:val="00DE4121"/>
    <w:pPr>
      <w:suppressAutoHyphens w:val="0"/>
      <w:spacing w:line="240" w:lineRule="auto"/>
      <w:ind w:left="720"/>
      <w:contextualSpacing/>
    </w:pPr>
    <w:rPr>
      <w:sz w:val="22"/>
      <w:szCs w:val="24"/>
    </w:rPr>
  </w:style>
  <w:style w:type="paragraph" w:styleId="CommentSubject">
    <w:name w:val="annotation subject"/>
    <w:basedOn w:val="CommentText"/>
    <w:next w:val="CommentText"/>
    <w:link w:val="CommentSubjectChar"/>
    <w:rsid w:val="00885989"/>
    <w:pPr>
      <w:spacing w:line="240" w:lineRule="auto"/>
    </w:pPr>
    <w:rPr>
      <w:b/>
      <w:bCs/>
    </w:rPr>
  </w:style>
  <w:style w:type="character" w:customStyle="1" w:styleId="CommentTextChar">
    <w:name w:val="Comment Text Char"/>
    <w:basedOn w:val="DefaultParagraphFont"/>
    <w:link w:val="CommentText"/>
    <w:uiPriority w:val="99"/>
    <w:semiHidden/>
    <w:rsid w:val="00885989"/>
    <w:rPr>
      <w:lang w:eastAsia="en-US"/>
    </w:rPr>
  </w:style>
  <w:style w:type="character" w:customStyle="1" w:styleId="CommentSubjectChar">
    <w:name w:val="Comment Subject Char"/>
    <w:basedOn w:val="CommentTextChar"/>
    <w:link w:val="CommentSubject"/>
    <w:rsid w:val="00885989"/>
    <w:rPr>
      <w:b/>
      <w:bCs/>
      <w:lang w:eastAsia="en-US"/>
    </w:rPr>
  </w:style>
  <w:style w:type="paragraph" w:styleId="Revision">
    <w:name w:val="Revision"/>
    <w:hidden/>
    <w:uiPriority w:val="99"/>
    <w:semiHidden/>
    <w:rsid w:val="00DF62AE"/>
    <w:rPr>
      <w:lang w:eastAsia="en-US"/>
    </w:rPr>
  </w:style>
  <w:style w:type="paragraph" w:customStyle="1" w:styleId="Style1">
    <w:name w:val="Style1"/>
    <w:basedOn w:val="Normal"/>
    <w:rsid w:val="003441E0"/>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6573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7335"/>
    <w:rPr>
      <w:rFonts w:ascii="Tahoma" w:hAnsi="Tahoma" w:cs="Tahoma"/>
      <w:sz w:val="16"/>
      <w:szCs w:val="16"/>
      <w:lang w:eastAsia="en-US"/>
    </w:rPr>
  </w:style>
  <w:style w:type="character" w:customStyle="1" w:styleId="HChGChar">
    <w:name w:val="_ H _Ch_G Char"/>
    <w:link w:val="HChG"/>
    <w:rsid w:val="00DE4121"/>
    <w:rPr>
      <w:b/>
      <w:sz w:val="28"/>
      <w:lang w:eastAsia="en-US"/>
    </w:rPr>
  </w:style>
  <w:style w:type="character" w:customStyle="1" w:styleId="SingleTxtGChar">
    <w:name w:val="_ Single Txt_G Char"/>
    <w:link w:val="SingleTxtG"/>
    <w:rsid w:val="00DE4121"/>
    <w:rPr>
      <w:lang w:eastAsia="en-US"/>
    </w:rPr>
  </w:style>
  <w:style w:type="character" w:customStyle="1" w:styleId="FootnoteTextChar">
    <w:name w:val="Footnote Text Char"/>
    <w:aliases w:val="5_G Char"/>
    <w:link w:val="FootnoteText"/>
    <w:rsid w:val="00DE4121"/>
    <w:rPr>
      <w:sz w:val="18"/>
      <w:lang w:eastAsia="en-US"/>
    </w:rPr>
  </w:style>
  <w:style w:type="paragraph" w:styleId="ListParagraph">
    <w:name w:val="List Paragraph"/>
    <w:basedOn w:val="Normal"/>
    <w:uiPriority w:val="34"/>
    <w:qFormat/>
    <w:rsid w:val="00DE4121"/>
    <w:pPr>
      <w:suppressAutoHyphens w:val="0"/>
      <w:spacing w:line="240" w:lineRule="auto"/>
      <w:ind w:left="720"/>
      <w:contextualSpacing/>
    </w:pPr>
    <w:rPr>
      <w:sz w:val="22"/>
      <w:szCs w:val="24"/>
    </w:rPr>
  </w:style>
  <w:style w:type="paragraph" w:styleId="CommentSubject">
    <w:name w:val="annotation subject"/>
    <w:basedOn w:val="CommentText"/>
    <w:next w:val="CommentText"/>
    <w:link w:val="CommentSubjectChar"/>
    <w:rsid w:val="00885989"/>
    <w:pPr>
      <w:spacing w:line="240" w:lineRule="auto"/>
    </w:pPr>
    <w:rPr>
      <w:b/>
      <w:bCs/>
    </w:rPr>
  </w:style>
  <w:style w:type="character" w:customStyle="1" w:styleId="CommentTextChar">
    <w:name w:val="Comment Text Char"/>
    <w:basedOn w:val="DefaultParagraphFont"/>
    <w:link w:val="CommentText"/>
    <w:uiPriority w:val="99"/>
    <w:semiHidden/>
    <w:rsid w:val="00885989"/>
    <w:rPr>
      <w:lang w:eastAsia="en-US"/>
    </w:rPr>
  </w:style>
  <w:style w:type="character" w:customStyle="1" w:styleId="CommentSubjectChar">
    <w:name w:val="Comment Subject Char"/>
    <w:basedOn w:val="CommentTextChar"/>
    <w:link w:val="CommentSubject"/>
    <w:rsid w:val="00885989"/>
    <w:rPr>
      <w:b/>
      <w:bCs/>
      <w:lang w:eastAsia="en-US"/>
    </w:rPr>
  </w:style>
  <w:style w:type="paragraph" w:styleId="Revision">
    <w:name w:val="Revision"/>
    <w:hidden/>
    <w:uiPriority w:val="99"/>
    <w:semiHidden/>
    <w:rsid w:val="00DF62AE"/>
    <w:rPr>
      <w:lang w:eastAsia="en-US"/>
    </w:rPr>
  </w:style>
  <w:style w:type="paragraph" w:customStyle="1" w:styleId="Style1">
    <w:name w:val="Style1"/>
    <w:basedOn w:val="Normal"/>
    <w:rsid w:val="003441E0"/>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815">
      <w:bodyDiv w:val="1"/>
      <w:marLeft w:val="0"/>
      <w:marRight w:val="0"/>
      <w:marTop w:val="0"/>
      <w:marBottom w:val="0"/>
      <w:divBdr>
        <w:top w:val="none" w:sz="0" w:space="0" w:color="auto"/>
        <w:left w:val="none" w:sz="0" w:space="0" w:color="auto"/>
        <w:bottom w:val="none" w:sz="0" w:space="0" w:color="auto"/>
        <w:right w:val="none" w:sz="0" w:space="0" w:color="auto"/>
      </w:divBdr>
    </w:div>
    <w:div w:id="10196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27A1-81D5-4EF5-9D60-D184A637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49</TotalTime>
  <Pages>8</Pages>
  <Words>2426</Words>
  <Characters>13740</Characters>
  <Application>Microsoft Office Word</Application>
  <DocSecurity>0</DocSecurity>
  <Lines>341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16</cp:revision>
  <cp:lastPrinted>2016-09-16T08:31:00Z</cp:lastPrinted>
  <dcterms:created xsi:type="dcterms:W3CDTF">2016-09-12T11:43:00Z</dcterms:created>
  <dcterms:modified xsi:type="dcterms:W3CDTF">2016-09-16T09:36:00Z</dcterms:modified>
</cp:coreProperties>
</file>