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811EB1" w14:paraId="2F0CF98E" w14:textId="77777777" w:rsidTr="009F0F06">
        <w:trPr>
          <w:trHeight w:val="851"/>
        </w:trPr>
        <w:tc>
          <w:tcPr>
            <w:tcW w:w="1259" w:type="dxa"/>
            <w:tcBorders>
              <w:top w:val="nil"/>
              <w:left w:val="nil"/>
              <w:bottom w:val="single" w:sz="4" w:space="0" w:color="auto"/>
              <w:right w:val="nil"/>
            </w:tcBorders>
          </w:tcPr>
          <w:p w14:paraId="7F783C6D"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42B32E3D"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F01B1C0" w14:textId="07CA855C" w:rsidR="00446DE4" w:rsidRPr="00811EB1" w:rsidRDefault="00657335" w:rsidP="00811EB1">
            <w:pPr>
              <w:jc w:val="right"/>
            </w:pPr>
            <w:r w:rsidRPr="00811EB1">
              <w:rPr>
                <w:sz w:val="40"/>
              </w:rPr>
              <w:t>ST</w:t>
            </w:r>
            <w:r w:rsidRPr="00811EB1">
              <w:t>/SG/AC.10/C.4/2016/</w:t>
            </w:r>
            <w:r w:rsidR="00811EB1" w:rsidRPr="00811EB1">
              <w:t>21</w:t>
            </w:r>
          </w:p>
        </w:tc>
      </w:tr>
      <w:tr w:rsidR="003107FA" w14:paraId="671A0AA3" w14:textId="77777777" w:rsidTr="009F0F06">
        <w:trPr>
          <w:trHeight w:val="2835"/>
        </w:trPr>
        <w:tc>
          <w:tcPr>
            <w:tcW w:w="1259" w:type="dxa"/>
            <w:tcBorders>
              <w:top w:val="single" w:sz="4" w:space="0" w:color="auto"/>
              <w:left w:val="nil"/>
              <w:bottom w:val="single" w:sz="12" w:space="0" w:color="auto"/>
              <w:right w:val="nil"/>
            </w:tcBorders>
          </w:tcPr>
          <w:p w14:paraId="1FCE7828" w14:textId="77777777" w:rsidR="003107FA" w:rsidRDefault="00057FD8" w:rsidP="002B1CDA">
            <w:pPr>
              <w:spacing w:before="120"/>
              <w:jc w:val="center"/>
            </w:pPr>
            <w:r>
              <w:rPr>
                <w:noProof/>
                <w:lang w:eastAsia="en-GB"/>
              </w:rPr>
              <w:drawing>
                <wp:inline distT="0" distB="0" distL="0" distR="0" wp14:anchorId="370CF3C7" wp14:editId="06F0F68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EE45984"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94B05A1" w14:textId="77777777" w:rsidR="003107FA" w:rsidRPr="00811EB1" w:rsidRDefault="00657335" w:rsidP="00657335">
            <w:pPr>
              <w:spacing w:before="240" w:line="240" w:lineRule="exact"/>
            </w:pPr>
            <w:r w:rsidRPr="00811EB1">
              <w:t>Distr.: General</w:t>
            </w:r>
          </w:p>
          <w:p w14:paraId="3E23C1D0" w14:textId="2C8CD5F0" w:rsidR="00657335" w:rsidRPr="00811EB1" w:rsidRDefault="001621C5" w:rsidP="00657335">
            <w:pPr>
              <w:spacing w:line="240" w:lineRule="exact"/>
            </w:pPr>
            <w:r>
              <w:t>20</w:t>
            </w:r>
            <w:r w:rsidR="00657335" w:rsidRPr="00811EB1">
              <w:t xml:space="preserve"> September 2016</w:t>
            </w:r>
          </w:p>
          <w:p w14:paraId="7CCF179C" w14:textId="77777777" w:rsidR="00657335" w:rsidRPr="00811EB1" w:rsidRDefault="00657335" w:rsidP="00657335">
            <w:pPr>
              <w:spacing w:line="240" w:lineRule="exact"/>
            </w:pPr>
          </w:p>
          <w:p w14:paraId="2FC9ADB7" w14:textId="77777777" w:rsidR="00657335" w:rsidRDefault="00657335" w:rsidP="00657335">
            <w:pPr>
              <w:spacing w:line="240" w:lineRule="exact"/>
            </w:pPr>
            <w:r w:rsidRPr="00811EB1">
              <w:t>Original: English</w:t>
            </w:r>
          </w:p>
        </w:tc>
      </w:tr>
    </w:tbl>
    <w:p w14:paraId="6D170227"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6BA846F"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5C777050" w14:textId="77777777" w:rsidR="003972E0" w:rsidRPr="00477425" w:rsidRDefault="00FD3606" w:rsidP="009F0F06">
      <w:pPr>
        <w:spacing w:before="120"/>
        <w:rPr>
          <w:b/>
        </w:rPr>
      </w:pPr>
      <w:r w:rsidRPr="00477425">
        <w:rPr>
          <w:b/>
        </w:rPr>
        <w:t>Thirty-second</w:t>
      </w:r>
      <w:r w:rsidR="009F0F06" w:rsidRPr="00477425">
        <w:rPr>
          <w:b/>
        </w:rPr>
        <w:t xml:space="preserve"> session</w:t>
      </w:r>
    </w:p>
    <w:p w14:paraId="6D1C8CAB" w14:textId="533CEAA0" w:rsidR="009F0F06" w:rsidRPr="00477425" w:rsidRDefault="00CF5DB3" w:rsidP="009F0F06">
      <w:r w:rsidRPr="00477425">
        <w:t xml:space="preserve">Geneva, </w:t>
      </w:r>
      <w:r w:rsidR="00FD3606" w:rsidRPr="00477425">
        <w:t>7</w:t>
      </w:r>
      <w:r w:rsidR="00811EB1" w:rsidRPr="00477425">
        <w:t>-</w:t>
      </w:r>
      <w:r w:rsidR="00FD3606" w:rsidRPr="00477425">
        <w:t>9 December 2016</w:t>
      </w:r>
    </w:p>
    <w:p w14:paraId="7B4D73A1" w14:textId="1FC10B9D" w:rsidR="009F0F06" w:rsidRPr="00477425" w:rsidRDefault="009F0F06" w:rsidP="009F0F06">
      <w:r w:rsidRPr="00477425">
        <w:t xml:space="preserve">Item </w:t>
      </w:r>
      <w:r w:rsidR="00477425" w:rsidRPr="00477425">
        <w:t>3 (c)</w:t>
      </w:r>
      <w:r w:rsidRPr="00477425">
        <w:t xml:space="preserve"> of the provisional agenda</w:t>
      </w:r>
    </w:p>
    <w:p w14:paraId="294602E4" w14:textId="77777777" w:rsidR="00477425" w:rsidRPr="00477425" w:rsidRDefault="00477425" w:rsidP="00477425">
      <w:pPr>
        <w:rPr>
          <w:b/>
        </w:rPr>
      </w:pPr>
      <w:r w:rsidRPr="00477425">
        <w:rPr>
          <w:b/>
        </w:rPr>
        <w:t>Hazard communication issues</w:t>
      </w:r>
      <w:r w:rsidR="00042140" w:rsidRPr="00477425">
        <w:rPr>
          <w:b/>
        </w:rPr>
        <w:t>:</w:t>
      </w:r>
    </w:p>
    <w:p w14:paraId="416EC2CC" w14:textId="2F924B37" w:rsidR="00477425" w:rsidRDefault="002C418E" w:rsidP="00477425">
      <w:pPr>
        <w:rPr>
          <w:b/>
        </w:rPr>
      </w:pPr>
      <w:proofErr w:type="gramStart"/>
      <w:r>
        <w:rPr>
          <w:b/>
        </w:rPr>
        <w:t>m</w:t>
      </w:r>
      <w:r w:rsidR="00477425" w:rsidRPr="00477425">
        <w:rPr>
          <w:b/>
        </w:rPr>
        <w:t>iscellaneous</w:t>
      </w:r>
      <w:proofErr w:type="gramEnd"/>
    </w:p>
    <w:p w14:paraId="1730532B" w14:textId="312664A6" w:rsidR="00811EB1" w:rsidRDefault="00DE4121" w:rsidP="00477425">
      <w:pPr>
        <w:pStyle w:val="HChG"/>
      </w:pPr>
      <w:r>
        <w:rPr>
          <w:rFonts w:eastAsia="MS Mincho"/>
          <w:lang w:val="en-US" w:eastAsia="ja-JP"/>
        </w:rPr>
        <w:tab/>
      </w:r>
      <w:r>
        <w:rPr>
          <w:rFonts w:eastAsia="MS Mincho"/>
          <w:lang w:val="en-US" w:eastAsia="ja-JP"/>
        </w:rPr>
        <w:tab/>
      </w:r>
      <w:r w:rsidR="00BC2503">
        <w:t>Amendments to Annex 4</w:t>
      </w:r>
      <w:r w:rsidR="002631AF">
        <w:t xml:space="preserve"> (</w:t>
      </w:r>
      <w:r w:rsidR="00477425">
        <w:t xml:space="preserve">sub-section </w:t>
      </w:r>
      <w:r w:rsidR="00BC2503">
        <w:t>A4.3.17.7</w:t>
      </w:r>
      <w:r w:rsidR="002631AF">
        <w:t>)</w:t>
      </w:r>
      <w:r w:rsidR="00BC0D22">
        <w:t xml:space="preserve"> of the GHS</w:t>
      </w:r>
      <w:r w:rsidR="00811EB1">
        <w:t xml:space="preserve"> </w:t>
      </w:r>
      <w:r w:rsidR="00BC2503">
        <w:t xml:space="preserve">on </w:t>
      </w:r>
      <w:r w:rsidR="00811EB1">
        <w:t xml:space="preserve">guidance </w:t>
      </w:r>
      <w:r w:rsidR="002631AF">
        <w:t>on the preparation of s</w:t>
      </w:r>
      <w:r w:rsidR="00811EB1">
        <w:t>afety data sheet</w:t>
      </w:r>
      <w:r w:rsidR="002631AF">
        <w:t>s</w:t>
      </w:r>
    </w:p>
    <w:p w14:paraId="33F36174" w14:textId="1322F95A" w:rsidR="00811EB1" w:rsidRDefault="00811EB1" w:rsidP="00811EB1">
      <w:pPr>
        <w:pStyle w:val="H1G"/>
      </w:pPr>
      <w:r>
        <w:tab/>
      </w:r>
      <w:r>
        <w:tab/>
        <w:t>Transmitted by the International Council on Mining and Metals (ICMM)</w:t>
      </w:r>
      <w:r w:rsidR="00BC0D22">
        <w:rPr>
          <w:rStyle w:val="FootnoteReference"/>
        </w:rPr>
        <w:footnoteReference w:id="2"/>
      </w:r>
    </w:p>
    <w:p w14:paraId="1AEE67E6" w14:textId="77777777" w:rsidR="00811EB1" w:rsidRPr="00472ABA" w:rsidRDefault="00811EB1" w:rsidP="00811EB1">
      <w:pPr>
        <w:pStyle w:val="HChG"/>
        <w:rPr>
          <w:highlight w:val="yellow"/>
        </w:rPr>
      </w:pPr>
      <w:r>
        <w:tab/>
      </w:r>
      <w:r>
        <w:tab/>
      </w:r>
      <w:r w:rsidRPr="00F12E3E">
        <w:t>Introduction</w:t>
      </w:r>
    </w:p>
    <w:p w14:paraId="4714A457" w14:textId="02D54DCC" w:rsidR="00811EB1" w:rsidRDefault="008B3C06" w:rsidP="008B3C06">
      <w:pPr>
        <w:pStyle w:val="SingleTxtG"/>
        <w:rPr>
          <w:lang w:val="en-US"/>
        </w:rPr>
      </w:pPr>
      <w:r>
        <w:rPr>
          <w:lang w:val="en-US"/>
        </w:rPr>
        <w:t>1.</w:t>
      </w:r>
      <w:r>
        <w:rPr>
          <w:lang w:val="en-US"/>
        </w:rPr>
        <w:tab/>
      </w:r>
      <w:r w:rsidR="00811EB1">
        <w:rPr>
          <w:lang w:val="en-US"/>
        </w:rPr>
        <w:t xml:space="preserve">Annex 4 of the GHS contains </w:t>
      </w:r>
      <w:r w:rsidR="00BC0D22">
        <w:rPr>
          <w:lang w:val="en-US"/>
        </w:rPr>
        <w:t>“</w:t>
      </w:r>
      <w:r w:rsidR="00811EB1" w:rsidRPr="00ED0543">
        <w:rPr>
          <w:i/>
          <w:lang w:val="en-US"/>
        </w:rPr>
        <w:t>Guidance on the preparation of safety data sheets (SDS)</w:t>
      </w:r>
      <w:r w:rsidR="002631AF">
        <w:rPr>
          <w:lang w:val="en-US"/>
        </w:rPr>
        <w:t>”</w:t>
      </w:r>
      <w:r w:rsidR="00811EB1">
        <w:rPr>
          <w:lang w:val="en-US"/>
        </w:rPr>
        <w:t>. This includes general guidance on structure and content as well as specific information relating to content.</w:t>
      </w:r>
    </w:p>
    <w:p w14:paraId="7DF189E0" w14:textId="68D9278A" w:rsidR="00811EB1" w:rsidRPr="00ED0543" w:rsidRDefault="008B3C06" w:rsidP="008B3C06">
      <w:pPr>
        <w:pStyle w:val="SingleTxtG"/>
        <w:rPr>
          <w:lang w:val="en-US"/>
        </w:rPr>
      </w:pPr>
      <w:r>
        <w:t>2.</w:t>
      </w:r>
      <w:r>
        <w:tab/>
      </w:r>
      <w:r w:rsidR="00811EB1">
        <w:t>Sub</w:t>
      </w:r>
      <w:r w:rsidR="00811EB1" w:rsidRPr="004C423B">
        <w:t>section 14.7</w:t>
      </w:r>
      <w:r w:rsidR="00811EB1">
        <w:t xml:space="preserve"> (A4.3.14.7) </w:t>
      </w:r>
      <w:r w:rsidR="00BC0D22">
        <w:t>“</w:t>
      </w:r>
      <w:r w:rsidR="00811EB1" w:rsidRPr="00ED0543">
        <w:rPr>
          <w:i/>
        </w:rPr>
        <w:t>Transport in bulk according to Annex II of MARPOL 73/78 and the IBC code</w:t>
      </w:r>
      <w:r w:rsidR="00BC0D22">
        <w:rPr>
          <w:i/>
        </w:rPr>
        <w:t>”</w:t>
      </w:r>
      <w:r w:rsidR="00811EB1" w:rsidRPr="00ED0543">
        <w:rPr>
          <w:i/>
        </w:rPr>
        <w:t xml:space="preserve"> </w:t>
      </w:r>
      <w:r w:rsidR="00811EB1" w:rsidRPr="004C423B">
        <w:t>was</w:t>
      </w:r>
      <w:r w:rsidR="00811EB1">
        <w:t xml:space="preserve"> added to the SDS model</w:t>
      </w:r>
      <w:r w:rsidR="00811EB1" w:rsidRPr="004C423B">
        <w:t xml:space="preserve"> </w:t>
      </w:r>
      <w:r w:rsidR="00811EB1">
        <w:t xml:space="preserve">in GHS </w:t>
      </w:r>
      <w:r w:rsidR="00BC0D22">
        <w:t>R</w:t>
      </w:r>
      <w:r w:rsidR="00811EB1">
        <w:t>ev.2 (2007).  The guidance notes that:</w:t>
      </w:r>
    </w:p>
    <w:p w14:paraId="36434246" w14:textId="446A82B6" w:rsidR="00811EB1" w:rsidRDefault="00BC0D22" w:rsidP="00811EB1">
      <w:pPr>
        <w:pStyle w:val="SingleTxtG"/>
        <w:ind w:left="1701"/>
        <w:jc w:val="left"/>
      </w:pPr>
      <w:r>
        <w:rPr>
          <w:i/>
        </w:rPr>
        <w:t>“</w:t>
      </w:r>
      <w:r w:rsidR="00811EB1" w:rsidRPr="00ED0543">
        <w:rPr>
          <w:i/>
        </w:rPr>
        <w:t>This sub-section only applies when cargoes are intended to be carried in bulk according to the following IMO instruments: Annex II of MARPOL 73/78 and the IBC Code</w:t>
      </w:r>
      <w:r>
        <w:rPr>
          <w:i/>
        </w:rPr>
        <w:t>”</w:t>
      </w:r>
      <w:r w:rsidR="00811EB1">
        <w:t>.</w:t>
      </w:r>
    </w:p>
    <w:p w14:paraId="4D52407C" w14:textId="0FA23497" w:rsidR="00811EB1" w:rsidRPr="00777FC3" w:rsidRDefault="008B3C06" w:rsidP="008B3C06">
      <w:pPr>
        <w:pStyle w:val="SingleTxtG"/>
        <w:rPr>
          <w:lang w:val="en-US"/>
        </w:rPr>
      </w:pPr>
      <w:r>
        <w:t>3.</w:t>
      </w:r>
      <w:r>
        <w:tab/>
      </w:r>
      <w:r w:rsidR="00811EB1">
        <w:t xml:space="preserve">This section is therefore limited in scope to liquids and does not apply to other forms of cargo that are transported in bulk under similar regulation. For instance, the IMO’s </w:t>
      </w:r>
      <w:r w:rsidR="00811EB1" w:rsidRPr="00777FC3">
        <w:rPr>
          <w:lang w:val="en-US"/>
        </w:rPr>
        <w:t xml:space="preserve">International Maritime Solid Bulk Cargoes (IMSBC) Code entered into force on </w:t>
      </w:r>
      <w:r w:rsidR="00811EB1" w:rsidRPr="00777FC3">
        <w:rPr>
          <w:lang w:val="en-US"/>
        </w:rPr>
        <w:lastRenderedPageBreak/>
        <w:t>1</w:t>
      </w:r>
      <w:r w:rsidR="002631AF">
        <w:rPr>
          <w:lang w:val="en-US"/>
        </w:rPr>
        <w:t> </w:t>
      </w:r>
      <w:r w:rsidR="00811EB1" w:rsidRPr="00777FC3">
        <w:rPr>
          <w:lang w:val="en-US"/>
        </w:rPr>
        <w:t>January</w:t>
      </w:r>
      <w:r w:rsidR="002631AF">
        <w:rPr>
          <w:lang w:val="en-US"/>
        </w:rPr>
        <w:t> </w:t>
      </w:r>
      <w:r w:rsidR="00811EB1" w:rsidRPr="00777FC3">
        <w:rPr>
          <w:lang w:val="en-US"/>
        </w:rPr>
        <w:t xml:space="preserve">2011, from which date it was made mandatory under the provisions of the SOLAS Convention. </w:t>
      </w:r>
      <w:r w:rsidR="00811EB1">
        <w:t xml:space="preserve">Similarly, for gaseous cargoes there is the IMO International Code for the Construction and Equipment of Ships Carrying Liquefied Gases in Bulk (IGC Code),  and for older carriers, the </w:t>
      </w:r>
      <w:r w:rsidR="00811EB1" w:rsidRPr="00777FC3">
        <w:rPr>
          <w:lang w:val="en-US"/>
        </w:rPr>
        <w:t>Code for the Construction and Equipment of Ships Carrying Liquefied Gases in Bulk</w:t>
      </w:r>
      <w:r w:rsidR="00811EB1">
        <w:t xml:space="preserve"> (CG Code) and </w:t>
      </w:r>
      <w:r w:rsidR="00811EB1" w:rsidRPr="00777FC3">
        <w:rPr>
          <w:lang w:val="en-US"/>
        </w:rPr>
        <w:t>Code for Existing Ships Carrying Liquefied Gases in Bulk (</w:t>
      </w:r>
      <w:proofErr w:type="spellStart"/>
      <w:r w:rsidR="00811EB1">
        <w:t>eGC</w:t>
      </w:r>
      <w:proofErr w:type="spellEnd"/>
      <w:r w:rsidR="00811EB1">
        <w:t xml:space="preserve"> Code).</w:t>
      </w:r>
    </w:p>
    <w:p w14:paraId="6780B2B5" w14:textId="05F6E3FB" w:rsidR="00811EB1" w:rsidRDefault="008B3C06" w:rsidP="008B3C06">
      <w:pPr>
        <w:pStyle w:val="SingleTxtG"/>
      </w:pPr>
      <w:r>
        <w:t>4.</w:t>
      </w:r>
      <w:r>
        <w:tab/>
      </w:r>
      <w:r w:rsidR="00811EB1">
        <w:t xml:space="preserve">As the nature of information provided in an SDS can be useful for transport under both IMSBC and IGC codes, we encourage </w:t>
      </w:r>
      <w:r w:rsidR="00BC0D22">
        <w:t xml:space="preserve">the </w:t>
      </w:r>
      <w:r w:rsidR="00811EB1">
        <w:t>Sub-Committee to consider updating the section heading for A4.3.14.7 along with the accompanying guidance. This would make that section of the SDS relevant to all bulk cargoes transported under IMO instruments.</w:t>
      </w:r>
    </w:p>
    <w:p w14:paraId="7D5F8C86" w14:textId="6B94BEAA" w:rsidR="00811EB1" w:rsidRDefault="008B3C06" w:rsidP="008B3C06">
      <w:pPr>
        <w:pStyle w:val="SingleTxtG"/>
        <w:keepNext/>
        <w:keepLines/>
      </w:pPr>
      <w:r>
        <w:t>5.</w:t>
      </w:r>
      <w:r>
        <w:tab/>
      </w:r>
      <w:r w:rsidR="00811EB1">
        <w:t>Changing</w:t>
      </w:r>
      <w:r w:rsidR="00811EB1" w:rsidRPr="00210CBF">
        <w:t xml:space="preserve"> the name of </w:t>
      </w:r>
      <w:r w:rsidR="00811EB1">
        <w:t>sub</w:t>
      </w:r>
      <w:r w:rsidR="00811EB1" w:rsidRPr="00210CBF">
        <w:t>section 14.7</w:t>
      </w:r>
      <w:r w:rsidR="00811EB1">
        <w:t xml:space="preserve"> </w:t>
      </w:r>
      <w:r w:rsidR="00811EB1" w:rsidRPr="00210CBF">
        <w:t xml:space="preserve">to </w:t>
      </w:r>
      <w:r w:rsidR="00811EB1">
        <w:t>“T</w:t>
      </w:r>
      <w:r w:rsidR="00811EB1" w:rsidRPr="00210CBF">
        <w:t>ransport in bulk</w:t>
      </w:r>
      <w:r w:rsidR="00811EB1">
        <w:t xml:space="preserve"> according to IMO Instruments” would mean that information related to </w:t>
      </w:r>
      <w:r w:rsidR="00811EB1" w:rsidRPr="00210CBF">
        <w:t xml:space="preserve">bulk transport could be covered under </w:t>
      </w:r>
      <w:r w:rsidR="00811EB1">
        <w:t>this single</w:t>
      </w:r>
      <w:r w:rsidR="00811EB1" w:rsidRPr="00210CBF">
        <w:t xml:space="preserve"> section of </w:t>
      </w:r>
      <w:r w:rsidR="00811EB1">
        <w:t xml:space="preserve">the </w:t>
      </w:r>
      <w:r w:rsidR="00811EB1" w:rsidRPr="00210CBF">
        <w:t>safety dat</w:t>
      </w:r>
      <w:r w:rsidR="00811EB1">
        <w:t>a</w:t>
      </w:r>
      <w:r w:rsidR="00811EB1" w:rsidRPr="00210CBF">
        <w:t xml:space="preserve"> sheet</w:t>
      </w:r>
      <w:r w:rsidR="00811EB1">
        <w:t xml:space="preserve"> regardless of the physical form of the cargo. </w:t>
      </w:r>
      <w:r w:rsidR="00811EB1" w:rsidRPr="00ED0543">
        <w:t>Simplifying the name of the subsection would also make it more consistent with other subsection names and general GHS requirements.</w:t>
      </w:r>
    </w:p>
    <w:p w14:paraId="559EF860" w14:textId="44637F96" w:rsidR="00811EB1" w:rsidRDefault="008B3C06" w:rsidP="008B3C06">
      <w:pPr>
        <w:pStyle w:val="SingleTxtG"/>
      </w:pPr>
      <w:r>
        <w:t>6.</w:t>
      </w:r>
      <w:r>
        <w:tab/>
      </w:r>
      <w:r w:rsidR="00811EB1">
        <w:t>Where a particular substance is not transported in bulk, this could simply be stated in subsection 14.7.</w:t>
      </w:r>
    </w:p>
    <w:p w14:paraId="4EAB52EA" w14:textId="382272D6" w:rsidR="00811EB1" w:rsidRPr="00777FC3" w:rsidRDefault="008B3C06" w:rsidP="008B3C06">
      <w:pPr>
        <w:pStyle w:val="SingleTxtG"/>
      </w:pPr>
      <w:r>
        <w:t>7.</w:t>
      </w:r>
      <w:r>
        <w:tab/>
      </w:r>
      <w:r w:rsidR="00811EB1" w:rsidRPr="00777FC3">
        <w:t>A</w:t>
      </w:r>
      <w:r w:rsidR="00811EB1">
        <w:t xml:space="preserve"> discussion of the above was first tabled by ICMM at the second joint session of the TDG and the GHS sub-committees held on 5 July 2016. Participants discussed the issue described above and reviewed an initial suggestion for potential amendments as set out in </w:t>
      </w:r>
      <w:r w:rsidR="00B919AC">
        <w:t xml:space="preserve">informal document </w:t>
      </w:r>
      <w:r w:rsidR="00811EB1">
        <w:t>INF.7</w:t>
      </w:r>
      <w:r w:rsidR="00B919AC">
        <w:t xml:space="preserve"> (GHS) </w:t>
      </w:r>
      <w:r w:rsidR="00811EB1">
        <w:t>-</w:t>
      </w:r>
      <w:r w:rsidR="00B919AC">
        <w:t xml:space="preserve"> </w:t>
      </w:r>
      <w:r w:rsidR="00811EB1" w:rsidRPr="00777FC3">
        <w:t>INF.28</w:t>
      </w:r>
      <w:r w:rsidR="00B919AC">
        <w:t xml:space="preserve"> (TDG)</w:t>
      </w:r>
      <w:r w:rsidR="00811EB1">
        <w:t xml:space="preserve">. Taking into account the largely positive feedback on that paper, and noting advice to limit the scope of the amendment to transport under IMO instruments, the following proposal is submitted for formal consideration. </w:t>
      </w:r>
    </w:p>
    <w:p w14:paraId="1D98C542" w14:textId="77777777" w:rsidR="00811EB1" w:rsidRPr="00210CBF" w:rsidRDefault="00811EB1" w:rsidP="00811EB1">
      <w:pPr>
        <w:pStyle w:val="HChG"/>
      </w:pPr>
      <w:r w:rsidRPr="00210CBF">
        <w:tab/>
      </w:r>
      <w:r w:rsidRPr="00210CBF">
        <w:tab/>
      </w:r>
      <w:r>
        <w:t>Proposal</w:t>
      </w:r>
    </w:p>
    <w:p w14:paraId="16212D60" w14:textId="746842B9" w:rsidR="008B3C06" w:rsidRDefault="008B3C06" w:rsidP="008B3C06">
      <w:pPr>
        <w:pStyle w:val="SingleTxtG"/>
      </w:pPr>
      <w:r>
        <w:t>8.</w:t>
      </w:r>
      <w:r>
        <w:tab/>
      </w:r>
      <w:r w:rsidR="00811EB1" w:rsidRPr="00472ABA">
        <w:t xml:space="preserve">In </w:t>
      </w:r>
      <w:r w:rsidR="00811EB1">
        <w:t xml:space="preserve">Annex 4, </w:t>
      </w:r>
      <w:r>
        <w:t xml:space="preserve">heading of subsection </w:t>
      </w:r>
      <w:r w:rsidR="00811EB1">
        <w:t>A4.3.14.7</w:t>
      </w:r>
      <w:r>
        <w:t xml:space="preserve">: </w:t>
      </w:r>
    </w:p>
    <w:p w14:paraId="365B9922" w14:textId="1BF2A397" w:rsidR="008B3C06" w:rsidRDefault="008B3C06" w:rsidP="00A51345">
      <w:pPr>
        <w:pStyle w:val="SingleTxtG"/>
        <w:ind w:left="1701"/>
      </w:pPr>
      <w:r>
        <w:t>Replace “</w:t>
      </w:r>
      <w:r w:rsidR="00811EB1" w:rsidRPr="00ED0543">
        <w:rPr>
          <w:i/>
        </w:rPr>
        <w:t>Transport in bulk according to Annex II of MARPOL 73/78</w:t>
      </w:r>
      <w:r w:rsidR="00811EB1" w:rsidRPr="00ED0543">
        <w:rPr>
          <w:i/>
          <w:vertAlign w:val="superscript"/>
        </w:rPr>
        <w:t>9</w:t>
      </w:r>
      <w:r w:rsidR="00811EB1" w:rsidRPr="00ED0543">
        <w:rPr>
          <w:i/>
        </w:rPr>
        <w:t xml:space="preserve"> and the IBC code</w:t>
      </w:r>
      <w:r w:rsidR="00811EB1" w:rsidRPr="00ED0543">
        <w:rPr>
          <w:i/>
          <w:vertAlign w:val="superscript"/>
        </w:rPr>
        <w:t>10</w:t>
      </w:r>
      <w:r>
        <w:rPr>
          <w:i/>
          <w:vertAlign w:val="superscript"/>
        </w:rPr>
        <w:t>”</w:t>
      </w:r>
      <w:r w:rsidR="00811EB1">
        <w:t xml:space="preserve"> </w:t>
      </w:r>
      <w:r>
        <w:t>with “</w:t>
      </w:r>
      <w:r w:rsidR="00811EB1" w:rsidRPr="00ED0543">
        <w:rPr>
          <w:i/>
        </w:rPr>
        <w:t>Transport in bulk</w:t>
      </w:r>
      <w:r w:rsidR="00811EB1">
        <w:rPr>
          <w:i/>
        </w:rPr>
        <w:t xml:space="preserve"> according to IMO Instruments</w:t>
      </w:r>
      <w:r>
        <w:rPr>
          <w:i/>
        </w:rPr>
        <w:t>”</w:t>
      </w:r>
      <w:r w:rsidR="00811EB1">
        <w:t xml:space="preserve">. </w:t>
      </w:r>
    </w:p>
    <w:p w14:paraId="08D43E2F" w14:textId="60EEE546" w:rsidR="00811EB1" w:rsidRDefault="00A51345" w:rsidP="00A51345">
      <w:pPr>
        <w:pStyle w:val="SingleTxtG"/>
        <w:ind w:left="1701"/>
      </w:pPr>
      <w:r w:rsidRPr="00A51345">
        <w:rPr>
          <w:i/>
          <w:u w:val="single"/>
        </w:rPr>
        <w:t>Consequential amendment</w:t>
      </w:r>
      <w:r>
        <w:t>: In Ch</w:t>
      </w:r>
      <w:r w:rsidR="002631AF">
        <w:t>a</w:t>
      </w:r>
      <w:r>
        <w:t xml:space="preserve">pter 1.5, Table 1.5.2, amend </w:t>
      </w:r>
      <w:r w:rsidR="00811EB1">
        <w:t>row 14</w:t>
      </w:r>
      <w:r>
        <w:t xml:space="preserve"> </w:t>
      </w:r>
      <w:r w:rsidR="00811EB1">
        <w:t xml:space="preserve">(f) </w:t>
      </w:r>
      <w:r>
        <w:t>accordingly</w:t>
      </w:r>
      <w:r w:rsidR="00811EB1">
        <w:t>.</w:t>
      </w:r>
    </w:p>
    <w:p w14:paraId="4495E83F" w14:textId="58B87DB6" w:rsidR="00811EB1" w:rsidRDefault="008B3C06" w:rsidP="008B3C06">
      <w:pPr>
        <w:pStyle w:val="SingleTxtG"/>
      </w:pPr>
      <w:r>
        <w:t>9.</w:t>
      </w:r>
      <w:r>
        <w:tab/>
      </w:r>
      <w:r w:rsidR="00A51345" w:rsidRPr="00472ABA">
        <w:t xml:space="preserve">In </w:t>
      </w:r>
      <w:r w:rsidR="00A51345">
        <w:t xml:space="preserve">Annex 4, subsection A4.3.14.7, </w:t>
      </w:r>
      <w:r w:rsidR="00811EB1">
        <w:t>first paragraph:</w:t>
      </w:r>
    </w:p>
    <w:p w14:paraId="45FB80AB" w14:textId="15C734B5" w:rsidR="00811EB1" w:rsidRDefault="00A51345" w:rsidP="00811EB1">
      <w:pPr>
        <w:pStyle w:val="SingleTxtG"/>
        <w:ind w:left="1701"/>
      </w:pPr>
      <w:r>
        <w:t>Replace “</w:t>
      </w:r>
      <w:r w:rsidR="00811EB1" w:rsidRPr="00ED0543">
        <w:rPr>
          <w:i/>
        </w:rPr>
        <w:t>This sub-section only applies when cargoes are intended to be carried in bulk according to the following IMO instruments: Annex II of MARPOL 73/78</w:t>
      </w:r>
      <w:r w:rsidR="00811EB1" w:rsidRPr="00ED0543">
        <w:rPr>
          <w:i/>
          <w:vertAlign w:val="superscript"/>
        </w:rPr>
        <w:t>9</w:t>
      </w:r>
      <w:r w:rsidR="00811EB1" w:rsidRPr="00ED0543">
        <w:rPr>
          <w:i/>
        </w:rPr>
        <w:t>, the IBC code</w:t>
      </w:r>
      <w:r w:rsidR="00811EB1" w:rsidRPr="00ED0543">
        <w:rPr>
          <w:i/>
          <w:vertAlign w:val="superscript"/>
        </w:rPr>
        <w:t>10</w:t>
      </w:r>
      <w:r>
        <w:t>”</w:t>
      </w:r>
      <w:r w:rsidR="001621C5">
        <w:t>.</w:t>
      </w:r>
    </w:p>
    <w:p w14:paraId="5C83FA69" w14:textId="7A1EBAE1" w:rsidR="00811EB1" w:rsidRDefault="00811EB1" w:rsidP="00811EB1">
      <w:pPr>
        <w:pStyle w:val="SingleTxtG"/>
      </w:pPr>
      <w:r>
        <w:tab/>
      </w:r>
      <w:proofErr w:type="gramStart"/>
      <w:r w:rsidR="00A51345">
        <w:t>with</w:t>
      </w:r>
      <w:proofErr w:type="gramEnd"/>
      <w:r>
        <w:t>:</w:t>
      </w:r>
    </w:p>
    <w:p w14:paraId="4E2A6343" w14:textId="163DB4FC" w:rsidR="00811EB1" w:rsidRPr="0039521A" w:rsidRDefault="00A51345" w:rsidP="00811EB1">
      <w:pPr>
        <w:pStyle w:val="SingleTxtG"/>
        <w:ind w:left="1701"/>
      </w:pPr>
      <w:r>
        <w:rPr>
          <w:i/>
        </w:rPr>
        <w:t>“</w:t>
      </w:r>
      <w:r w:rsidR="00811EB1" w:rsidRPr="00ED0543">
        <w:rPr>
          <w:i/>
        </w:rPr>
        <w:t xml:space="preserve">This sub-section only applies when cargoes are intended to be carried in bulk according to IMO instruments: </w:t>
      </w:r>
      <w:r w:rsidR="00811EB1">
        <w:rPr>
          <w:i/>
        </w:rPr>
        <w:t xml:space="preserve">e.g., </w:t>
      </w:r>
      <w:r w:rsidR="00811EB1" w:rsidRPr="00ED0543">
        <w:rPr>
          <w:i/>
        </w:rPr>
        <w:t xml:space="preserve">Annex II </w:t>
      </w:r>
      <w:r w:rsidR="00811EB1">
        <w:rPr>
          <w:i/>
        </w:rPr>
        <w:t xml:space="preserve">or Annex V </w:t>
      </w:r>
      <w:r w:rsidR="00811EB1" w:rsidRPr="00ED0543">
        <w:rPr>
          <w:i/>
        </w:rPr>
        <w:t>of MARPOL 73/78</w:t>
      </w:r>
      <w:r w:rsidR="00811EB1" w:rsidRPr="00ED0543">
        <w:rPr>
          <w:i/>
          <w:vertAlign w:val="superscript"/>
        </w:rPr>
        <w:t>9</w:t>
      </w:r>
      <w:r w:rsidR="00811EB1" w:rsidRPr="00ED0543">
        <w:rPr>
          <w:i/>
        </w:rPr>
        <w:t>, the IBC code</w:t>
      </w:r>
      <w:r w:rsidR="00811EB1" w:rsidRPr="00ED0543">
        <w:rPr>
          <w:i/>
          <w:vertAlign w:val="superscript"/>
        </w:rPr>
        <w:t>10</w:t>
      </w:r>
      <w:r w:rsidR="00811EB1" w:rsidRPr="00ED0543">
        <w:rPr>
          <w:i/>
        </w:rPr>
        <w:t>, the IMSBC code</w:t>
      </w:r>
      <w:r w:rsidR="00811EB1">
        <w:rPr>
          <w:i/>
          <w:vertAlign w:val="superscript"/>
        </w:rPr>
        <w:t>11</w:t>
      </w:r>
      <w:r w:rsidR="00811EB1" w:rsidRPr="00ED0543">
        <w:rPr>
          <w:i/>
        </w:rPr>
        <w:t xml:space="preserve"> and the IGC code</w:t>
      </w:r>
      <w:r w:rsidR="00811EB1">
        <w:rPr>
          <w:i/>
          <w:vertAlign w:val="superscript"/>
        </w:rPr>
        <w:t>12</w:t>
      </w:r>
      <w:r w:rsidR="0039521A">
        <w:rPr>
          <w:i/>
        </w:rPr>
        <w:t>”</w:t>
      </w:r>
      <w:r w:rsidR="001621C5">
        <w:rPr>
          <w:i/>
        </w:rPr>
        <w:t>.</w:t>
      </w:r>
      <w:bookmarkStart w:id="0" w:name="_GoBack"/>
      <w:bookmarkEnd w:id="0"/>
    </w:p>
    <w:p w14:paraId="61952E9F" w14:textId="1BB63662" w:rsidR="00811EB1" w:rsidRPr="00521515" w:rsidRDefault="008B3C06" w:rsidP="008B3C06">
      <w:pPr>
        <w:pStyle w:val="SingleTxtG"/>
        <w:rPr>
          <w:i/>
        </w:rPr>
      </w:pPr>
      <w:r>
        <w:t>10.</w:t>
      </w:r>
      <w:r>
        <w:tab/>
      </w:r>
      <w:r w:rsidR="00C76407">
        <w:t>Insert the following footnotes:</w:t>
      </w:r>
    </w:p>
    <w:p w14:paraId="332A66C0" w14:textId="026F4297" w:rsidR="00811EB1" w:rsidRDefault="00811EB1" w:rsidP="00811EB1">
      <w:pPr>
        <w:pStyle w:val="SingleTxtG"/>
        <w:ind w:left="1701"/>
      </w:pPr>
      <w:r w:rsidRPr="00C76407">
        <w:rPr>
          <w:vertAlign w:val="superscript"/>
        </w:rPr>
        <w:t xml:space="preserve">11 </w:t>
      </w:r>
      <w:r w:rsidRPr="00C76407">
        <w:rPr>
          <w:b/>
          <w:i/>
        </w:rPr>
        <w:t>IMSBC Code</w:t>
      </w:r>
      <w:r w:rsidRPr="00521515">
        <w:rPr>
          <w:i/>
        </w:rPr>
        <w:t xml:space="preserve"> </w:t>
      </w:r>
      <w:r>
        <w:rPr>
          <w:i/>
        </w:rPr>
        <w:t>means the International Maritime Solid Bulk Cargoes Code, as amended</w:t>
      </w:r>
      <w:r w:rsidR="00C76407">
        <w:rPr>
          <w:i/>
        </w:rPr>
        <w:t>.</w:t>
      </w:r>
    </w:p>
    <w:p w14:paraId="7CB4972F" w14:textId="10459C57" w:rsidR="00811EB1" w:rsidRDefault="00811EB1" w:rsidP="00811EB1">
      <w:pPr>
        <w:pStyle w:val="SingleTxtG"/>
        <w:ind w:left="1701"/>
        <w:rPr>
          <w:i/>
        </w:rPr>
      </w:pPr>
      <w:r w:rsidRPr="00C76407">
        <w:rPr>
          <w:vertAlign w:val="superscript"/>
        </w:rPr>
        <w:t>12</w:t>
      </w:r>
      <w:r>
        <w:rPr>
          <w:i/>
        </w:rPr>
        <w:t xml:space="preserve"> </w:t>
      </w:r>
      <w:r w:rsidRPr="00C76407">
        <w:rPr>
          <w:b/>
          <w:i/>
        </w:rPr>
        <w:t>IGC Code</w:t>
      </w:r>
      <w:r>
        <w:rPr>
          <w:i/>
        </w:rPr>
        <w:t xml:space="preserve"> means </w:t>
      </w:r>
      <w:r w:rsidRPr="00855B57">
        <w:rPr>
          <w:i/>
        </w:rPr>
        <w:t>The International Code of the Construction and Equipment of Ships Carrying Liquefied Gases in Bulk</w:t>
      </w:r>
      <w:r>
        <w:rPr>
          <w:i/>
        </w:rPr>
        <w:t>, as amended</w:t>
      </w:r>
      <w:r w:rsidR="00C76407">
        <w:rPr>
          <w:i/>
        </w:rPr>
        <w:t>.</w:t>
      </w:r>
    </w:p>
    <w:p w14:paraId="3718D232" w14:textId="77777777" w:rsidR="00811EB1" w:rsidRDefault="00811EB1" w:rsidP="00811EB1">
      <w:pPr>
        <w:pStyle w:val="SingleTxtG"/>
        <w:ind w:left="1701"/>
        <w:rPr>
          <w:i/>
        </w:rPr>
      </w:pPr>
    </w:p>
    <w:p w14:paraId="4E44A633" w14:textId="61C69B71" w:rsidR="00811EB1" w:rsidRPr="0031682C" w:rsidRDefault="008B3C06" w:rsidP="008B3C06">
      <w:pPr>
        <w:pStyle w:val="SingleTxtG"/>
      </w:pPr>
      <w:r>
        <w:lastRenderedPageBreak/>
        <w:t>11.</w:t>
      </w:r>
      <w:r>
        <w:tab/>
      </w:r>
      <w:r w:rsidR="00C76407">
        <w:t xml:space="preserve">Amend the beginning of the second </w:t>
      </w:r>
      <w:r w:rsidR="00811EB1" w:rsidRPr="0031682C">
        <w:t>paragraph</w:t>
      </w:r>
      <w:r w:rsidR="00C76407">
        <w:t xml:space="preserve"> under A4.3.14.7</w:t>
      </w:r>
      <w:r w:rsidR="00811EB1" w:rsidRPr="0031682C">
        <w:t xml:space="preserve">, which applies to liquids, to begin with the words </w:t>
      </w:r>
      <w:r w:rsidR="00C76407">
        <w:t>“</w:t>
      </w:r>
      <w:r w:rsidR="00811EB1" w:rsidRPr="0031682C">
        <w:rPr>
          <w:i/>
        </w:rPr>
        <w:t>For liquid substances</w:t>
      </w:r>
      <w:r w:rsidR="00C76407">
        <w:t>”</w:t>
      </w:r>
      <w:r w:rsidR="00811EB1" w:rsidRPr="0031682C">
        <w:t>, i.e.:</w:t>
      </w:r>
    </w:p>
    <w:p w14:paraId="3AA8CACB" w14:textId="144DC1C8" w:rsidR="00811EB1" w:rsidRDefault="00C76407" w:rsidP="00811EB1">
      <w:pPr>
        <w:pStyle w:val="SingleTxtG"/>
        <w:ind w:left="1701"/>
        <w:rPr>
          <w:i/>
        </w:rPr>
      </w:pPr>
      <w:r>
        <w:rPr>
          <w:i/>
        </w:rPr>
        <w:t>“</w:t>
      </w:r>
      <w:r w:rsidR="00811EB1" w:rsidRPr="0031682C">
        <w:rPr>
          <w:i/>
        </w:rPr>
        <w:t xml:space="preserve">For liquid </w:t>
      </w:r>
      <w:r w:rsidR="00811EB1">
        <w:rPr>
          <w:i/>
        </w:rPr>
        <w:t>cargoes</w:t>
      </w:r>
      <w:r w:rsidR="00811EB1" w:rsidRPr="0031682C">
        <w:rPr>
          <w:i/>
        </w:rPr>
        <w:t>, provide the product name (if name is different… and pollution category</w:t>
      </w:r>
      <w:r>
        <w:rPr>
          <w:i/>
        </w:rPr>
        <w:t>”</w:t>
      </w:r>
      <w:r w:rsidR="00811EB1" w:rsidRPr="0031682C">
        <w:rPr>
          <w:i/>
        </w:rPr>
        <w:t>.</w:t>
      </w:r>
    </w:p>
    <w:p w14:paraId="4799B8F9" w14:textId="2E7CC47D" w:rsidR="00811EB1" w:rsidRDefault="008B3C06" w:rsidP="008B3C06">
      <w:pPr>
        <w:pStyle w:val="SingleTxtG"/>
      </w:pPr>
      <w:r>
        <w:t>12.</w:t>
      </w:r>
      <w:r>
        <w:tab/>
      </w:r>
      <w:r w:rsidR="00811EB1">
        <w:t xml:space="preserve">Add </w:t>
      </w:r>
      <w:r w:rsidR="00C76407">
        <w:t>the following new</w:t>
      </w:r>
      <w:r w:rsidR="00811EB1">
        <w:t xml:space="preserve"> third paragraph </w:t>
      </w:r>
      <w:r w:rsidR="00C76407">
        <w:t xml:space="preserve">under A4.3.14.7 </w:t>
      </w:r>
      <w:r w:rsidR="00811EB1">
        <w:t xml:space="preserve">to give guidance on the type of information that could be included for solid bulk cargoes as follows: </w:t>
      </w:r>
    </w:p>
    <w:p w14:paraId="6F5A152D" w14:textId="49CDFF64" w:rsidR="00811EB1" w:rsidRPr="00855B57" w:rsidRDefault="00C76407" w:rsidP="00811EB1">
      <w:pPr>
        <w:pStyle w:val="SingleTxtG"/>
        <w:ind w:left="1701"/>
        <w:rPr>
          <w:i/>
        </w:rPr>
      </w:pPr>
      <w:r>
        <w:rPr>
          <w:i/>
        </w:rPr>
        <w:t>“</w:t>
      </w:r>
      <w:r w:rsidR="00811EB1" w:rsidRPr="00855B57">
        <w:rPr>
          <w:i/>
        </w:rPr>
        <w:t xml:space="preserve">For solid bulk cargoes, </w:t>
      </w:r>
      <w:r w:rsidR="00811EB1">
        <w:rPr>
          <w:i/>
        </w:rPr>
        <w:t>provide</w:t>
      </w:r>
      <w:r w:rsidR="00811EB1" w:rsidRPr="00855B57">
        <w:rPr>
          <w:i/>
        </w:rPr>
        <w:t xml:space="preserve"> the bulk cargo shipping name, whether or not the cargo is considered harmful to the marine environment</w:t>
      </w:r>
      <w:r w:rsidR="00811EB1">
        <w:rPr>
          <w:i/>
        </w:rPr>
        <w:t xml:space="preserve"> (HME)</w:t>
      </w:r>
      <w:r w:rsidR="00811EB1" w:rsidRPr="00855B57">
        <w:rPr>
          <w:i/>
        </w:rPr>
        <w:t xml:space="preserve"> according to MARPOL Annex V, whether it is</w:t>
      </w:r>
      <w:r w:rsidR="00811EB1">
        <w:rPr>
          <w:i/>
        </w:rPr>
        <w:t xml:space="preserve"> a </w:t>
      </w:r>
      <w:r w:rsidR="00811EB1" w:rsidRPr="00855B57">
        <w:rPr>
          <w:i/>
        </w:rPr>
        <w:t xml:space="preserve">material hazardous only in bulk (MHB) according to IMSBC, and </w:t>
      </w:r>
      <w:r w:rsidR="00811EB1">
        <w:rPr>
          <w:i/>
        </w:rPr>
        <w:t>which G</w:t>
      </w:r>
      <w:r w:rsidR="00811EB1" w:rsidRPr="00855B57">
        <w:rPr>
          <w:i/>
        </w:rPr>
        <w:t>roup</w:t>
      </w:r>
      <w:r w:rsidR="00811EB1">
        <w:rPr>
          <w:i/>
        </w:rPr>
        <w:t xml:space="preserve"> </w:t>
      </w:r>
      <w:r w:rsidR="00811EB1" w:rsidRPr="00855B57">
        <w:rPr>
          <w:i/>
        </w:rPr>
        <w:t>it should be shipped under according to IMSBC.</w:t>
      </w:r>
      <w:r>
        <w:rPr>
          <w:i/>
        </w:rPr>
        <w:t>”</w:t>
      </w:r>
    </w:p>
    <w:p w14:paraId="6DEB4EB0" w14:textId="34940B28" w:rsidR="00811EB1" w:rsidRPr="00855B57" w:rsidRDefault="002300D1" w:rsidP="002300D1">
      <w:pPr>
        <w:pStyle w:val="SingleTxtG"/>
      </w:pPr>
      <w:r>
        <w:t>13.</w:t>
      </w:r>
      <w:r>
        <w:tab/>
      </w:r>
      <w:r w:rsidR="00811EB1" w:rsidRPr="00855B57">
        <w:t xml:space="preserve">Add </w:t>
      </w:r>
      <w:r>
        <w:t>the following new</w:t>
      </w:r>
      <w:r w:rsidR="00811EB1" w:rsidRPr="00855B57">
        <w:t xml:space="preserve"> fourth paragraph </w:t>
      </w:r>
      <w:r>
        <w:t xml:space="preserve">under A4.3.14.7 </w:t>
      </w:r>
      <w:r w:rsidR="00811EB1" w:rsidRPr="00855B57">
        <w:t>to give information on the type of information could be included for gaseous bulk cargoes as follows:</w:t>
      </w:r>
    </w:p>
    <w:p w14:paraId="7736B324" w14:textId="3CBC632D" w:rsidR="00811EB1" w:rsidRPr="00855B57" w:rsidRDefault="002300D1" w:rsidP="00811EB1">
      <w:pPr>
        <w:pStyle w:val="SingleTxtG"/>
        <w:ind w:left="1701"/>
        <w:rPr>
          <w:i/>
        </w:rPr>
      </w:pPr>
      <w:r>
        <w:rPr>
          <w:i/>
        </w:rPr>
        <w:t>“</w:t>
      </w:r>
      <w:r w:rsidR="00811EB1" w:rsidRPr="00855B57">
        <w:rPr>
          <w:i/>
        </w:rPr>
        <w:t xml:space="preserve">For gaseous bulk cargoes </w:t>
      </w:r>
      <w:r w:rsidR="00811EB1">
        <w:rPr>
          <w:i/>
        </w:rPr>
        <w:t xml:space="preserve">provide the </w:t>
      </w:r>
      <w:r w:rsidR="00811EB1" w:rsidRPr="00855B57">
        <w:rPr>
          <w:i/>
        </w:rPr>
        <w:t xml:space="preserve">product </w:t>
      </w:r>
      <w:r>
        <w:rPr>
          <w:i/>
        </w:rPr>
        <w:t>name and ship type according to </w:t>
      </w:r>
      <w:r w:rsidR="00811EB1" w:rsidRPr="00855B57">
        <w:rPr>
          <w:i/>
        </w:rPr>
        <w:t xml:space="preserve">IGC </w:t>
      </w:r>
      <w:r w:rsidR="00811EB1">
        <w:rPr>
          <w:i/>
        </w:rPr>
        <w:t>(</w:t>
      </w:r>
      <w:r w:rsidR="00811EB1" w:rsidRPr="00855B57">
        <w:rPr>
          <w:i/>
        </w:rPr>
        <w:t xml:space="preserve">or earlier versions </w:t>
      </w:r>
      <w:proofErr w:type="spellStart"/>
      <w:r w:rsidR="00811EB1" w:rsidRPr="00855B57">
        <w:rPr>
          <w:i/>
        </w:rPr>
        <w:t>eGC</w:t>
      </w:r>
      <w:proofErr w:type="spellEnd"/>
      <w:r w:rsidR="00811EB1" w:rsidRPr="00855B57">
        <w:rPr>
          <w:i/>
        </w:rPr>
        <w:t xml:space="preserve"> and CG</w:t>
      </w:r>
      <w:r w:rsidR="00811EB1">
        <w:rPr>
          <w:i/>
        </w:rPr>
        <w:t>)</w:t>
      </w:r>
      <w:r>
        <w:rPr>
          <w:i/>
        </w:rPr>
        <w:t>”</w:t>
      </w:r>
      <w:r w:rsidR="00674190">
        <w:rPr>
          <w:i/>
        </w:rPr>
        <w:t>.</w:t>
      </w:r>
    </w:p>
    <w:p w14:paraId="08835A00" w14:textId="77777777" w:rsidR="00811EB1" w:rsidRPr="00210CBF" w:rsidRDefault="00811EB1" w:rsidP="00811EB1">
      <w:pPr>
        <w:pStyle w:val="HChG"/>
        <w:ind w:left="2268"/>
      </w:pPr>
      <w:r w:rsidRPr="00210CBF">
        <w:t>Summary</w:t>
      </w:r>
    </w:p>
    <w:p w14:paraId="32207776" w14:textId="5E002926" w:rsidR="00811EB1" w:rsidRDefault="002631AF" w:rsidP="002300D1">
      <w:pPr>
        <w:pStyle w:val="SingleTxtG"/>
      </w:pPr>
      <w:r>
        <w:t>14</w:t>
      </w:r>
      <w:r w:rsidR="002300D1">
        <w:t>.</w:t>
      </w:r>
      <w:r w:rsidR="002300D1">
        <w:tab/>
      </w:r>
      <w:r w:rsidR="00811EB1">
        <w:t xml:space="preserve">The </w:t>
      </w:r>
      <w:r w:rsidR="002300D1">
        <w:t>sub</w:t>
      </w:r>
      <w:r w:rsidR="00811EB1">
        <w:t xml:space="preserve">section name change and additional guidance would assist both the safety data sheet author and the user as the information on bulk transport could be found in the same subsection of the safety data sheet for </w:t>
      </w:r>
      <w:r w:rsidR="00811EB1" w:rsidRPr="00855B57">
        <w:t>all physical forms.</w:t>
      </w:r>
    </w:p>
    <w:p w14:paraId="66844FBE" w14:textId="7CF41E23" w:rsidR="002300D1" w:rsidRPr="002300D1" w:rsidRDefault="002300D1" w:rsidP="002300D1">
      <w:pPr>
        <w:pStyle w:val="SingleTxtG"/>
        <w:spacing w:before="240" w:after="0"/>
        <w:jc w:val="center"/>
        <w:rPr>
          <w:u w:val="single"/>
        </w:rPr>
      </w:pPr>
      <w:r>
        <w:rPr>
          <w:u w:val="single"/>
        </w:rPr>
        <w:tab/>
      </w:r>
      <w:r>
        <w:rPr>
          <w:u w:val="single"/>
        </w:rPr>
        <w:tab/>
      </w:r>
      <w:r>
        <w:rPr>
          <w:u w:val="single"/>
        </w:rPr>
        <w:tab/>
      </w:r>
    </w:p>
    <w:p w14:paraId="25A7F273" w14:textId="044E7741" w:rsidR="00A67718" w:rsidRPr="00A67718" w:rsidRDefault="00A67718" w:rsidP="00DC2986">
      <w:pPr>
        <w:pStyle w:val="HChG"/>
      </w:pPr>
    </w:p>
    <w:sectPr w:rsidR="00A67718" w:rsidRPr="00A67718" w:rsidSect="0065733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4A463" w15:done="0"/>
  <w15:commentEx w15:paraId="0953D7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DE88B" w14:textId="77777777" w:rsidR="005C3F86" w:rsidRDefault="005C3F86"/>
  </w:endnote>
  <w:endnote w:type="continuationSeparator" w:id="0">
    <w:p w14:paraId="4CDDE650" w14:textId="77777777" w:rsidR="005C3F86" w:rsidRDefault="005C3F86"/>
  </w:endnote>
  <w:endnote w:type="continuationNotice" w:id="1">
    <w:p w14:paraId="6A963CDD" w14:textId="77777777" w:rsidR="005C3F86" w:rsidRDefault="005C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633F" w14:textId="77777777" w:rsidR="005C3F86" w:rsidRPr="00657335" w:rsidRDefault="005C3F86" w:rsidP="00657335">
    <w:pPr>
      <w:pStyle w:val="Footer"/>
      <w:tabs>
        <w:tab w:val="right" w:pos="9638"/>
      </w:tabs>
      <w:rPr>
        <w:sz w:val="18"/>
      </w:rPr>
    </w:pPr>
    <w:r w:rsidRPr="00657335">
      <w:rPr>
        <w:b/>
        <w:sz w:val="18"/>
      </w:rPr>
      <w:fldChar w:fldCharType="begin"/>
    </w:r>
    <w:r w:rsidRPr="00657335">
      <w:rPr>
        <w:b/>
        <w:sz w:val="18"/>
      </w:rPr>
      <w:instrText xml:space="preserve"> PAGE  \* MERGEFORMAT </w:instrText>
    </w:r>
    <w:r w:rsidRPr="00657335">
      <w:rPr>
        <w:b/>
        <w:sz w:val="18"/>
      </w:rPr>
      <w:fldChar w:fldCharType="separate"/>
    </w:r>
    <w:r w:rsidR="00366375">
      <w:rPr>
        <w:b/>
        <w:noProof/>
        <w:sz w:val="18"/>
      </w:rPr>
      <w:t>2</w:t>
    </w:r>
    <w:r w:rsidRPr="006573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0DEE" w14:textId="77777777" w:rsidR="005C3F86" w:rsidRPr="00657335" w:rsidRDefault="005C3F86" w:rsidP="00657335">
    <w:pPr>
      <w:pStyle w:val="Footer"/>
      <w:tabs>
        <w:tab w:val="right" w:pos="9638"/>
      </w:tabs>
      <w:rPr>
        <w:b/>
        <w:sz w:val="18"/>
      </w:rPr>
    </w:pPr>
    <w:r>
      <w:tab/>
    </w:r>
    <w:r w:rsidRPr="00657335">
      <w:rPr>
        <w:b/>
        <w:sz w:val="18"/>
      </w:rPr>
      <w:fldChar w:fldCharType="begin"/>
    </w:r>
    <w:r w:rsidRPr="00657335">
      <w:rPr>
        <w:b/>
        <w:sz w:val="18"/>
      </w:rPr>
      <w:instrText xml:space="preserve"> PAGE  \* MERGEFORMAT </w:instrText>
    </w:r>
    <w:r w:rsidRPr="00657335">
      <w:rPr>
        <w:b/>
        <w:sz w:val="18"/>
      </w:rPr>
      <w:fldChar w:fldCharType="separate"/>
    </w:r>
    <w:r w:rsidR="00366375">
      <w:rPr>
        <w:b/>
        <w:noProof/>
        <w:sz w:val="18"/>
      </w:rPr>
      <w:t>3</w:t>
    </w:r>
    <w:r w:rsidRPr="006573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C645" w14:textId="77777777" w:rsidR="005C3F86" w:rsidRPr="000B175B" w:rsidRDefault="005C3F86" w:rsidP="000B175B">
      <w:pPr>
        <w:tabs>
          <w:tab w:val="right" w:pos="2155"/>
        </w:tabs>
        <w:spacing w:after="80"/>
        <w:ind w:left="680"/>
        <w:rPr>
          <w:u w:val="single"/>
        </w:rPr>
      </w:pPr>
      <w:r>
        <w:rPr>
          <w:u w:val="single"/>
        </w:rPr>
        <w:tab/>
      </w:r>
    </w:p>
  </w:footnote>
  <w:footnote w:type="continuationSeparator" w:id="0">
    <w:p w14:paraId="7B7D02BB" w14:textId="77777777" w:rsidR="005C3F86" w:rsidRPr="00FC68B7" w:rsidRDefault="005C3F86" w:rsidP="00FC68B7">
      <w:pPr>
        <w:tabs>
          <w:tab w:val="left" w:pos="2155"/>
        </w:tabs>
        <w:spacing w:after="80"/>
        <w:ind w:left="680"/>
        <w:rPr>
          <w:u w:val="single"/>
        </w:rPr>
      </w:pPr>
      <w:r>
        <w:rPr>
          <w:u w:val="single"/>
        </w:rPr>
        <w:tab/>
      </w:r>
    </w:p>
  </w:footnote>
  <w:footnote w:type="continuationNotice" w:id="1">
    <w:p w14:paraId="4DBA2DAC" w14:textId="77777777" w:rsidR="005C3F86" w:rsidRDefault="005C3F86"/>
  </w:footnote>
  <w:footnote w:id="2">
    <w:p w14:paraId="3FC4BAFA" w14:textId="3C240B5F" w:rsidR="00BC0D22" w:rsidRPr="00BC0D22" w:rsidRDefault="00BC0D22">
      <w:pPr>
        <w:pStyle w:val="FootnoteText"/>
        <w:rPr>
          <w:lang w:val="fr-CH"/>
        </w:rPr>
      </w:pPr>
      <w:r>
        <w:tab/>
      </w:r>
      <w:r>
        <w:rPr>
          <w:rStyle w:val="FootnoteReference"/>
        </w:rPr>
        <w:footnoteRef/>
      </w:r>
      <w:r>
        <w:t xml:space="preserve"> </w:t>
      </w:r>
      <w:r>
        <w:tab/>
      </w:r>
      <w:r>
        <w:rPr>
          <w:lang w:val="en-US"/>
        </w:rPr>
        <w:t xml:space="preserve">In accordance with the </w:t>
      </w:r>
      <w:proofErr w:type="spellStart"/>
      <w:r>
        <w:rPr>
          <w:lang w:val="en-US"/>
        </w:rPr>
        <w:t>programme</w:t>
      </w:r>
      <w:proofErr w:type="spellEnd"/>
      <w:r>
        <w:rPr>
          <w:lang w:val="en-US"/>
        </w:rPr>
        <w:t xml:space="preserv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B666" w14:textId="62AA387E" w:rsidR="005C3F86" w:rsidRPr="00657335" w:rsidRDefault="005C3F86">
    <w:pPr>
      <w:pStyle w:val="Header"/>
    </w:pPr>
    <w:r w:rsidRPr="00811EB1">
      <w:t>ST/SG/AC.10/C.4/2016/</w:t>
    </w:r>
    <w:r w:rsidR="00811EB1" w:rsidRPr="00811EB1">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3A66" w14:textId="62D32959" w:rsidR="005C3F86" w:rsidRPr="00657335" w:rsidRDefault="005C3F86" w:rsidP="00657335">
    <w:pPr>
      <w:pStyle w:val="Header"/>
      <w:jc w:val="right"/>
    </w:pPr>
    <w:r w:rsidRPr="00811EB1">
      <w:t>ST/SG/AC.10/C.4/2016/</w:t>
    </w:r>
    <w:r w:rsidR="00811EB1" w:rsidRPr="00811EB1">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6D1DF0"/>
    <w:multiLevelType w:val="hybridMultilevel"/>
    <w:tmpl w:val="EC1EE83A"/>
    <w:lvl w:ilvl="0" w:tplc="C1A8D9E6">
      <w:start w:val="1"/>
      <w:numFmt w:val="decimal"/>
      <w:lvlText w:val="%1."/>
      <w:lvlJc w:val="left"/>
      <w:pPr>
        <w:ind w:left="3538"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D23CA1"/>
    <w:multiLevelType w:val="hybridMultilevel"/>
    <w:tmpl w:val="C6D44148"/>
    <w:lvl w:ilvl="0" w:tplc="DC08D7A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575D4F6D"/>
    <w:multiLevelType w:val="hybridMultilevel"/>
    <w:tmpl w:val="6DE6978C"/>
    <w:lvl w:ilvl="0" w:tplc="7534BE9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5161EB"/>
    <w:multiLevelType w:val="hybridMultilevel"/>
    <w:tmpl w:val="EFA41F36"/>
    <w:lvl w:ilvl="0" w:tplc="24040A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9BB3C5D"/>
    <w:multiLevelType w:val="hybridMultilevel"/>
    <w:tmpl w:val="D7FEA97C"/>
    <w:lvl w:ilvl="0" w:tplc="43F09D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DE80D87"/>
    <w:multiLevelType w:val="hybridMultilevel"/>
    <w:tmpl w:val="9B6C133A"/>
    <w:lvl w:ilvl="0" w:tplc="E73444E6">
      <w:start w:val="1"/>
      <w:numFmt w:val="lowerRoman"/>
      <w:lvlText w:val="(%1)"/>
      <w:lvlJc w:val="left"/>
      <w:pPr>
        <w:ind w:left="2988" w:hanging="72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14"/>
  </w:num>
  <w:num w:numId="20">
    <w:abstractNumId w:val="17"/>
  </w:num>
  <w:num w:numId="21">
    <w:abstractNumId w:val="19"/>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Gunilla">
    <w15:presenceInfo w15:providerId="AD" w15:userId="S-1-5-21-2444889250-2882189981-708495972-1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AC10_C4_E"/>
  </w:docVars>
  <w:rsids>
    <w:rsidRoot w:val="00657335"/>
    <w:rsid w:val="00026C42"/>
    <w:rsid w:val="00042140"/>
    <w:rsid w:val="00050F6B"/>
    <w:rsid w:val="00057FD8"/>
    <w:rsid w:val="00063F75"/>
    <w:rsid w:val="00072C8C"/>
    <w:rsid w:val="00091419"/>
    <w:rsid w:val="000931C0"/>
    <w:rsid w:val="0009436C"/>
    <w:rsid w:val="000B08B8"/>
    <w:rsid w:val="000B175B"/>
    <w:rsid w:val="000B18F4"/>
    <w:rsid w:val="000B3A0F"/>
    <w:rsid w:val="000D4BFF"/>
    <w:rsid w:val="000D6409"/>
    <w:rsid w:val="000E0415"/>
    <w:rsid w:val="00106249"/>
    <w:rsid w:val="00106F8A"/>
    <w:rsid w:val="0011582C"/>
    <w:rsid w:val="00117787"/>
    <w:rsid w:val="00131D42"/>
    <w:rsid w:val="001621C5"/>
    <w:rsid w:val="001633FB"/>
    <w:rsid w:val="0017482D"/>
    <w:rsid w:val="001857C9"/>
    <w:rsid w:val="001A08E4"/>
    <w:rsid w:val="001B0884"/>
    <w:rsid w:val="001B4B04"/>
    <w:rsid w:val="001C6663"/>
    <w:rsid w:val="001C7895"/>
    <w:rsid w:val="001D26DF"/>
    <w:rsid w:val="001D2FDC"/>
    <w:rsid w:val="001E5604"/>
    <w:rsid w:val="0020412D"/>
    <w:rsid w:val="0021039B"/>
    <w:rsid w:val="00211686"/>
    <w:rsid w:val="00211E0B"/>
    <w:rsid w:val="002300D1"/>
    <w:rsid w:val="002309A7"/>
    <w:rsid w:val="00237785"/>
    <w:rsid w:val="00241466"/>
    <w:rsid w:val="00242C97"/>
    <w:rsid w:val="002631AF"/>
    <w:rsid w:val="002644D3"/>
    <w:rsid w:val="002725CA"/>
    <w:rsid w:val="00280EB7"/>
    <w:rsid w:val="00297A22"/>
    <w:rsid w:val="002B1CDA"/>
    <w:rsid w:val="002C418E"/>
    <w:rsid w:val="002D094B"/>
    <w:rsid w:val="003107FA"/>
    <w:rsid w:val="003229D8"/>
    <w:rsid w:val="003441E0"/>
    <w:rsid w:val="00366375"/>
    <w:rsid w:val="0039277A"/>
    <w:rsid w:val="0039521A"/>
    <w:rsid w:val="003961CC"/>
    <w:rsid w:val="003972E0"/>
    <w:rsid w:val="003B5A5E"/>
    <w:rsid w:val="003C054C"/>
    <w:rsid w:val="003C2CC4"/>
    <w:rsid w:val="003D4B23"/>
    <w:rsid w:val="003E0C31"/>
    <w:rsid w:val="0040226E"/>
    <w:rsid w:val="00422199"/>
    <w:rsid w:val="00422558"/>
    <w:rsid w:val="004325CB"/>
    <w:rsid w:val="00434149"/>
    <w:rsid w:val="004349B6"/>
    <w:rsid w:val="00437F3F"/>
    <w:rsid w:val="00437F8B"/>
    <w:rsid w:val="00446DE4"/>
    <w:rsid w:val="00466CC4"/>
    <w:rsid w:val="004750C2"/>
    <w:rsid w:val="00475E36"/>
    <w:rsid w:val="00477425"/>
    <w:rsid w:val="0049191D"/>
    <w:rsid w:val="004B2C9D"/>
    <w:rsid w:val="004D5287"/>
    <w:rsid w:val="004D5EF6"/>
    <w:rsid w:val="004F160A"/>
    <w:rsid w:val="00512833"/>
    <w:rsid w:val="00527910"/>
    <w:rsid w:val="005420F2"/>
    <w:rsid w:val="00577EBE"/>
    <w:rsid w:val="00590144"/>
    <w:rsid w:val="005A0624"/>
    <w:rsid w:val="005B3DB3"/>
    <w:rsid w:val="005C3F86"/>
    <w:rsid w:val="005E2F7F"/>
    <w:rsid w:val="005E48D1"/>
    <w:rsid w:val="005F4827"/>
    <w:rsid w:val="00611FC4"/>
    <w:rsid w:val="006176FB"/>
    <w:rsid w:val="0063419C"/>
    <w:rsid w:val="00640B26"/>
    <w:rsid w:val="0065482D"/>
    <w:rsid w:val="00657335"/>
    <w:rsid w:val="00674190"/>
    <w:rsid w:val="00684462"/>
    <w:rsid w:val="006A2F87"/>
    <w:rsid w:val="006A7392"/>
    <w:rsid w:val="006C0D34"/>
    <w:rsid w:val="006E564B"/>
    <w:rsid w:val="006F26F9"/>
    <w:rsid w:val="00703DF8"/>
    <w:rsid w:val="0072632A"/>
    <w:rsid w:val="00730AB4"/>
    <w:rsid w:val="007430A6"/>
    <w:rsid w:val="0074329B"/>
    <w:rsid w:val="007558A5"/>
    <w:rsid w:val="007602C8"/>
    <w:rsid w:val="00790791"/>
    <w:rsid w:val="007A631B"/>
    <w:rsid w:val="007B004B"/>
    <w:rsid w:val="007B6BA5"/>
    <w:rsid w:val="007C2E9C"/>
    <w:rsid w:val="007C3390"/>
    <w:rsid w:val="007C4F4B"/>
    <w:rsid w:val="007F6611"/>
    <w:rsid w:val="008058CA"/>
    <w:rsid w:val="00811DCC"/>
    <w:rsid w:val="00811EB1"/>
    <w:rsid w:val="00815C31"/>
    <w:rsid w:val="008175E9"/>
    <w:rsid w:val="008242D7"/>
    <w:rsid w:val="008671D0"/>
    <w:rsid w:val="008703E9"/>
    <w:rsid w:val="00871FD5"/>
    <w:rsid w:val="00885989"/>
    <w:rsid w:val="008859C3"/>
    <w:rsid w:val="0088766E"/>
    <w:rsid w:val="008979B1"/>
    <w:rsid w:val="008A6B25"/>
    <w:rsid w:val="008A6C4F"/>
    <w:rsid w:val="008B1F7D"/>
    <w:rsid w:val="008B3C06"/>
    <w:rsid w:val="008D0E23"/>
    <w:rsid w:val="008E0E46"/>
    <w:rsid w:val="00912CE5"/>
    <w:rsid w:val="00921719"/>
    <w:rsid w:val="009254AC"/>
    <w:rsid w:val="00927DD9"/>
    <w:rsid w:val="00945A5D"/>
    <w:rsid w:val="00963CBA"/>
    <w:rsid w:val="00974777"/>
    <w:rsid w:val="0099124E"/>
    <w:rsid w:val="00991261"/>
    <w:rsid w:val="0099244C"/>
    <w:rsid w:val="0099386C"/>
    <w:rsid w:val="009C280B"/>
    <w:rsid w:val="009F0F06"/>
    <w:rsid w:val="009F3B21"/>
    <w:rsid w:val="00A06CB9"/>
    <w:rsid w:val="00A1427D"/>
    <w:rsid w:val="00A3215C"/>
    <w:rsid w:val="00A51345"/>
    <w:rsid w:val="00A56BA9"/>
    <w:rsid w:val="00A57B55"/>
    <w:rsid w:val="00A61C68"/>
    <w:rsid w:val="00A62570"/>
    <w:rsid w:val="00A67718"/>
    <w:rsid w:val="00A72F22"/>
    <w:rsid w:val="00A748A6"/>
    <w:rsid w:val="00A75EC9"/>
    <w:rsid w:val="00A81FD3"/>
    <w:rsid w:val="00A879A4"/>
    <w:rsid w:val="00A924CD"/>
    <w:rsid w:val="00AC36B2"/>
    <w:rsid w:val="00AE5178"/>
    <w:rsid w:val="00B30116"/>
    <w:rsid w:val="00B30179"/>
    <w:rsid w:val="00B3317B"/>
    <w:rsid w:val="00B45987"/>
    <w:rsid w:val="00B55E75"/>
    <w:rsid w:val="00B81E12"/>
    <w:rsid w:val="00B83FEC"/>
    <w:rsid w:val="00B919AC"/>
    <w:rsid w:val="00B93068"/>
    <w:rsid w:val="00BC0D22"/>
    <w:rsid w:val="00BC2503"/>
    <w:rsid w:val="00BC74E9"/>
    <w:rsid w:val="00BE618E"/>
    <w:rsid w:val="00C25EB6"/>
    <w:rsid w:val="00C463DD"/>
    <w:rsid w:val="00C53CC9"/>
    <w:rsid w:val="00C62F76"/>
    <w:rsid w:val="00C745C3"/>
    <w:rsid w:val="00C76407"/>
    <w:rsid w:val="00C87211"/>
    <w:rsid w:val="00CA6069"/>
    <w:rsid w:val="00CE01FA"/>
    <w:rsid w:val="00CE4A8F"/>
    <w:rsid w:val="00CF1860"/>
    <w:rsid w:val="00CF5DB3"/>
    <w:rsid w:val="00D11EE3"/>
    <w:rsid w:val="00D2031B"/>
    <w:rsid w:val="00D25FE2"/>
    <w:rsid w:val="00D26C9B"/>
    <w:rsid w:val="00D43252"/>
    <w:rsid w:val="00D64430"/>
    <w:rsid w:val="00D753D8"/>
    <w:rsid w:val="00D96CC5"/>
    <w:rsid w:val="00D978C6"/>
    <w:rsid w:val="00DA06AB"/>
    <w:rsid w:val="00DA67AD"/>
    <w:rsid w:val="00DA7DFF"/>
    <w:rsid w:val="00DC2986"/>
    <w:rsid w:val="00DE4121"/>
    <w:rsid w:val="00DF62AE"/>
    <w:rsid w:val="00E03AC2"/>
    <w:rsid w:val="00E130AB"/>
    <w:rsid w:val="00E45EE6"/>
    <w:rsid w:val="00E5644E"/>
    <w:rsid w:val="00E71A23"/>
    <w:rsid w:val="00E7260F"/>
    <w:rsid w:val="00E8535A"/>
    <w:rsid w:val="00E96630"/>
    <w:rsid w:val="00EA772F"/>
    <w:rsid w:val="00EB6832"/>
    <w:rsid w:val="00EC41D5"/>
    <w:rsid w:val="00EC60D5"/>
    <w:rsid w:val="00ED6C25"/>
    <w:rsid w:val="00ED7A2A"/>
    <w:rsid w:val="00EF1D7F"/>
    <w:rsid w:val="00EF3134"/>
    <w:rsid w:val="00F04A9C"/>
    <w:rsid w:val="00F2529E"/>
    <w:rsid w:val="00F264E1"/>
    <w:rsid w:val="00F40E75"/>
    <w:rsid w:val="00F412D7"/>
    <w:rsid w:val="00F54674"/>
    <w:rsid w:val="00F676A9"/>
    <w:rsid w:val="00FC68B7"/>
    <w:rsid w:val="00FD15CB"/>
    <w:rsid w:val="00FD261F"/>
    <w:rsid w:val="00FD3606"/>
    <w:rsid w:val="00FD6B2B"/>
    <w:rsid w:val="00FE651F"/>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DD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6573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7335"/>
    <w:rPr>
      <w:rFonts w:ascii="Tahoma" w:hAnsi="Tahoma" w:cs="Tahoma"/>
      <w:sz w:val="16"/>
      <w:szCs w:val="16"/>
      <w:lang w:eastAsia="en-US"/>
    </w:rPr>
  </w:style>
  <w:style w:type="character" w:customStyle="1" w:styleId="HChGChar">
    <w:name w:val="_ H _Ch_G Char"/>
    <w:link w:val="HChG"/>
    <w:rsid w:val="00DE4121"/>
    <w:rPr>
      <w:b/>
      <w:sz w:val="28"/>
      <w:lang w:eastAsia="en-US"/>
    </w:rPr>
  </w:style>
  <w:style w:type="character" w:customStyle="1" w:styleId="SingleTxtGChar">
    <w:name w:val="_ Single Txt_G Char"/>
    <w:link w:val="SingleTxtG"/>
    <w:rsid w:val="00DE4121"/>
    <w:rPr>
      <w:lang w:eastAsia="en-US"/>
    </w:rPr>
  </w:style>
  <w:style w:type="character" w:customStyle="1" w:styleId="FootnoteTextChar">
    <w:name w:val="Footnote Text Char"/>
    <w:aliases w:val="5_G Char"/>
    <w:link w:val="FootnoteText"/>
    <w:rsid w:val="00DE4121"/>
    <w:rPr>
      <w:sz w:val="18"/>
      <w:lang w:eastAsia="en-US"/>
    </w:rPr>
  </w:style>
  <w:style w:type="paragraph" w:styleId="ListParagraph">
    <w:name w:val="List Paragraph"/>
    <w:basedOn w:val="Normal"/>
    <w:uiPriority w:val="34"/>
    <w:qFormat/>
    <w:rsid w:val="00DE4121"/>
    <w:pPr>
      <w:suppressAutoHyphens w:val="0"/>
      <w:spacing w:line="240" w:lineRule="auto"/>
      <w:ind w:left="720"/>
      <w:contextualSpacing/>
    </w:pPr>
    <w:rPr>
      <w:sz w:val="22"/>
      <w:szCs w:val="24"/>
    </w:rPr>
  </w:style>
  <w:style w:type="paragraph" w:styleId="CommentSubject">
    <w:name w:val="annotation subject"/>
    <w:basedOn w:val="CommentText"/>
    <w:next w:val="CommentText"/>
    <w:link w:val="CommentSubjectChar"/>
    <w:rsid w:val="00885989"/>
    <w:pPr>
      <w:spacing w:line="240" w:lineRule="auto"/>
    </w:pPr>
    <w:rPr>
      <w:b/>
      <w:bCs/>
    </w:rPr>
  </w:style>
  <w:style w:type="character" w:customStyle="1" w:styleId="CommentTextChar">
    <w:name w:val="Comment Text Char"/>
    <w:basedOn w:val="DefaultParagraphFont"/>
    <w:link w:val="CommentText"/>
    <w:uiPriority w:val="99"/>
    <w:semiHidden/>
    <w:rsid w:val="00885989"/>
    <w:rPr>
      <w:lang w:eastAsia="en-US"/>
    </w:rPr>
  </w:style>
  <w:style w:type="character" w:customStyle="1" w:styleId="CommentSubjectChar">
    <w:name w:val="Comment Subject Char"/>
    <w:basedOn w:val="CommentTextChar"/>
    <w:link w:val="CommentSubject"/>
    <w:rsid w:val="00885989"/>
    <w:rPr>
      <w:b/>
      <w:bCs/>
      <w:lang w:eastAsia="en-US"/>
    </w:rPr>
  </w:style>
  <w:style w:type="paragraph" w:styleId="Revision">
    <w:name w:val="Revision"/>
    <w:hidden/>
    <w:uiPriority w:val="99"/>
    <w:semiHidden/>
    <w:rsid w:val="00DF62AE"/>
    <w:rPr>
      <w:lang w:eastAsia="en-US"/>
    </w:rPr>
  </w:style>
  <w:style w:type="paragraph" w:customStyle="1" w:styleId="Style1">
    <w:name w:val="Style1"/>
    <w:basedOn w:val="Normal"/>
    <w:rsid w:val="003441E0"/>
    <w:pPr>
      <w:suppressAutoHyphens w:val="0"/>
      <w:spacing w:line="240" w:lineRule="auto"/>
    </w:pPr>
    <w:rPr>
      <w:sz w:val="22"/>
      <w:szCs w:val="24"/>
    </w:rPr>
  </w:style>
  <w:style w:type="character" w:customStyle="1" w:styleId="H1GChar">
    <w:name w:val="_ H_1_G Char"/>
    <w:link w:val="H1G"/>
    <w:rsid w:val="00811EB1"/>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Footnote Reference/"/>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6573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7335"/>
    <w:rPr>
      <w:rFonts w:ascii="Tahoma" w:hAnsi="Tahoma" w:cs="Tahoma"/>
      <w:sz w:val="16"/>
      <w:szCs w:val="16"/>
      <w:lang w:eastAsia="en-US"/>
    </w:rPr>
  </w:style>
  <w:style w:type="character" w:customStyle="1" w:styleId="HChGChar">
    <w:name w:val="_ H _Ch_G Char"/>
    <w:link w:val="HChG"/>
    <w:rsid w:val="00DE4121"/>
    <w:rPr>
      <w:b/>
      <w:sz w:val="28"/>
      <w:lang w:eastAsia="en-US"/>
    </w:rPr>
  </w:style>
  <w:style w:type="character" w:customStyle="1" w:styleId="SingleTxtGChar">
    <w:name w:val="_ Single Txt_G Char"/>
    <w:link w:val="SingleTxtG"/>
    <w:rsid w:val="00DE4121"/>
    <w:rPr>
      <w:lang w:eastAsia="en-US"/>
    </w:rPr>
  </w:style>
  <w:style w:type="character" w:customStyle="1" w:styleId="FootnoteTextChar">
    <w:name w:val="Footnote Text Char"/>
    <w:aliases w:val="5_G Char"/>
    <w:link w:val="FootnoteText"/>
    <w:rsid w:val="00DE4121"/>
    <w:rPr>
      <w:sz w:val="18"/>
      <w:lang w:eastAsia="en-US"/>
    </w:rPr>
  </w:style>
  <w:style w:type="paragraph" w:styleId="ListParagraph">
    <w:name w:val="List Paragraph"/>
    <w:basedOn w:val="Normal"/>
    <w:uiPriority w:val="34"/>
    <w:qFormat/>
    <w:rsid w:val="00DE4121"/>
    <w:pPr>
      <w:suppressAutoHyphens w:val="0"/>
      <w:spacing w:line="240" w:lineRule="auto"/>
      <w:ind w:left="720"/>
      <w:contextualSpacing/>
    </w:pPr>
    <w:rPr>
      <w:sz w:val="22"/>
      <w:szCs w:val="24"/>
    </w:rPr>
  </w:style>
  <w:style w:type="paragraph" w:styleId="CommentSubject">
    <w:name w:val="annotation subject"/>
    <w:basedOn w:val="CommentText"/>
    <w:next w:val="CommentText"/>
    <w:link w:val="CommentSubjectChar"/>
    <w:rsid w:val="00885989"/>
    <w:pPr>
      <w:spacing w:line="240" w:lineRule="auto"/>
    </w:pPr>
    <w:rPr>
      <w:b/>
      <w:bCs/>
    </w:rPr>
  </w:style>
  <w:style w:type="character" w:customStyle="1" w:styleId="CommentTextChar">
    <w:name w:val="Comment Text Char"/>
    <w:basedOn w:val="DefaultParagraphFont"/>
    <w:link w:val="CommentText"/>
    <w:uiPriority w:val="99"/>
    <w:semiHidden/>
    <w:rsid w:val="00885989"/>
    <w:rPr>
      <w:lang w:eastAsia="en-US"/>
    </w:rPr>
  </w:style>
  <w:style w:type="character" w:customStyle="1" w:styleId="CommentSubjectChar">
    <w:name w:val="Comment Subject Char"/>
    <w:basedOn w:val="CommentTextChar"/>
    <w:link w:val="CommentSubject"/>
    <w:rsid w:val="00885989"/>
    <w:rPr>
      <w:b/>
      <w:bCs/>
      <w:lang w:eastAsia="en-US"/>
    </w:rPr>
  </w:style>
  <w:style w:type="paragraph" w:styleId="Revision">
    <w:name w:val="Revision"/>
    <w:hidden/>
    <w:uiPriority w:val="99"/>
    <w:semiHidden/>
    <w:rsid w:val="00DF62AE"/>
    <w:rPr>
      <w:lang w:eastAsia="en-US"/>
    </w:rPr>
  </w:style>
  <w:style w:type="paragraph" w:customStyle="1" w:styleId="Style1">
    <w:name w:val="Style1"/>
    <w:basedOn w:val="Normal"/>
    <w:rsid w:val="003441E0"/>
    <w:pPr>
      <w:suppressAutoHyphens w:val="0"/>
      <w:spacing w:line="240" w:lineRule="auto"/>
    </w:pPr>
    <w:rPr>
      <w:sz w:val="22"/>
      <w:szCs w:val="24"/>
    </w:rPr>
  </w:style>
  <w:style w:type="character" w:customStyle="1" w:styleId="H1GChar">
    <w:name w:val="_ H_1_G Char"/>
    <w:link w:val="H1G"/>
    <w:rsid w:val="00811EB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815">
      <w:bodyDiv w:val="1"/>
      <w:marLeft w:val="0"/>
      <w:marRight w:val="0"/>
      <w:marTop w:val="0"/>
      <w:marBottom w:val="0"/>
      <w:divBdr>
        <w:top w:val="none" w:sz="0" w:space="0" w:color="auto"/>
        <w:left w:val="none" w:sz="0" w:space="0" w:color="auto"/>
        <w:bottom w:val="none" w:sz="0" w:space="0" w:color="auto"/>
        <w:right w:val="none" w:sz="0" w:space="0" w:color="auto"/>
      </w:divBdr>
    </w:div>
    <w:div w:id="10196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4105-942D-402C-94BD-2D98345F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145</TotalTime>
  <Pages>3</Pages>
  <Words>881</Words>
  <Characters>4611</Characters>
  <Application>Microsoft Office Word</Application>
  <DocSecurity>0</DocSecurity>
  <Lines>99</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12</cp:revision>
  <cp:lastPrinted>2016-09-20T08:43:00Z</cp:lastPrinted>
  <dcterms:created xsi:type="dcterms:W3CDTF">2016-09-13T13:21:00Z</dcterms:created>
  <dcterms:modified xsi:type="dcterms:W3CDTF">2016-09-20T08:44:00Z</dcterms:modified>
</cp:coreProperties>
</file>