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5513A9" w:rsidTr="000216CC">
        <w:trPr>
          <w:trHeight w:val="851"/>
        </w:trPr>
        <w:tc>
          <w:tcPr>
            <w:tcW w:w="1259" w:type="dxa"/>
            <w:tcBorders>
              <w:top w:val="nil"/>
              <w:left w:val="nil"/>
              <w:bottom w:val="single" w:sz="4" w:space="0" w:color="auto"/>
              <w:right w:val="nil"/>
            </w:tcBorders>
            <w:shd w:val="clear" w:color="auto" w:fill="auto"/>
          </w:tcPr>
          <w:p w:rsidR="00446DE4" w:rsidRPr="005513A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5513A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5513A9" w:rsidRDefault="00FC215C" w:rsidP="00FC215C">
            <w:pPr>
              <w:jc w:val="right"/>
              <w:rPr>
                <w:b/>
                <w:sz w:val="40"/>
                <w:szCs w:val="40"/>
              </w:rPr>
            </w:pPr>
            <w:r w:rsidRPr="005513A9">
              <w:rPr>
                <w:b/>
                <w:sz w:val="40"/>
                <w:szCs w:val="40"/>
              </w:rPr>
              <w:t>UN/SCETDG/</w:t>
            </w:r>
            <w:r w:rsidR="00904EBC" w:rsidRPr="005513A9">
              <w:rPr>
                <w:b/>
                <w:sz w:val="40"/>
                <w:szCs w:val="40"/>
              </w:rPr>
              <w:t>4</w:t>
            </w:r>
            <w:r w:rsidR="00F64C95" w:rsidRPr="005513A9">
              <w:rPr>
                <w:b/>
                <w:sz w:val="40"/>
                <w:szCs w:val="40"/>
              </w:rPr>
              <w:t>9</w:t>
            </w:r>
            <w:r w:rsidRPr="005513A9">
              <w:rPr>
                <w:b/>
                <w:sz w:val="40"/>
                <w:szCs w:val="40"/>
              </w:rPr>
              <w:t>/INF.</w:t>
            </w:r>
            <w:r w:rsidR="00BB0319">
              <w:rPr>
                <w:b/>
                <w:sz w:val="40"/>
                <w:szCs w:val="40"/>
              </w:rPr>
              <w:t>6</w:t>
            </w:r>
            <w:r w:rsidR="00A64812">
              <w:rPr>
                <w:b/>
                <w:sz w:val="40"/>
                <w:szCs w:val="40"/>
              </w:rPr>
              <w:t>2</w:t>
            </w:r>
          </w:p>
          <w:p w:rsidR="00FC215C" w:rsidRPr="005513A9" w:rsidRDefault="00FC215C" w:rsidP="00FC215C">
            <w:pPr>
              <w:jc w:val="right"/>
              <w:rPr>
                <w:b/>
                <w:sz w:val="40"/>
                <w:szCs w:val="40"/>
              </w:rPr>
            </w:pPr>
            <w:r w:rsidRPr="005513A9">
              <w:rPr>
                <w:b/>
                <w:sz w:val="40"/>
                <w:szCs w:val="40"/>
              </w:rPr>
              <w:t>UN/SCEGHS/</w:t>
            </w:r>
            <w:r w:rsidR="00F64C95" w:rsidRPr="005513A9">
              <w:rPr>
                <w:b/>
                <w:sz w:val="40"/>
                <w:szCs w:val="40"/>
              </w:rPr>
              <w:t>31</w:t>
            </w:r>
            <w:r w:rsidRPr="005513A9">
              <w:rPr>
                <w:b/>
                <w:sz w:val="40"/>
                <w:szCs w:val="40"/>
              </w:rPr>
              <w:t>/INF.</w:t>
            </w:r>
            <w:r w:rsidR="00A64812">
              <w:rPr>
                <w:b/>
                <w:sz w:val="40"/>
                <w:szCs w:val="40"/>
              </w:rPr>
              <w:t>17</w:t>
            </w:r>
          </w:p>
          <w:p w:rsidR="000216CC" w:rsidRPr="005513A9" w:rsidRDefault="000216CC" w:rsidP="00497711">
            <w:pPr>
              <w:jc w:val="right"/>
              <w:rPr>
                <w:highlight w:val="yellow"/>
              </w:rPr>
            </w:pPr>
          </w:p>
        </w:tc>
      </w:tr>
    </w:tbl>
    <w:p w:rsidR="000019B8" w:rsidRPr="005513A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5513A9" w:rsidTr="00165735">
        <w:tc>
          <w:tcPr>
            <w:tcW w:w="9645" w:type="dxa"/>
            <w:gridSpan w:val="2"/>
            <w:tcMar>
              <w:top w:w="142" w:type="dxa"/>
              <w:left w:w="108" w:type="dxa"/>
              <w:bottom w:w="142" w:type="dxa"/>
              <w:right w:w="108" w:type="dxa"/>
            </w:tcMar>
          </w:tcPr>
          <w:p w:rsidR="00645A0B" w:rsidRPr="005513A9" w:rsidRDefault="00645A0B" w:rsidP="001B6F2D">
            <w:pPr>
              <w:tabs>
                <w:tab w:val="right" w:pos="9214"/>
              </w:tabs>
            </w:pPr>
            <w:r w:rsidRPr="005513A9">
              <w:rPr>
                <w:b/>
                <w:sz w:val="24"/>
                <w:szCs w:val="24"/>
              </w:rPr>
              <w:t>Committee of Experts on the Transport of Dangerous Goods</w:t>
            </w:r>
            <w:r w:rsidRPr="005513A9">
              <w:rPr>
                <w:b/>
                <w:sz w:val="24"/>
                <w:szCs w:val="24"/>
              </w:rPr>
              <w:tab/>
            </w:r>
            <w:r w:rsidRPr="005513A9">
              <w:rPr>
                <w:b/>
                <w:sz w:val="24"/>
                <w:szCs w:val="24"/>
              </w:rPr>
              <w:br/>
              <w:t>and on the Globally Harmonized System of Classification</w:t>
            </w:r>
            <w:r w:rsidRPr="005513A9">
              <w:rPr>
                <w:b/>
                <w:sz w:val="24"/>
                <w:szCs w:val="24"/>
              </w:rPr>
              <w:br/>
              <w:t>and Labelling of Chemicals</w:t>
            </w:r>
            <w:r w:rsidRPr="005513A9">
              <w:rPr>
                <w:b/>
              </w:rPr>
              <w:tab/>
            </w:r>
            <w:r w:rsidR="00A64812">
              <w:rPr>
                <w:b/>
                <w:sz w:val="18"/>
                <w:szCs w:val="24"/>
              </w:rPr>
              <w:t>28</w:t>
            </w:r>
            <w:r w:rsidR="00955109" w:rsidRPr="005513A9">
              <w:rPr>
                <w:b/>
                <w:sz w:val="18"/>
                <w:szCs w:val="24"/>
              </w:rPr>
              <w:t xml:space="preserve"> </w:t>
            </w:r>
            <w:r w:rsidR="001B6F2D" w:rsidRPr="005513A9">
              <w:rPr>
                <w:b/>
                <w:sz w:val="18"/>
                <w:szCs w:val="24"/>
              </w:rPr>
              <w:t xml:space="preserve">April </w:t>
            </w:r>
            <w:r w:rsidR="00F64C95" w:rsidRPr="005513A9">
              <w:rPr>
                <w:b/>
                <w:sz w:val="18"/>
                <w:szCs w:val="24"/>
              </w:rPr>
              <w:t>2016</w:t>
            </w:r>
          </w:p>
        </w:tc>
      </w:tr>
      <w:tr w:rsidR="00645A0B" w:rsidRPr="005513A9" w:rsidTr="00165735">
        <w:tc>
          <w:tcPr>
            <w:tcW w:w="4652"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 xml:space="preserve">Sub-Committee of Experts on the </w:t>
            </w:r>
            <w:r w:rsidRPr="005513A9">
              <w:rPr>
                <w:b/>
              </w:rPr>
              <w:br/>
              <w:t xml:space="preserve">Transport of Dangerous Goods </w:t>
            </w:r>
          </w:p>
        </w:tc>
        <w:tc>
          <w:tcPr>
            <w:tcW w:w="4993" w:type="dxa"/>
            <w:tcMar>
              <w:top w:w="57" w:type="dxa"/>
              <w:left w:w="108" w:type="dxa"/>
              <w:bottom w:w="0" w:type="dxa"/>
              <w:right w:w="108" w:type="dxa"/>
            </w:tcMar>
            <w:vAlign w:val="center"/>
          </w:tcPr>
          <w:p w:rsidR="00645A0B" w:rsidRPr="005513A9" w:rsidRDefault="00645A0B" w:rsidP="00165735">
            <w:pPr>
              <w:spacing w:before="120"/>
              <w:rPr>
                <w:b/>
              </w:rPr>
            </w:pPr>
            <w:r w:rsidRPr="005513A9">
              <w:rPr>
                <w:b/>
              </w:rPr>
              <w:t>Sub-Committee of Experts on the Globally Harmonized System of Classification and Labelling of Chemicals</w:t>
            </w:r>
          </w:p>
        </w:tc>
      </w:tr>
      <w:tr w:rsidR="00645A0B" w:rsidRPr="005513A9" w:rsidTr="00165735">
        <w:tc>
          <w:tcPr>
            <w:tcW w:w="4652" w:type="dxa"/>
            <w:tcMar>
              <w:top w:w="57" w:type="dxa"/>
              <w:left w:w="108" w:type="dxa"/>
              <w:bottom w:w="0" w:type="dxa"/>
              <w:right w:w="108" w:type="dxa"/>
            </w:tcMar>
          </w:tcPr>
          <w:p w:rsidR="00645A0B" w:rsidRPr="005513A9" w:rsidRDefault="00EA48C4" w:rsidP="00F64C95">
            <w:pPr>
              <w:spacing w:before="120"/>
              <w:ind w:left="34" w:hanging="34"/>
              <w:rPr>
                <w:b/>
              </w:rPr>
            </w:pPr>
            <w:r w:rsidRPr="005513A9">
              <w:rPr>
                <w:b/>
              </w:rPr>
              <w:t>F</w:t>
            </w:r>
            <w:r w:rsidR="00645A0B" w:rsidRPr="005513A9">
              <w:rPr>
                <w:b/>
              </w:rPr>
              <w:t>orty-</w:t>
            </w:r>
            <w:r w:rsidR="00F64C95" w:rsidRPr="005513A9">
              <w:rPr>
                <w:b/>
              </w:rPr>
              <w:t>nin</w:t>
            </w:r>
            <w:r w:rsidR="00D9274F" w:rsidRPr="005513A9">
              <w:rPr>
                <w:b/>
              </w:rPr>
              <w:t>th</w:t>
            </w:r>
            <w:r w:rsidR="00645A0B" w:rsidRPr="005513A9">
              <w:rPr>
                <w:b/>
              </w:rPr>
              <w:t xml:space="preserve"> session</w:t>
            </w:r>
          </w:p>
        </w:tc>
        <w:tc>
          <w:tcPr>
            <w:tcW w:w="4993" w:type="dxa"/>
            <w:tcMar>
              <w:top w:w="57" w:type="dxa"/>
              <w:left w:w="108" w:type="dxa"/>
              <w:bottom w:w="0" w:type="dxa"/>
              <w:right w:w="108" w:type="dxa"/>
            </w:tcMar>
          </w:tcPr>
          <w:p w:rsidR="00645A0B" w:rsidRPr="005513A9" w:rsidRDefault="00F64C95" w:rsidP="00D9274F">
            <w:pPr>
              <w:spacing w:before="120"/>
              <w:rPr>
                <w:b/>
              </w:rPr>
            </w:pPr>
            <w:r w:rsidRPr="005513A9">
              <w:rPr>
                <w:b/>
              </w:rPr>
              <w:t>Thirty-first</w:t>
            </w:r>
            <w:r w:rsidR="00645A0B" w:rsidRPr="005513A9">
              <w:rPr>
                <w:b/>
              </w:rPr>
              <w:t xml:space="preserve"> session</w:t>
            </w:r>
          </w:p>
        </w:tc>
      </w:tr>
      <w:tr w:rsidR="00645A0B" w:rsidRPr="005513A9" w:rsidTr="00165735">
        <w:tc>
          <w:tcPr>
            <w:tcW w:w="4652" w:type="dxa"/>
            <w:tcMar>
              <w:top w:w="28" w:type="dxa"/>
              <w:left w:w="108" w:type="dxa"/>
              <w:bottom w:w="0" w:type="dxa"/>
              <w:right w:w="108" w:type="dxa"/>
            </w:tcMar>
          </w:tcPr>
          <w:p w:rsidR="00645A0B" w:rsidRPr="005513A9" w:rsidRDefault="00645A0B" w:rsidP="00EA48C4">
            <w:pPr>
              <w:tabs>
                <w:tab w:val="left" w:pos="0"/>
                <w:tab w:val="left" w:pos="6361"/>
                <w:tab w:val="left" w:pos="6939"/>
              </w:tabs>
              <w:spacing w:before="40"/>
              <w:ind w:left="34" w:hanging="34"/>
              <w:outlineLvl w:val="0"/>
              <w:rPr>
                <w:bCs/>
              </w:rPr>
            </w:pPr>
            <w:r w:rsidRPr="005513A9">
              <w:rPr>
                <w:bCs/>
              </w:rPr>
              <w:t xml:space="preserve">Geneva, </w:t>
            </w:r>
            <w:r w:rsidR="00F64C95" w:rsidRPr="005513A9">
              <w:rPr>
                <w:bCs/>
              </w:rPr>
              <w:t>27</w:t>
            </w:r>
            <w:r w:rsidR="00904EBC" w:rsidRPr="005513A9">
              <w:rPr>
                <w:bCs/>
              </w:rPr>
              <w:t xml:space="preserve"> </w:t>
            </w:r>
            <w:r w:rsidR="00F64C95" w:rsidRPr="005513A9">
              <w:rPr>
                <w:bCs/>
              </w:rPr>
              <w:t xml:space="preserve">June </w:t>
            </w:r>
            <w:r w:rsidRPr="005513A9">
              <w:t xml:space="preserve">– </w:t>
            </w:r>
            <w:r w:rsidR="00F64C95" w:rsidRPr="005513A9">
              <w:t>6</w:t>
            </w:r>
            <w:r w:rsidR="00904EBC" w:rsidRPr="005513A9">
              <w:t xml:space="preserve"> </w:t>
            </w:r>
            <w:r w:rsidR="00F64C95" w:rsidRPr="005513A9">
              <w:t>July 2016</w:t>
            </w:r>
          </w:p>
          <w:p w:rsidR="00645A0B" w:rsidRPr="005513A9" w:rsidRDefault="00645A0B" w:rsidP="00EA48C4">
            <w:pPr>
              <w:spacing w:before="40"/>
              <w:ind w:left="34" w:hanging="34"/>
            </w:pPr>
            <w:r w:rsidRPr="005513A9">
              <w:t xml:space="preserve">Item </w:t>
            </w:r>
            <w:r w:rsidR="00A64812">
              <w:t>10 (c</w:t>
            </w:r>
            <w:r w:rsidR="001B6F2D" w:rsidRPr="005513A9">
              <w:t>)</w:t>
            </w:r>
            <w:r w:rsidRPr="005513A9">
              <w:t xml:space="preserve"> of the provisional agenda</w:t>
            </w:r>
          </w:p>
          <w:p w:rsidR="00645A0B" w:rsidRPr="005513A9" w:rsidRDefault="001B6F2D" w:rsidP="00C41418">
            <w:pPr>
              <w:spacing w:before="40"/>
              <w:ind w:left="-10" w:firstLine="10"/>
              <w:rPr>
                <w:b/>
                <w:bCs/>
              </w:rPr>
            </w:pPr>
            <w:r w:rsidRPr="005513A9">
              <w:rPr>
                <w:b/>
              </w:rPr>
              <w:t xml:space="preserve">Issues relating to the Globally Harmonized System of Classification and Labelling of Chemicals: </w:t>
            </w:r>
            <w:r w:rsidR="00A64812" w:rsidRPr="00A64812">
              <w:rPr>
                <w:b/>
              </w:rPr>
              <w:t>classification criteria for flammable gases</w:t>
            </w:r>
          </w:p>
        </w:tc>
        <w:tc>
          <w:tcPr>
            <w:tcW w:w="4993" w:type="dxa"/>
            <w:tcMar>
              <w:top w:w="28" w:type="dxa"/>
              <w:left w:w="108" w:type="dxa"/>
              <w:bottom w:w="0" w:type="dxa"/>
              <w:right w:w="108" w:type="dxa"/>
            </w:tcMar>
          </w:tcPr>
          <w:p w:rsidR="00645A0B" w:rsidRPr="005513A9" w:rsidRDefault="00D9274F" w:rsidP="00D9274F">
            <w:pPr>
              <w:jc w:val="both"/>
            </w:pPr>
            <w:r w:rsidRPr="005513A9">
              <w:t xml:space="preserve">Geneva, </w:t>
            </w:r>
            <w:r w:rsidR="00D477C4" w:rsidRPr="005513A9">
              <w:t>5</w:t>
            </w:r>
            <w:r w:rsidR="003B3592">
              <w:t xml:space="preserve"> </w:t>
            </w:r>
            <w:r w:rsidRPr="005513A9">
              <w:t xml:space="preserve">– </w:t>
            </w:r>
            <w:r w:rsidR="00D477C4" w:rsidRPr="005513A9">
              <w:t>8</w:t>
            </w:r>
            <w:r w:rsidRPr="005513A9">
              <w:t xml:space="preserve"> </w:t>
            </w:r>
            <w:r w:rsidR="00D477C4" w:rsidRPr="005513A9">
              <w:t>July 2016</w:t>
            </w:r>
          </w:p>
          <w:p w:rsidR="00645A0B" w:rsidRPr="005513A9" w:rsidRDefault="00645A0B" w:rsidP="00165735">
            <w:pPr>
              <w:spacing w:before="40"/>
            </w:pPr>
            <w:r w:rsidRPr="005513A9">
              <w:t xml:space="preserve">Item </w:t>
            </w:r>
            <w:r w:rsidR="001B6F2D" w:rsidRPr="005513A9">
              <w:t>2</w:t>
            </w:r>
            <w:r w:rsidRPr="005513A9">
              <w:t xml:space="preserve"> of the provisional agenda</w:t>
            </w:r>
          </w:p>
          <w:p w:rsidR="00645A0B" w:rsidRPr="005513A9" w:rsidRDefault="001B6F2D" w:rsidP="00165735">
            <w:pPr>
              <w:spacing w:before="40"/>
              <w:rPr>
                <w:b/>
                <w:bCs/>
              </w:rPr>
            </w:pPr>
            <w:r w:rsidRPr="005513A9">
              <w:rPr>
                <w:b/>
              </w:rPr>
              <w:t>Joint work with the Sub-Committee of Experts on the Transport of Dangerous Goods (TDG Sub-Committee)</w:t>
            </w:r>
          </w:p>
        </w:tc>
      </w:tr>
    </w:tbl>
    <w:p w:rsidR="00A64812" w:rsidRPr="00E941B6" w:rsidRDefault="00A64812" w:rsidP="00A64812">
      <w:pPr>
        <w:pStyle w:val="HChG"/>
      </w:pPr>
      <w:r>
        <w:rPr>
          <w:lang w:val="fr-CH"/>
        </w:rPr>
        <w:tab/>
      </w:r>
      <w:r>
        <w:rPr>
          <w:lang w:val="fr-CH"/>
        </w:rPr>
        <w:tab/>
      </w:r>
      <w:r w:rsidR="00006D07">
        <w:t xml:space="preserve">Comments on </w:t>
      </w:r>
      <w:r w:rsidR="00006D07">
        <w:rPr>
          <w:lang w:val="fr-CH"/>
        </w:rPr>
        <w:t>c</w:t>
      </w:r>
      <w:proofErr w:type="spellStart"/>
      <w:r w:rsidRPr="00E941B6">
        <w:t>lassification</w:t>
      </w:r>
      <w:proofErr w:type="spellEnd"/>
      <w:r w:rsidRPr="00E941B6">
        <w:t xml:space="preserve"> criteria for flammable gases – comments on INF.26 (TDG</w:t>
      </w:r>
      <w:r w:rsidR="00006D07">
        <w:rPr>
          <w:lang w:val="fr-CH"/>
        </w:rPr>
        <w:t>,</w:t>
      </w:r>
      <w:r w:rsidRPr="00E941B6">
        <w:t xml:space="preserve"> 48th session)</w:t>
      </w:r>
      <w:r>
        <w:t xml:space="preserve"> – INF.8 (GHS, 30th session)</w:t>
      </w:r>
    </w:p>
    <w:p w:rsidR="00A64812" w:rsidRPr="00E941B6" w:rsidRDefault="00A64812" w:rsidP="00A64812">
      <w:pPr>
        <w:pStyle w:val="H1G"/>
      </w:pPr>
      <w:r w:rsidRPr="00E941B6">
        <w:tab/>
      </w:r>
      <w:r w:rsidRPr="00E941B6">
        <w:tab/>
        <w:t>Transmitted by the Compressed Gas Association (CGA)</w:t>
      </w:r>
    </w:p>
    <w:p w:rsidR="00A64812" w:rsidRPr="00E941B6" w:rsidRDefault="00A64812" w:rsidP="00A64812">
      <w:pPr>
        <w:pStyle w:val="HChG"/>
      </w:pPr>
      <w:r>
        <w:rPr>
          <w:lang w:val="fr-CH"/>
        </w:rPr>
        <w:tab/>
      </w:r>
      <w:r>
        <w:rPr>
          <w:lang w:val="fr-CH"/>
        </w:rPr>
        <w:tab/>
      </w:r>
      <w:r w:rsidRPr="00E941B6">
        <w:t>Background</w:t>
      </w:r>
    </w:p>
    <w:p w:rsidR="00A64812" w:rsidRPr="00A64812" w:rsidRDefault="00A64812" w:rsidP="00A64812">
      <w:pPr>
        <w:pStyle w:val="SingleTxtG"/>
      </w:pPr>
      <w:r w:rsidRPr="00A64812">
        <w:rPr>
          <w:rStyle w:val="s1"/>
          <w:rFonts w:ascii="Times New Roman" w:hAnsi="Times New Roman"/>
        </w:rPr>
        <w:t>1.</w:t>
      </w:r>
      <w:r w:rsidRPr="00A64812">
        <w:rPr>
          <w:rStyle w:val="s1"/>
          <w:rFonts w:ascii="Times New Roman" w:hAnsi="Times New Roman"/>
        </w:rPr>
        <w:tab/>
        <w:t xml:space="preserve">During their twenty-eighth session in December 2014, the </w:t>
      </w:r>
      <w:r w:rsidR="00006D07">
        <w:rPr>
          <w:rStyle w:val="s1"/>
          <w:rFonts w:ascii="Times New Roman" w:hAnsi="Times New Roman"/>
          <w:lang w:val="fr-CH"/>
        </w:rPr>
        <w:t xml:space="preserve">GHS </w:t>
      </w:r>
      <w:r w:rsidRPr="00A64812">
        <w:rPr>
          <w:rStyle w:val="s1"/>
          <w:rFonts w:ascii="Times New Roman" w:hAnsi="Times New Roman"/>
        </w:rPr>
        <w:t xml:space="preserve">Sub-Committee endorsed the decision of the TDG </w:t>
      </w:r>
      <w:proofErr w:type="spellStart"/>
      <w:r w:rsidR="00006D07">
        <w:rPr>
          <w:rStyle w:val="s1"/>
          <w:rFonts w:ascii="Times New Roman" w:hAnsi="Times New Roman"/>
          <w:lang w:val="fr-CH"/>
        </w:rPr>
        <w:t>Sub-Committee</w:t>
      </w:r>
      <w:proofErr w:type="spellEnd"/>
      <w:r w:rsidR="00006D07">
        <w:rPr>
          <w:rStyle w:val="s1"/>
          <w:rFonts w:ascii="Times New Roman" w:hAnsi="Times New Roman"/>
          <w:lang w:val="fr-CH"/>
        </w:rPr>
        <w:t xml:space="preserve"> </w:t>
      </w:r>
      <w:r w:rsidRPr="00A64812">
        <w:rPr>
          <w:rStyle w:val="s1"/>
          <w:rFonts w:ascii="Times New Roman" w:hAnsi="Times New Roman"/>
        </w:rPr>
        <w:t>to accept the proposal from the experts of Belgium and Japan (informal documents INF.10/Rev.1, Para.6 (46th session) and INF.5/Rev.1 (28th session)</w:t>
      </w:r>
      <w:r w:rsidR="00006D07">
        <w:rPr>
          <w:rStyle w:val="s1"/>
          <w:rFonts w:ascii="Times New Roman" w:hAnsi="Times New Roman"/>
          <w:lang w:val="fr-CH"/>
        </w:rPr>
        <w:t>)</w:t>
      </w:r>
      <w:r w:rsidRPr="00A64812">
        <w:rPr>
          <w:rStyle w:val="s1"/>
          <w:rFonts w:ascii="Times New Roman" w:hAnsi="Times New Roman"/>
        </w:rPr>
        <w:t xml:space="preserve"> with but one exception; the mandate was to be limited to category 1, category 2 was not to be touched (ST/SG/AC.10/C.4/56, para 14).</w:t>
      </w:r>
    </w:p>
    <w:p w:rsidR="00A64812" w:rsidRPr="00A64812" w:rsidRDefault="00A64812" w:rsidP="00A64812">
      <w:pPr>
        <w:pStyle w:val="SingleTxtG"/>
        <w:rPr>
          <w:rStyle w:val="s1"/>
          <w:rFonts w:ascii="Times New Roman" w:hAnsi="Times New Roman"/>
        </w:rPr>
      </w:pPr>
      <w:r w:rsidRPr="00A64812">
        <w:rPr>
          <w:rStyle w:val="s1"/>
          <w:rFonts w:ascii="Times New Roman" w:hAnsi="Times New Roman"/>
        </w:rPr>
        <w:t>2.</w:t>
      </w:r>
      <w:r w:rsidRPr="00A64812">
        <w:rPr>
          <w:rStyle w:val="s1"/>
          <w:rFonts w:ascii="Times New Roman" w:hAnsi="Times New Roman"/>
        </w:rPr>
        <w:tab/>
        <w:t>The IWG met twice in Brussels; March 2015 and September 2015. The results of each meeting was reported to both sub-committees.</w:t>
      </w:r>
    </w:p>
    <w:p w:rsidR="00A64812" w:rsidRPr="00A64812" w:rsidRDefault="00A64812" w:rsidP="00A64812">
      <w:pPr>
        <w:pStyle w:val="SingleTxtG"/>
        <w:rPr>
          <w:rStyle w:val="s1"/>
          <w:rFonts w:ascii="Times New Roman" w:hAnsi="Times New Roman"/>
        </w:rPr>
      </w:pPr>
      <w:r w:rsidRPr="00A64812">
        <w:rPr>
          <w:rStyle w:val="s1"/>
          <w:rFonts w:ascii="Times New Roman" w:hAnsi="Times New Roman"/>
        </w:rPr>
        <w:t>3.</w:t>
      </w:r>
      <w:r w:rsidRPr="00A64812">
        <w:rPr>
          <w:rStyle w:val="s1"/>
          <w:rFonts w:ascii="Times New Roman" w:hAnsi="Times New Roman"/>
        </w:rPr>
        <w:tab/>
        <w:t>During the first meeting (</w:t>
      </w:r>
      <w:r>
        <w:rPr>
          <w:rStyle w:val="s1"/>
          <w:rFonts w:ascii="Times New Roman" w:hAnsi="Times New Roman"/>
          <w:lang w:val="fr-CH"/>
        </w:rPr>
        <w:t xml:space="preserve">informal documents </w:t>
      </w:r>
      <w:r w:rsidRPr="00A64812">
        <w:rPr>
          <w:rStyle w:val="s1"/>
          <w:rFonts w:ascii="Times New Roman" w:hAnsi="Times New Roman"/>
        </w:rPr>
        <w:t xml:space="preserve">INF.5 </w:t>
      </w:r>
      <w:r>
        <w:rPr>
          <w:rStyle w:val="s1"/>
          <w:rFonts w:ascii="Times New Roman" w:hAnsi="Times New Roman"/>
          <w:lang w:val="fr-CH"/>
        </w:rPr>
        <w:t>(47th session) and INF.3 (29th session))</w:t>
      </w:r>
      <w:r w:rsidRPr="00A64812">
        <w:rPr>
          <w:rStyle w:val="s1"/>
          <w:rFonts w:ascii="Times New Roman" w:hAnsi="Times New Roman"/>
        </w:rPr>
        <w:t xml:space="preserve"> three classification options were identified along with the criteria to be used to perform the classification. Agreement could not be reached on hazard communication and remained as a topic for future discussion.</w:t>
      </w:r>
    </w:p>
    <w:p w:rsidR="00A64812" w:rsidRPr="00A64812" w:rsidRDefault="00A64812" w:rsidP="00A64812">
      <w:pPr>
        <w:pStyle w:val="SingleTxtG"/>
      </w:pPr>
      <w:r w:rsidRPr="00A64812">
        <w:rPr>
          <w:rStyle w:val="s1"/>
          <w:rFonts w:ascii="Times New Roman" w:hAnsi="Times New Roman"/>
        </w:rPr>
        <w:t>4.</w:t>
      </w:r>
      <w:r w:rsidRPr="00A64812">
        <w:rPr>
          <w:rStyle w:val="s1"/>
          <w:rFonts w:ascii="Times New Roman" w:hAnsi="Times New Roman"/>
        </w:rPr>
        <w:tab/>
        <w:t>During the second meeting (</w:t>
      </w:r>
      <w:r>
        <w:rPr>
          <w:rStyle w:val="s1"/>
          <w:rFonts w:ascii="Times New Roman" w:hAnsi="Times New Roman"/>
          <w:lang w:val="fr-CH"/>
        </w:rPr>
        <w:t xml:space="preserve">informal documents </w:t>
      </w:r>
      <w:r w:rsidRPr="00A64812">
        <w:rPr>
          <w:rStyle w:val="s1"/>
          <w:rFonts w:ascii="Times New Roman" w:hAnsi="Times New Roman"/>
        </w:rPr>
        <w:t xml:space="preserve">INF.15 </w:t>
      </w:r>
      <w:r>
        <w:rPr>
          <w:rStyle w:val="s1"/>
          <w:rFonts w:ascii="Times New Roman" w:hAnsi="Times New Roman"/>
          <w:lang w:val="fr-CH"/>
        </w:rPr>
        <w:t xml:space="preserve">(48th session) and </w:t>
      </w:r>
      <w:r w:rsidRPr="00A64812">
        <w:rPr>
          <w:rStyle w:val="s1"/>
          <w:rFonts w:ascii="Times New Roman" w:hAnsi="Times New Roman"/>
        </w:rPr>
        <w:t>INF.4</w:t>
      </w:r>
      <w:r w:rsidR="00006D07">
        <w:rPr>
          <w:rStyle w:val="s1"/>
          <w:rFonts w:ascii="Times New Roman" w:hAnsi="Times New Roman"/>
          <w:lang w:val="fr-CH"/>
        </w:rPr>
        <w:t xml:space="preserve"> (30th</w:t>
      </w:r>
      <w:r>
        <w:rPr>
          <w:rStyle w:val="s1"/>
          <w:rFonts w:ascii="Times New Roman" w:hAnsi="Times New Roman"/>
          <w:lang w:val="fr-CH"/>
        </w:rPr>
        <w:t xml:space="preserve"> </w:t>
      </w:r>
      <w:r w:rsidR="00006D07">
        <w:rPr>
          <w:rStyle w:val="s1"/>
          <w:rFonts w:ascii="Times New Roman" w:hAnsi="Times New Roman"/>
          <w:lang w:val="fr-CH"/>
        </w:rPr>
        <w:t>s</w:t>
      </w:r>
      <w:r>
        <w:rPr>
          <w:rStyle w:val="s1"/>
          <w:rFonts w:ascii="Times New Roman" w:hAnsi="Times New Roman"/>
          <w:lang w:val="fr-CH"/>
        </w:rPr>
        <w:t>ession)</w:t>
      </w:r>
      <w:r w:rsidRPr="00A64812">
        <w:rPr>
          <w:rStyle w:val="s1"/>
          <w:rFonts w:ascii="Times New Roman" w:hAnsi="Times New Roman"/>
        </w:rPr>
        <w:t>), Option 3 was chosen by consensus agreement. Hazard communication remained a subject for discussion. It should be noted that during the two meetings of the IWG, the Chair had to remind the IWG of the bounds of the mandate as some delegations sought to expand category 2 into category 1. Nonetheless, all delegations fully supported Option 3 and reached consensus agreement.</w:t>
      </w:r>
    </w:p>
    <w:p w:rsidR="00A64812" w:rsidRPr="00C766D7" w:rsidRDefault="00A64812" w:rsidP="00A64812">
      <w:pPr>
        <w:pStyle w:val="SingleTxtG"/>
      </w:pPr>
      <w:r>
        <w:t xml:space="preserve">As agreed by the IWG, </w:t>
      </w:r>
      <w:r w:rsidRPr="00D63550">
        <w:rPr>
          <w:i/>
        </w:rPr>
        <w:t>Option 3</w:t>
      </w:r>
      <w:r>
        <w:t xml:space="preserve"> provided:</w:t>
      </w:r>
    </w:p>
    <w:p w:rsidR="00A64812" w:rsidRPr="00E941B6" w:rsidRDefault="00A64812" w:rsidP="00A64812">
      <w:pPr>
        <w:pStyle w:val="SingleTxtG"/>
      </w:pPr>
      <w:r w:rsidRPr="00E941B6">
        <w:t>Test conditions: 20</w:t>
      </w:r>
      <w:r w:rsidRPr="00E941B6">
        <w:rPr>
          <w:vertAlign w:val="superscript"/>
        </w:rPr>
        <w:t>o</w:t>
      </w:r>
      <w:r w:rsidRPr="00E941B6">
        <w:t xml:space="preserve">C, 101 </w:t>
      </w:r>
      <w:proofErr w:type="spellStart"/>
      <w:r w:rsidRPr="00E941B6">
        <w:t>kPa</w:t>
      </w:r>
      <w:proofErr w:type="spellEnd"/>
    </w:p>
    <w:p w:rsidR="00A64812" w:rsidRPr="00E941B6" w:rsidRDefault="00A64812" w:rsidP="00A64812">
      <w:pPr>
        <w:pStyle w:val="Bullet1G"/>
      </w:pPr>
      <w:r w:rsidRPr="00E941B6">
        <w:t xml:space="preserve">Category 1a: flammable ignitable in a mixture of 13% or less by volume in air or a UFL – LFL </w:t>
      </w:r>
      <w:r w:rsidRPr="00E941B6">
        <w:rPr>
          <w:u w:val="single"/>
        </w:rPr>
        <w:t>&gt;</w:t>
      </w:r>
      <w:r w:rsidRPr="00E941B6">
        <w:t xml:space="preserve"> 12%</w:t>
      </w:r>
      <w:r>
        <w:t xml:space="preserve"> </w:t>
      </w:r>
      <w:r w:rsidRPr="00321EC1">
        <w:rPr>
          <w:b/>
        </w:rPr>
        <w:t>[D</w:t>
      </w:r>
      <w:r>
        <w:rPr>
          <w:b/>
        </w:rPr>
        <w:t>efault</w:t>
      </w:r>
      <w:r w:rsidRPr="00321EC1">
        <w:rPr>
          <w:b/>
        </w:rPr>
        <w:t>]</w:t>
      </w:r>
    </w:p>
    <w:p w:rsidR="00A64812" w:rsidRDefault="00A64812" w:rsidP="00A64812">
      <w:pPr>
        <w:pStyle w:val="Bullet1G"/>
      </w:pPr>
      <w:r w:rsidRPr="00E941B6">
        <w:t>Category 1b: gases from 1a with 1) LFL &gt; 6% OR 2) FBV &lt; 10 cm/s</w:t>
      </w:r>
      <w:r>
        <w:t xml:space="preserve"> </w:t>
      </w:r>
      <w:r>
        <w:rPr>
          <w:b/>
        </w:rPr>
        <w:t>[New and Optional]</w:t>
      </w:r>
    </w:p>
    <w:p w:rsidR="00A64812" w:rsidRPr="00A64812" w:rsidRDefault="00A64812" w:rsidP="00A64812">
      <w:pPr>
        <w:pStyle w:val="Bullet1G"/>
        <w:rPr>
          <w:b/>
        </w:rPr>
      </w:pPr>
      <w:r w:rsidRPr="00E941B6">
        <w:lastRenderedPageBreak/>
        <w:t>Category 2: gases with LFL &gt; 13% and a UFL – LFL &lt; 12%</w:t>
      </w:r>
      <w:r>
        <w:t xml:space="preserve"> </w:t>
      </w:r>
      <w:r w:rsidRPr="00321EC1">
        <w:rPr>
          <w:b/>
        </w:rPr>
        <w:t>[</w:t>
      </w:r>
      <w:r>
        <w:rPr>
          <w:b/>
        </w:rPr>
        <w:t>Remains as is]</w:t>
      </w:r>
    </w:p>
    <w:p w:rsidR="00A64812" w:rsidRPr="00A64812" w:rsidRDefault="00A64812" w:rsidP="00A64812">
      <w:pPr>
        <w:pStyle w:val="SingleTxtG"/>
        <w:rPr>
          <w:lang w:val="fr-CH"/>
        </w:rPr>
      </w:pPr>
      <w:r w:rsidRPr="00A64812">
        <w:t>5.</w:t>
      </w:r>
      <w:r w:rsidRPr="00A64812">
        <w:tab/>
        <w:t>Thus the remit of the IWG was achieved and within the bounds of the mandate. This provided, based on sound engineering methodology, data, impact evaluations, and global common practice, for the classification criteria that had been requested by Belgium and Japan and to everyone’s satisfaction.</w:t>
      </w:r>
    </w:p>
    <w:p w:rsidR="00A64812" w:rsidRPr="00A64812" w:rsidRDefault="00A64812" w:rsidP="00A64812">
      <w:pPr>
        <w:pStyle w:val="SingleTxtG"/>
        <w:rPr>
          <w:rStyle w:val="s1"/>
          <w:rFonts w:ascii="Times New Roman" w:hAnsi="Times New Roman"/>
          <w:lang w:val="fr-CH"/>
        </w:rPr>
      </w:pPr>
      <w:r w:rsidRPr="00A64812">
        <w:rPr>
          <w:rStyle w:val="s1"/>
          <w:rFonts w:ascii="Times New Roman" w:hAnsi="Times New Roman"/>
        </w:rPr>
        <w:t>6.</w:t>
      </w:r>
      <w:r w:rsidRPr="00A64812">
        <w:rPr>
          <w:rStyle w:val="s1"/>
          <w:rFonts w:ascii="Times New Roman" w:hAnsi="Times New Roman"/>
        </w:rPr>
        <w:tab/>
        <w:t xml:space="preserve">Notwithstanding the consensus agreement to use Option 3,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INF.26 </w:t>
      </w:r>
      <w:r>
        <w:rPr>
          <w:rStyle w:val="s1"/>
          <w:rFonts w:ascii="Times New Roman" w:hAnsi="Times New Roman"/>
          <w:lang w:val="fr-CH"/>
        </w:rPr>
        <w:t>(48th session) and INF.8 (30th session)</w:t>
      </w:r>
      <w:r w:rsidRPr="00A64812">
        <w:rPr>
          <w:rStyle w:val="s1"/>
          <w:rFonts w:ascii="Times New Roman" w:hAnsi="Times New Roman"/>
        </w:rPr>
        <w:t xml:space="preserve"> was submitted by Germany, EIGA, and CEFIC introducing an argument and proposal to include category 2 in the new classification criteria. The argument advanced was a simplification of the hazard class flammable gases, and more consistency with the way other physical hazard classes are organized.</w:t>
      </w:r>
    </w:p>
    <w:p w:rsidR="00A64812" w:rsidRPr="00A64812" w:rsidRDefault="00A64812" w:rsidP="00A64812">
      <w:pPr>
        <w:pStyle w:val="SingleTxtG"/>
        <w:rPr>
          <w:rStyle w:val="s1"/>
          <w:rFonts w:ascii="Times New Roman" w:hAnsi="Times New Roman"/>
        </w:rPr>
      </w:pPr>
      <w:r w:rsidRPr="00A64812">
        <w:t>7.</w:t>
      </w:r>
      <w:r w:rsidRPr="00A64812">
        <w:tab/>
        <w:t xml:space="preserve">During their 30th session in December 2015 </w:t>
      </w:r>
      <w:r w:rsidR="00006D07">
        <w:rPr>
          <w:lang w:val="fr-CH"/>
        </w:rPr>
        <w:t>(</w:t>
      </w:r>
      <w:r w:rsidRPr="00A64812">
        <w:t>ST/SG/AC.10/C.4/60</w:t>
      </w:r>
      <w:r w:rsidR="00006D07">
        <w:rPr>
          <w:lang w:val="fr-CH"/>
        </w:rPr>
        <w:t>)</w:t>
      </w:r>
      <w:r w:rsidRPr="00A64812">
        <w:t xml:space="preserve"> </w:t>
      </w:r>
      <w:r w:rsidRPr="00A64812">
        <w:rPr>
          <w:rStyle w:val="s1"/>
          <w:rFonts w:ascii="Times New Roman" w:hAnsi="Times New Roman"/>
        </w:rPr>
        <w:t xml:space="preserve">the </w:t>
      </w:r>
      <w:proofErr w:type="spellStart"/>
      <w:r w:rsidR="00006D07">
        <w:rPr>
          <w:rStyle w:val="s1"/>
          <w:rFonts w:ascii="Times New Roman" w:hAnsi="Times New Roman"/>
          <w:lang w:val="fr-CH"/>
        </w:rPr>
        <w:t>Sub-Committee</w:t>
      </w:r>
      <w:proofErr w:type="spellEnd"/>
      <w:r w:rsidR="00006D07">
        <w:rPr>
          <w:rStyle w:val="s1"/>
          <w:rFonts w:ascii="Times New Roman" w:hAnsi="Times New Roman"/>
          <w:lang w:val="fr-CH"/>
        </w:rPr>
        <w:t xml:space="preserve"> </w:t>
      </w:r>
      <w:r w:rsidRPr="00A64812">
        <w:rPr>
          <w:rStyle w:val="s1"/>
          <w:rFonts w:ascii="Times New Roman" w:hAnsi="Times New Roman"/>
        </w:rPr>
        <w:t xml:space="preserve">GHS considered the recommendations of the IWG to adopt Option 3 classification criteria, and the proposal and rationale provided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INF.15 </w:t>
      </w:r>
      <w:r>
        <w:rPr>
          <w:rStyle w:val="s1"/>
          <w:rFonts w:ascii="Times New Roman" w:hAnsi="Times New Roman"/>
          <w:lang w:val="fr-CH"/>
        </w:rPr>
        <w:t>(48th session) and INF.4 (30th session)</w:t>
      </w:r>
      <w:r w:rsidRPr="00A64812">
        <w:rPr>
          <w:rStyle w:val="s1"/>
          <w:rFonts w:ascii="Times New Roman" w:hAnsi="Times New Roman"/>
        </w:rPr>
        <w:t xml:space="preserve">. The </w:t>
      </w:r>
      <w:proofErr w:type="spellStart"/>
      <w:r w:rsidR="00006D07">
        <w:rPr>
          <w:rStyle w:val="s1"/>
          <w:rFonts w:ascii="Times New Roman" w:hAnsi="Times New Roman"/>
          <w:lang w:val="fr-CH"/>
        </w:rPr>
        <w:t>Sub-Committee</w:t>
      </w:r>
      <w:proofErr w:type="spellEnd"/>
      <w:r w:rsidR="00006D07">
        <w:rPr>
          <w:rStyle w:val="s1"/>
          <w:rFonts w:ascii="Times New Roman" w:hAnsi="Times New Roman"/>
          <w:lang w:val="fr-CH"/>
        </w:rPr>
        <w:t xml:space="preserve"> </w:t>
      </w:r>
      <w:r w:rsidRPr="00A64812">
        <w:rPr>
          <w:rStyle w:val="s1"/>
          <w:rFonts w:ascii="Times New Roman" w:hAnsi="Times New Roman"/>
        </w:rPr>
        <w:t xml:space="preserve">GHS decided to accept Option 3 classification criteria, however in addition to provide for another IWG to pursue the proposal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INF.26 </w:t>
      </w:r>
      <w:r>
        <w:rPr>
          <w:rStyle w:val="s1"/>
          <w:rFonts w:ascii="Times New Roman" w:hAnsi="Times New Roman"/>
          <w:lang w:val="fr-CH"/>
        </w:rPr>
        <w:t>(48th session) and INF.8 (30th session)</w:t>
      </w:r>
      <w:r w:rsidRPr="00A64812">
        <w:rPr>
          <w:rStyle w:val="s1"/>
          <w:rFonts w:ascii="Times New Roman" w:hAnsi="Times New Roman"/>
        </w:rPr>
        <w:t xml:space="preserve"> submitted by Germany, EIGA, and CEFIC. See the note by the Secretariat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 </w:t>
      </w:r>
      <w:r w:rsidRPr="00A64812">
        <w:rPr>
          <w:rStyle w:val="s1"/>
          <w:rFonts w:ascii="Times New Roman" w:hAnsi="Times New Roman"/>
        </w:rPr>
        <w:t>INF.30</w:t>
      </w:r>
      <w:r>
        <w:rPr>
          <w:rStyle w:val="s1"/>
          <w:rFonts w:ascii="Times New Roman" w:hAnsi="Times New Roman"/>
          <w:lang w:val="fr-CH"/>
        </w:rPr>
        <w:t xml:space="preserve"> (30th session)</w:t>
      </w:r>
      <w:r w:rsidRPr="00A64812">
        <w:rPr>
          <w:rStyle w:val="s1"/>
          <w:rFonts w:ascii="Times New Roman" w:hAnsi="Times New Roman"/>
        </w:rPr>
        <w:t>, paras 111 and 112.</w:t>
      </w:r>
    </w:p>
    <w:p w:rsidR="00A64812" w:rsidRPr="00E941B6" w:rsidRDefault="00A64812" w:rsidP="00A64812">
      <w:pPr>
        <w:pStyle w:val="HChG"/>
        <w:rPr>
          <w:rStyle w:val="s1"/>
          <w:b w:val="0"/>
          <w:color w:val="000000" w:themeColor="text1"/>
          <w:sz w:val="24"/>
          <w:szCs w:val="24"/>
        </w:rPr>
      </w:pPr>
      <w:r>
        <w:rPr>
          <w:rStyle w:val="s1"/>
          <w:rFonts w:ascii="Times New Roman" w:hAnsi="Times New Roman"/>
          <w:lang w:val="fr-CH"/>
        </w:rPr>
        <w:tab/>
      </w:r>
      <w:r>
        <w:rPr>
          <w:rStyle w:val="s1"/>
          <w:rFonts w:ascii="Times New Roman" w:hAnsi="Times New Roman"/>
          <w:lang w:val="fr-CH"/>
        </w:rPr>
        <w:tab/>
      </w:r>
      <w:r w:rsidRPr="00A64812">
        <w:rPr>
          <w:rStyle w:val="s1"/>
          <w:rFonts w:ascii="Times New Roman" w:hAnsi="Times New Roman"/>
        </w:rPr>
        <w:t>Discussion</w:t>
      </w:r>
    </w:p>
    <w:p w:rsidR="00A64812" w:rsidRPr="00A64812" w:rsidRDefault="00A64812" w:rsidP="00A64812">
      <w:pPr>
        <w:pStyle w:val="SingleTxtG"/>
        <w:rPr>
          <w:rStyle w:val="s1"/>
          <w:rFonts w:ascii="Times New Roman" w:hAnsi="Times New Roman"/>
        </w:rPr>
      </w:pPr>
      <w:r>
        <w:rPr>
          <w:rStyle w:val="s1"/>
          <w:rFonts w:ascii="Times New Roman" w:hAnsi="Times New Roman"/>
          <w:lang w:val="fr-CH"/>
        </w:rPr>
        <w:t>8.</w:t>
      </w:r>
      <w:r>
        <w:rPr>
          <w:rStyle w:val="s1"/>
          <w:rFonts w:ascii="Times New Roman" w:hAnsi="Times New Roman"/>
          <w:lang w:val="fr-CH"/>
        </w:rPr>
        <w:tab/>
      </w:r>
      <w:r w:rsidRPr="00A64812">
        <w:rPr>
          <w:rStyle w:val="s1"/>
          <w:rFonts w:ascii="Times New Roman" w:hAnsi="Times New Roman"/>
        </w:rPr>
        <w:t xml:space="preserve">The first IWG was given a remit to provide for a category of flammable gases that were not as energetic in their combustion to accommodate new flammable refrigerants coming into use. The justification for this change is that the industry is being driven to use these new flammable refrigerants to replace </w:t>
      </w:r>
      <w:proofErr w:type="spellStart"/>
      <w:r w:rsidRPr="00A64812">
        <w:rPr>
          <w:rStyle w:val="s1"/>
          <w:rFonts w:ascii="Times New Roman" w:hAnsi="Times New Roman"/>
        </w:rPr>
        <w:t>hydrofluorocarbons</w:t>
      </w:r>
      <w:proofErr w:type="spellEnd"/>
      <w:r w:rsidRPr="00A64812">
        <w:rPr>
          <w:rStyle w:val="s1"/>
          <w:rFonts w:ascii="Times New Roman" w:hAnsi="Times New Roman"/>
        </w:rPr>
        <w:t xml:space="preserve"> to remain compliant with the Montreal and Kyoto protocols for reducing the global warming footprint. The concept of the new category was to align the classification, storage and handling of these gases in a manner that would be commensurate with the various fire codes around the world.</w:t>
      </w:r>
    </w:p>
    <w:p w:rsidR="00A64812" w:rsidRPr="00A64812" w:rsidRDefault="00A64812" w:rsidP="00A64812">
      <w:pPr>
        <w:pStyle w:val="SingleTxtG"/>
        <w:rPr>
          <w:rStyle w:val="s1"/>
          <w:rFonts w:ascii="Times New Roman" w:hAnsi="Times New Roman"/>
        </w:rPr>
      </w:pPr>
      <w:r>
        <w:rPr>
          <w:rStyle w:val="s1"/>
          <w:rFonts w:ascii="Times New Roman" w:hAnsi="Times New Roman"/>
          <w:lang w:val="fr-CH"/>
        </w:rPr>
        <w:t>9.</w:t>
      </w:r>
      <w:r>
        <w:rPr>
          <w:rStyle w:val="s1"/>
          <w:rFonts w:ascii="Times New Roman" w:hAnsi="Times New Roman"/>
          <w:lang w:val="fr-CH"/>
        </w:rPr>
        <w:tab/>
      </w:r>
      <w:r w:rsidRPr="00A64812">
        <w:rPr>
          <w:rStyle w:val="s1"/>
          <w:rFonts w:ascii="Times New Roman" w:hAnsi="Times New Roman"/>
        </w:rPr>
        <w:t xml:space="preserve">The second IWG has not provided adequate justification the need for their proposal to expand flammable gases category 2 to include the subcategory 1b gases, the new category just created for Belgium and Japan. The justification provided in </w:t>
      </w:r>
      <w:proofErr w:type="spellStart"/>
      <w:r>
        <w:rPr>
          <w:rStyle w:val="s1"/>
          <w:rFonts w:ascii="Times New Roman" w:hAnsi="Times New Roman"/>
          <w:lang w:val="fr-CH"/>
        </w:rPr>
        <w:t>informal</w:t>
      </w:r>
      <w:proofErr w:type="spellEnd"/>
      <w:r>
        <w:rPr>
          <w:rStyle w:val="s1"/>
          <w:rFonts w:ascii="Times New Roman" w:hAnsi="Times New Roman"/>
          <w:lang w:val="fr-CH"/>
        </w:rPr>
        <w:t xml:space="preserve"> documents </w:t>
      </w:r>
      <w:r w:rsidRPr="00A64812">
        <w:rPr>
          <w:rStyle w:val="s1"/>
          <w:rFonts w:ascii="Times New Roman" w:hAnsi="Times New Roman"/>
        </w:rPr>
        <w:t xml:space="preserve">INF.26 </w:t>
      </w:r>
      <w:r>
        <w:rPr>
          <w:rStyle w:val="s1"/>
          <w:rFonts w:ascii="Times New Roman" w:hAnsi="Times New Roman"/>
          <w:lang w:val="fr-CH"/>
        </w:rPr>
        <w:t>(48th session) and INF.8 (30th session)</w:t>
      </w:r>
      <w:r w:rsidRPr="00A64812">
        <w:rPr>
          <w:rStyle w:val="s1"/>
          <w:rFonts w:ascii="Times New Roman" w:hAnsi="Times New Roman"/>
        </w:rPr>
        <w:t xml:space="preserve"> para 2 is the </w:t>
      </w:r>
      <w:r w:rsidRPr="00A64812">
        <w:rPr>
          <w:rStyle w:val="s1"/>
          <w:rFonts w:ascii="Times New Roman" w:hAnsi="Times New Roman" w:hint="eastAsia"/>
        </w:rPr>
        <w:t>“…</w:t>
      </w:r>
      <w:r w:rsidRPr="00A64812">
        <w:rPr>
          <w:rStyle w:val="s1"/>
          <w:rFonts w:ascii="Times New Roman" w:hAnsi="Times New Roman"/>
        </w:rPr>
        <w:t>simplification of the hazard class flammable gases</w:t>
      </w:r>
      <w:r w:rsidRPr="00A64812">
        <w:rPr>
          <w:rStyle w:val="s1"/>
          <w:rFonts w:ascii="Times New Roman" w:hAnsi="Times New Roman" w:hint="eastAsia"/>
        </w:rPr>
        <w:t>…”</w:t>
      </w:r>
      <w:r w:rsidRPr="00A64812">
        <w:rPr>
          <w:rStyle w:val="s1"/>
          <w:rFonts w:ascii="Times New Roman" w:hAnsi="Times New Roman"/>
        </w:rPr>
        <w:t xml:space="preserve">, and to provide for </w:t>
      </w:r>
      <w:r w:rsidRPr="00A64812">
        <w:rPr>
          <w:rStyle w:val="s1"/>
          <w:rFonts w:ascii="Times New Roman" w:hAnsi="Times New Roman" w:hint="eastAsia"/>
        </w:rPr>
        <w:t>“…</w:t>
      </w:r>
      <w:r w:rsidRPr="00A64812">
        <w:rPr>
          <w:rStyle w:val="s1"/>
          <w:rFonts w:ascii="Times New Roman" w:hAnsi="Times New Roman"/>
        </w:rPr>
        <w:t>more consistency with the way in which other physical hazard classes are organized and divided into categories within the GHS.</w:t>
      </w:r>
      <w:r w:rsidRPr="00A64812">
        <w:rPr>
          <w:rStyle w:val="s1"/>
          <w:rFonts w:ascii="Times New Roman" w:hAnsi="Times New Roman" w:hint="eastAsia"/>
        </w:rPr>
        <w:t>”</w:t>
      </w:r>
      <w:r w:rsidRPr="00A64812">
        <w:rPr>
          <w:rStyle w:val="s1"/>
          <w:rFonts w:ascii="Times New Roman" w:hAnsi="Times New Roman"/>
        </w:rPr>
        <w:t xml:space="preserve"> The IWG does not provide an assessment of the impact of the proposed changes in areas such as transport regulations and building codes.</w:t>
      </w:r>
    </w:p>
    <w:p w:rsidR="00A64812" w:rsidRPr="00E941B6" w:rsidRDefault="00A64812" w:rsidP="00A64812">
      <w:pPr>
        <w:pStyle w:val="HChG"/>
        <w:rPr>
          <w:rStyle w:val="s1"/>
          <w:b w:val="0"/>
          <w:color w:val="000000" w:themeColor="text1"/>
          <w:sz w:val="24"/>
          <w:szCs w:val="24"/>
        </w:rPr>
      </w:pPr>
      <w:r>
        <w:rPr>
          <w:rStyle w:val="s1"/>
          <w:rFonts w:ascii="Times New Roman" w:hAnsi="Times New Roman"/>
          <w:lang w:val="fr-CH"/>
        </w:rPr>
        <w:tab/>
      </w:r>
      <w:r>
        <w:rPr>
          <w:rStyle w:val="s1"/>
          <w:rFonts w:ascii="Times New Roman" w:hAnsi="Times New Roman"/>
          <w:lang w:val="fr-CH"/>
        </w:rPr>
        <w:tab/>
      </w:r>
      <w:r w:rsidRPr="00A64812">
        <w:rPr>
          <w:rStyle w:val="s1"/>
          <w:rFonts w:ascii="Times New Roman" w:hAnsi="Times New Roman"/>
        </w:rPr>
        <w:t>Conclusion</w:t>
      </w:r>
    </w:p>
    <w:p w:rsidR="00A64812" w:rsidRPr="00A64812" w:rsidRDefault="00006D07" w:rsidP="00A64812">
      <w:pPr>
        <w:pStyle w:val="SingleTxtG"/>
        <w:rPr>
          <w:rStyle w:val="s1"/>
          <w:rFonts w:ascii="Times New Roman" w:hAnsi="Times New Roman"/>
        </w:rPr>
      </w:pPr>
      <w:r>
        <w:rPr>
          <w:rStyle w:val="s1"/>
          <w:rFonts w:ascii="Times New Roman" w:hAnsi="Times New Roman"/>
          <w:lang w:val="fr-CH"/>
        </w:rPr>
        <w:t>10.</w:t>
      </w:r>
      <w:r>
        <w:rPr>
          <w:rStyle w:val="s1"/>
          <w:rFonts w:ascii="Times New Roman" w:hAnsi="Times New Roman"/>
          <w:lang w:val="fr-CH"/>
        </w:rPr>
        <w:tab/>
      </w:r>
      <w:bookmarkStart w:id="0" w:name="_GoBack"/>
      <w:bookmarkEnd w:id="0"/>
      <w:r w:rsidR="00A64812" w:rsidRPr="00A64812">
        <w:rPr>
          <w:rStyle w:val="s1"/>
          <w:rFonts w:ascii="Times New Roman" w:hAnsi="Times New Roman"/>
        </w:rPr>
        <w:t>CGA fully supports the proposal of the original IWG to use Option 3 and to work towards a consensus agreement on the hazard communication for Option 3. CGA does not support the re-organization of the classification of flammable gases any further.</w:t>
      </w:r>
    </w:p>
    <w:p w:rsidR="00A64812" w:rsidRPr="00A64812" w:rsidRDefault="00A64812" w:rsidP="00A64812">
      <w:pPr>
        <w:spacing w:before="240"/>
        <w:ind w:left="1134" w:right="1134"/>
        <w:jc w:val="center"/>
        <w:rPr>
          <w:rStyle w:val="s1"/>
          <w:color w:val="000000" w:themeColor="text1"/>
          <w:sz w:val="24"/>
          <w:szCs w:val="24"/>
          <w:u w:val="single"/>
        </w:rPr>
      </w:pPr>
      <w:r>
        <w:rPr>
          <w:rStyle w:val="s1"/>
          <w:color w:val="000000" w:themeColor="text1"/>
          <w:sz w:val="24"/>
          <w:szCs w:val="24"/>
          <w:u w:val="single"/>
        </w:rPr>
        <w:tab/>
      </w:r>
      <w:r>
        <w:rPr>
          <w:rStyle w:val="s1"/>
          <w:color w:val="000000" w:themeColor="text1"/>
          <w:sz w:val="24"/>
          <w:szCs w:val="24"/>
          <w:u w:val="single"/>
        </w:rPr>
        <w:tab/>
      </w:r>
      <w:r>
        <w:rPr>
          <w:rStyle w:val="s1"/>
          <w:color w:val="000000" w:themeColor="text1"/>
          <w:sz w:val="24"/>
          <w:szCs w:val="24"/>
          <w:u w:val="single"/>
        </w:rPr>
        <w:tab/>
      </w:r>
    </w:p>
    <w:p w:rsidR="00BD109F" w:rsidRPr="00A64812" w:rsidRDefault="00BD109F" w:rsidP="00A64812">
      <w:pPr>
        <w:pStyle w:val="SingleTxtG"/>
      </w:pPr>
    </w:p>
    <w:sectPr w:rsidR="00BD109F" w:rsidRPr="00A64812" w:rsidSect="00C41418">
      <w:headerReference w:type="even" r:id="rId9"/>
      <w:footerReference w:type="even" r:id="rId10"/>
      <w:head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19" w:rsidRDefault="00BB0319"/>
  </w:endnote>
  <w:endnote w:type="continuationSeparator" w:id="0">
    <w:p w:rsidR="00BB0319" w:rsidRDefault="00BB0319"/>
  </w:endnote>
  <w:endnote w:type="continuationNotice" w:id="1">
    <w:p w:rsidR="00BB0319" w:rsidRDefault="00BB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F UI Text">
    <w:altName w:val="Times New Roman"/>
    <w:charset w:val="00"/>
    <w:family w:val="auto"/>
    <w:pitch w:val="default"/>
  </w:font>
  <w:font w:name=".SFUIText-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81421069"/>
      <w:docPartObj>
        <w:docPartGallery w:val="Page Numbers (Bottom of Page)"/>
        <w:docPartUnique/>
      </w:docPartObj>
    </w:sdtPr>
    <w:sdtEndPr>
      <w:rPr>
        <w:noProof/>
      </w:rPr>
    </w:sdtEndPr>
    <w:sdtContent>
      <w:p w:rsidR="0030218B" w:rsidRPr="0030218B" w:rsidRDefault="0030218B">
        <w:pPr>
          <w:pStyle w:val="Footer"/>
          <w:rPr>
            <w:b/>
          </w:rPr>
        </w:pPr>
        <w:r w:rsidRPr="0030218B">
          <w:rPr>
            <w:b/>
          </w:rPr>
          <w:fldChar w:fldCharType="begin"/>
        </w:r>
        <w:r w:rsidRPr="0030218B">
          <w:rPr>
            <w:b/>
          </w:rPr>
          <w:instrText xml:space="preserve"> PAGE   \* MERGEFORMAT </w:instrText>
        </w:r>
        <w:r w:rsidRPr="0030218B">
          <w:rPr>
            <w:b/>
          </w:rPr>
          <w:fldChar w:fldCharType="separate"/>
        </w:r>
        <w:r w:rsidR="007B2FCB">
          <w:rPr>
            <w:b/>
            <w:noProof/>
          </w:rPr>
          <w:t>2</w:t>
        </w:r>
        <w:r w:rsidRPr="0030218B">
          <w:rPr>
            <w:b/>
            <w:noProof/>
          </w:rPr>
          <w:fldChar w:fldCharType="end"/>
        </w:r>
      </w:p>
    </w:sdtContent>
  </w:sdt>
  <w:p w:rsidR="0030218B" w:rsidRDefault="0030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19" w:rsidRPr="000B175B" w:rsidRDefault="00BB0319" w:rsidP="000B175B">
      <w:pPr>
        <w:tabs>
          <w:tab w:val="right" w:pos="2155"/>
        </w:tabs>
        <w:spacing w:after="80"/>
        <w:ind w:left="680"/>
        <w:rPr>
          <w:u w:val="single"/>
        </w:rPr>
      </w:pPr>
      <w:r>
        <w:rPr>
          <w:u w:val="single"/>
        </w:rPr>
        <w:tab/>
      </w:r>
    </w:p>
  </w:footnote>
  <w:footnote w:type="continuationSeparator" w:id="0">
    <w:p w:rsidR="00BB0319" w:rsidRPr="00FC68B7" w:rsidRDefault="00BB0319" w:rsidP="00FC68B7">
      <w:pPr>
        <w:tabs>
          <w:tab w:val="left" w:pos="2155"/>
        </w:tabs>
        <w:spacing w:after="80"/>
        <w:ind w:left="680"/>
        <w:rPr>
          <w:u w:val="single"/>
        </w:rPr>
      </w:pPr>
      <w:r>
        <w:rPr>
          <w:u w:val="single"/>
        </w:rPr>
        <w:tab/>
      </w:r>
    </w:p>
  </w:footnote>
  <w:footnote w:type="continuationNotice" w:id="1">
    <w:p w:rsidR="00BB0319" w:rsidRDefault="00BB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592" w:rsidRPr="003B3592" w:rsidRDefault="00A64812" w:rsidP="003B3592">
    <w:pPr>
      <w:rPr>
        <w:b/>
        <w:sz w:val="18"/>
        <w:szCs w:val="18"/>
      </w:rPr>
    </w:pPr>
    <w:r>
      <w:rPr>
        <w:b/>
        <w:sz w:val="18"/>
        <w:szCs w:val="18"/>
      </w:rPr>
      <w:t>UN/SCETDG/49/INF.62</w:t>
    </w:r>
  </w:p>
  <w:p w:rsidR="003B3592" w:rsidRPr="003B3592" w:rsidRDefault="00A64812" w:rsidP="00667A64">
    <w:pPr>
      <w:pBdr>
        <w:bottom w:val="single" w:sz="4" w:space="1" w:color="auto"/>
      </w:pBdr>
      <w:rPr>
        <w:b/>
        <w:sz w:val="18"/>
        <w:szCs w:val="18"/>
      </w:rPr>
    </w:pPr>
    <w:r>
      <w:rPr>
        <w:b/>
        <w:sz w:val="18"/>
        <w:szCs w:val="18"/>
      </w:rPr>
      <w:t>UN/SCEGHS/31/INF.17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19" w:rsidRPr="00270DDB" w:rsidRDefault="00BB0319" w:rsidP="00270DD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02A271A"/>
    <w:multiLevelType w:val="hybridMultilevel"/>
    <w:tmpl w:val="BC7EB030"/>
    <w:lvl w:ilvl="0" w:tplc="52CCB30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5956DA1"/>
    <w:multiLevelType w:val="hybridMultilevel"/>
    <w:tmpl w:val="118C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3">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6"/>
  </w:num>
  <w:num w:numId="13">
    <w:abstractNumId w:val="12"/>
  </w:num>
  <w:num w:numId="14">
    <w:abstractNumId w:val="39"/>
  </w:num>
  <w:num w:numId="15">
    <w:abstractNumId w:val="42"/>
  </w:num>
  <w:num w:numId="16">
    <w:abstractNumId w:val="28"/>
  </w:num>
  <w:num w:numId="17">
    <w:abstractNumId w:val="34"/>
  </w:num>
  <w:num w:numId="18">
    <w:abstractNumId w:val="41"/>
  </w:num>
  <w:num w:numId="19">
    <w:abstractNumId w:val="25"/>
  </w:num>
  <w:num w:numId="20">
    <w:abstractNumId w:val="40"/>
  </w:num>
  <w:num w:numId="21">
    <w:abstractNumId w:val="23"/>
  </w:num>
  <w:num w:numId="22">
    <w:abstractNumId w:val="30"/>
  </w:num>
  <w:num w:numId="23">
    <w:abstractNumId w:val="46"/>
  </w:num>
  <w:num w:numId="24">
    <w:abstractNumId w:val="22"/>
  </w:num>
  <w:num w:numId="25">
    <w:abstractNumId w:val="29"/>
  </w:num>
  <w:num w:numId="26">
    <w:abstractNumId w:val="21"/>
  </w:num>
  <w:num w:numId="27">
    <w:abstractNumId w:val="13"/>
  </w:num>
  <w:num w:numId="28">
    <w:abstractNumId w:val="44"/>
  </w:num>
  <w:num w:numId="29">
    <w:abstractNumId w:val="33"/>
  </w:num>
  <w:num w:numId="30">
    <w:abstractNumId w:val="27"/>
  </w:num>
  <w:num w:numId="31">
    <w:abstractNumId w:val="36"/>
  </w:num>
  <w:num w:numId="32">
    <w:abstractNumId w:val="24"/>
  </w:num>
  <w:num w:numId="33">
    <w:abstractNumId w:val="31"/>
  </w:num>
  <w:num w:numId="34">
    <w:abstractNumId w:val="43"/>
  </w:num>
  <w:num w:numId="35">
    <w:abstractNumId w:val="10"/>
  </w:num>
  <w:num w:numId="36">
    <w:abstractNumId w:val="26"/>
  </w:num>
  <w:num w:numId="37">
    <w:abstractNumId w:val="14"/>
  </w:num>
  <w:num w:numId="38">
    <w:abstractNumId w:val="38"/>
  </w:num>
  <w:num w:numId="39">
    <w:abstractNumId w:val="15"/>
  </w:num>
  <w:num w:numId="40">
    <w:abstractNumId w:val="17"/>
  </w:num>
  <w:num w:numId="41">
    <w:abstractNumId w:val="32"/>
  </w:num>
  <w:num w:numId="42">
    <w:abstractNumId w:val="35"/>
  </w:num>
  <w:num w:numId="43">
    <w:abstractNumId w:val="11"/>
  </w:num>
  <w:num w:numId="44">
    <w:abstractNumId w:val="45"/>
  </w:num>
  <w:num w:numId="45">
    <w:abstractNumId w:val="18"/>
  </w:num>
  <w:num w:numId="46">
    <w:abstractNumId w:val="20"/>
  </w:num>
  <w:num w:numId="4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D07"/>
    <w:rsid w:val="00006FAE"/>
    <w:rsid w:val="000133C5"/>
    <w:rsid w:val="00017D24"/>
    <w:rsid w:val="000216CC"/>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6FA7"/>
    <w:rsid w:val="00091046"/>
    <w:rsid w:val="00091419"/>
    <w:rsid w:val="00091CB3"/>
    <w:rsid w:val="000931C0"/>
    <w:rsid w:val="00094407"/>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20B9"/>
    <w:rsid w:val="000F52D6"/>
    <w:rsid w:val="000F6A20"/>
    <w:rsid w:val="001001A5"/>
    <w:rsid w:val="00101DFE"/>
    <w:rsid w:val="001039FD"/>
    <w:rsid w:val="0010461A"/>
    <w:rsid w:val="00112B65"/>
    <w:rsid w:val="00115303"/>
    <w:rsid w:val="00117787"/>
    <w:rsid w:val="00117D0D"/>
    <w:rsid w:val="00121EB7"/>
    <w:rsid w:val="001249AC"/>
    <w:rsid w:val="00131B10"/>
    <w:rsid w:val="00131D42"/>
    <w:rsid w:val="00133C50"/>
    <w:rsid w:val="001406F4"/>
    <w:rsid w:val="001633FB"/>
    <w:rsid w:val="00163A1B"/>
    <w:rsid w:val="00165735"/>
    <w:rsid w:val="00167786"/>
    <w:rsid w:val="00181019"/>
    <w:rsid w:val="001835BF"/>
    <w:rsid w:val="00184B86"/>
    <w:rsid w:val="001A02A4"/>
    <w:rsid w:val="001A09BA"/>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979"/>
    <w:rsid w:val="00257C1E"/>
    <w:rsid w:val="00261B71"/>
    <w:rsid w:val="002621F5"/>
    <w:rsid w:val="002708B5"/>
    <w:rsid w:val="00270DDB"/>
    <w:rsid w:val="002725CA"/>
    <w:rsid w:val="00273A92"/>
    <w:rsid w:val="00277896"/>
    <w:rsid w:val="00277E2F"/>
    <w:rsid w:val="00280EB7"/>
    <w:rsid w:val="002976CF"/>
    <w:rsid w:val="002A0BD2"/>
    <w:rsid w:val="002A5B17"/>
    <w:rsid w:val="002B0609"/>
    <w:rsid w:val="002B067A"/>
    <w:rsid w:val="002B1514"/>
    <w:rsid w:val="002B1CDA"/>
    <w:rsid w:val="002C7F25"/>
    <w:rsid w:val="002D5A85"/>
    <w:rsid w:val="002D5C7D"/>
    <w:rsid w:val="002E35BB"/>
    <w:rsid w:val="002F68FD"/>
    <w:rsid w:val="0030218B"/>
    <w:rsid w:val="003107FA"/>
    <w:rsid w:val="00315D73"/>
    <w:rsid w:val="00316FF9"/>
    <w:rsid w:val="00321716"/>
    <w:rsid w:val="003229D8"/>
    <w:rsid w:val="00327D0A"/>
    <w:rsid w:val="003517C3"/>
    <w:rsid w:val="00355502"/>
    <w:rsid w:val="00356BC7"/>
    <w:rsid w:val="00357A20"/>
    <w:rsid w:val="00361645"/>
    <w:rsid w:val="00372F06"/>
    <w:rsid w:val="00391647"/>
    <w:rsid w:val="0039277A"/>
    <w:rsid w:val="00396F6A"/>
    <w:rsid w:val="003972E0"/>
    <w:rsid w:val="003A1EC2"/>
    <w:rsid w:val="003A52D7"/>
    <w:rsid w:val="003A5A16"/>
    <w:rsid w:val="003B3592"/>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22177"/>
    <w:rsid w:val="00527910"/>
    <w:rsid w:val="005420F2"/>
    <w:rsid w:val="00542505"/>
    <w:rsid w:val="005475D4"/>
    <w:rsid w:val="005513A9"/>
    <w:rsid w:val="00555CDB"/>
    <w:rsid w:val="00561B6D"/>
    <w:rsid w:val="00562D45"/>
    <w:rsid w:val="0056615B"/>
    <w:rsid w:val="00567DFB"/>
    <w:rsid w:val="00571DAA"/>
    <w:rsid w:val="0058129D"/>
    <w:rsid w:val="00590144"/>
    <w:rsid w:val="00594F31"/>
    <w:rsid w:val="0059682C"/>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6B06"/>
    <w:rsid w:val="00626DE3"/>
    <w:rsid w:val="006279AC"/>
    <w:rsid w:val="0063419C"/>
    <w:rsid w:val="00635381"/>
    <w:rsid w:val="00636986"/>
    <w:rsid w:val="00637542"/>
    <w:rsid w:val="00640B26"/>
    <w:rsid w:val="00641194"/>
    <w:rsid w:val="00645A0B"/>
    <w:rsid w:val="006477C8"/>
    <w:rsid w:val="006500BA"/>
    <w:rsid w:val="006506DB"/>
    <w:rsid w:val="00662121"/>
    <w:rsid w:val="00662E09"/>
    <w:rsid w:val="00667788"/>
    <w:rsid w:val="00667A64"/>
    <w:rsid w:val="00670CF0"/>
    <w:rsid w:val="00675F87"/>
    <w:rsid w:val="00686340"/>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401"/>
    <w:rsid w:val="00741F59"/>
    <w:rsid w:val="0074697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6434"/>
    <w:rsid w:val="00790791"/>
    <w:rsid w:val="00796F36"/>
    <w:rsid w:val="007A2CDB"/>
    <w:rsid w:val="007A62EC"/>
    <w:rsid w:val="007B1A7E"/>
    <w:rsid w:val="007B2BA8"/>
    <w:rsid w:val="007B2FCB"/>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07AED"/>
    <w:rsid w:val="0081485F"/>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2128"/>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126EE"/>
    <w:rsid w:val="00923019"/>
    <w:rsid w:val="00924B63"/>
    <w:rsid w:val="009363B6"/>
    <w:rsid w:val="00940F46"/>
    <w:rsid w:val="00941ECC"/>
    <w:rsid w:val="00945A5D"/>
    <w:rsid w:val="00946A0D"/>
    <w:rsid w:val="00955109"/>
    <w:rsid w:val="009600BB"/>
    <w:rsid w:val="00963B67"/>
    <w:rsid w:val="00963CBA"/>
    <w:rsid w:val="009701ED"/>
    <w:rsid w:val="009825B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E47FC"/>
    <w:rsid w:val="009F0F06"/>
    <w:rsid w:val="009F4FC5"/>
    <w:rsid w:val="00A1427D"/>
    <w:rsid w:val="00A235F1"/>
    <w:rsid w:val="00A34B00"/>
    <w:rsid w:val="00A3777A"/>
    <w:rsid w:val="00A50077"/>
    <w:rsid w:val="00A54CA8"/>
    <w:rsid w:val="00A60196"/>
    <w:rsid w:val="00A6199C"/>
    <w:rsid w:val="00A622AF"/>
    <w:rsid w:val="00A64812"/>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D34EE"/>
    <w:rsid w:val="00AD7C88"/>
    <w:rsid w:val="00AE45DE"/>
    <w:rsid w:val="00AF0878"/>
    <w:rsid w:val="00AF2F9D"/>
    <w:rsid w:val="00AF6710"/>
    <w:rsid w:val="00B013E6"/>
    <w:rsid w:val="00B04866"/>
    <w:rsid w:val="00B04D66"/>
    <w:rsid w:val="00B10C19"/>
    <w:rsid w:val="00B1157C"/>
    <w:rsid w:val="00B1501F"/>
    <w:rsid w:val="00B26710"/>
    <w:rsid w:val="00B26B3C"/>
    <w:rsid w:val="00B30179"/>
    <w:rsid w:val="00B3317B"/>
    <w:rsid w:val="00B41384"/>
    <w:rsid w:val="00B4398E"/>
    <w:rsid w:val="00B5392B"/>
    <w:rsid w:val="00B65556"/>
    <w:rsid w:val="00B71E2B"/>
    <w:rsid w:val="00B73DA8"/>
    <w:rsid w:val="00B74F7C"/>
    <w:rsid w:val="00B75E05"/>
    <w:rsid w:val="00B81E12"/>
    <w:rsid w:val="00B84AAC"/>
    <w:rsid w:val="00B90F54"/>
    <w:rsid w:val="00B91CC3"/>
    <w:rsid w:val="00B92A0C"/>
    <w:rsid w:val="00B93068"/>
    <w:rsid w:val="00BB0319"/>
    <w:rsid w:val="00BB176D"/>
    <w:rsid w:val="00BB3B28"/>
    <w:rsid w:val="00BC0C09"/>
    <w:rsid w:val="00BC74E9"/>
    <w:rsid w:val="00BD109F"/>
    <w:rsid w:val="00BE1FF8"/>
    <w:rsid w:val="00BE50CA"/>
    <w:rsid w:val="00BE618E"/>
    <w:rsid w:val="00C0263F"/>
    <w:rsid w:val="00C03B44"/>
    <w:rsid w:val="00C12A54"/>
    <w:rsid w:val="00C13A85"/>
    <w:rsid w:val="00C218A4"/>
    <w:rsid w:val="00C36D37"/>
    <w:rsid w:val="00C41418"/>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0A82"/>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D764B"/>
    <w:rsid w:val="00DE236F"/>
    <w:rsid w:val="00DE3ECB"/>
    <w:rsid w:val="00DE4785"/>
    <w:rsid w:val="00DE7267"/>
    <w:rsid w:val="00DF0A4D"/>
    <w:rsid w:val="00DF1F73"/>
    <w:rsid w:val="00DF3039"/>
    <w:rsid w:val="00DF3A04"/>
    <w:rsid w:val="00DF4518"/>
    <w:rsid w:val="00E01324"/>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613A"/>
    <w:rsid w:val="00E7260F"/>
    <w:rsid w:val="00E730D8"/>
    <w:rsid w:val="00E73EB3"/>
    <w:rsid w:val="00E81230"/>
    <w:rsid w:val="00E8535A"/>
    <w:rsid w:val="00E864BE"/>
    <w:rsid w:val="00E90647"/>
    <w:rsid w:val="00E96630"/>
    <w:rsid w:val="00EA0364"/>
    <w:rsid w:val="00EA48C4"/>
    <w:rsid w:val="00EA772F"/>
    <w:rsid w:val="00EB2AE3"/>
    <w:rsid w:val="00EB2BD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6AD2"/>
    <w:rsid w:val="00F07537"/>
    <w:rsid w:val="00F075EF"/>
    <w:rsid w:val="00F07E12"/>
    <w:rsid w:val="00F1200D"/>
    <w:rsid w:val="00F21360"/>
    <w:rsid w:val="00F30A8A"/>
    <w:rsid w:val="00F34267"/>
    <w:rsid w:val="00F3574D"/>
    <w:rsid w:val="00F40295"/>
    <w:rsid w:val="00F40E75"/>
    <w:rsid w:val="00F412D3"/>
    <w:rsid w:val="00F444E3"/>
    <w:rsid w:val="00F5039C"/>
    <w:rsid w:val="00F5087E"/>
    <w:rsid w:val="00F51BAB"/>
    <w:rsid w:val="00F535BE"/>
    <w:rsid w:val="00F54674"/>
    <w:rsid w:val="00F64C95"/>
    <w:rsid w:val="00F72514"/>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 w:type="paragraph" w:customStyle="1" w:styleId="p2">
    <w:name w:val="p2"/>
    <w:basedOn w:val="Normal"/>
    <w:rsid w:val="00A64812"/>
    <w:pPr>
      <w:suppressAutoHyphens w:val="0"/>
      <w:spacing w:line="240" w:lineRule="auto"/>
    </w:pPr>
    <w:rPr>
      <w:rFonts w:ascii=".SF UI Text" w:eastAsiaTheme="minorHAnsi" w:hAnsi=".SF UI Text"/>
      <w:color w:val="454545"/>
      <w:sz w:val="29"/>
      <w:szCs w:val="29"/>
      <w:lang w:val="en-US"/>
    </w:rPr>
  </w:style>
  <w:style w:type="paragraph" w:customStyle="1" w:styleId="p1">
    <w:name w:val="p1"/>
    <w:basedOn w:val="Normal"/>
    <w:rsid w:val="00A64812"/>
    <w:pPr>
      <w:suppressAutoHyphens w:val="0"/>
      <w:spacing w:line="240" w:lineRule="auto"/>
    </w:pPr>
    <w:rPr>
      <w:rFonts w:ascii=".SF UI Text" w:eastAsiaTheme="minorHAnsi" w:hAnsi=".SF UI Text"/>
      <w:color w:val="454545"/>
      <w:sz w:val="29"/>
      <w:szCs w:val="29"/>
      <w:lang w:val="en-US"/>
    </w:rPr>
  </w:style>
  <w:style w:type="character" w:customStyle="1" w:styleId="s1">
    <w:name w:val="s1"/>
    <w:basedOn w:val="DefaultParagraphFont"/>
    <w:rsid w:val="00A64812"/>
    <w:rPr>
      <w:rFonts w:ascii=".SFUIText-Regular" w:hAnsi=".SFUIText-Regular" w:hint="default"/>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eading5Char">
    <w:name w:val="Heading 5 Char"/>
    <w:link w:val="Heading5"/>
    <w:rsid w:val="00094407"/>
    <w:rPr>
      <w:lang w:eastAsia="en-US"/>
    </w:rPr>
  </w:style>
  <w:style w:type="character" w:customStyle="1" w:styleId="EndnoteTextChar">
    <w:name w:val="Endnote Text Char"/>
    <w:aliases w:val="2_G Char"/>
    <w:link w:val="EndnoteText"/>
    <w:rsid w:val="00094407"/>
    <w:rPr>
      <w:sz w:val="18"/>
      <w:lang w:val="x-none" w:eastAsia="en-US"/>
    </w:rPr>
  </w:style>
  <w:style w:type="paragraph" w:customStyle="1" w:styleId="a">
    <w:name w:val="–"/>
    <w:semiHidden/>
    <w:rsid w:val="00094407"/>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09440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094407"/>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09440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094407"/>
    <w:rPr>
      <w:lang w:eastAsia="en-US"/>
    </w:rPr>
  </w:style>
  <w:style w:type="character" w:customStyle="1" w:styleId="H1GChar">
    <w:name w:val="_ H_1_G Char"/>
    <w:link w:val="H1G"/>
    <w:rsid w:val="003B3592"/>
    <w:rPr>
      <w:b/>
      <w:sz w:val="24"/>
      <w:lang w:eastAsia="en-US"/>
    </w:rPr>
  </w:style>
  <w:style w:type="paragraph" w:customStyle="1" w:styleId="p2">
    <w:name w:val="p2"/>
    <w:basedOn w:val="Normal"/>
    <w:rsid w:val="00A64812"/>
    <w:pPr>
      <w:suppressAutoHyphens w:val="0"/>
      <w:spacing w:line="240" w:lineRule="auto"/>
    </w:pPr>
    <w:rPr>
      <w:rFonts w:ascii=".SF UI Text" w:eastAsiaTheme="minorHAnsi" w:hAnsi=".SF UI Text"/>
      <w:color w:val="454545"/>
      <w:sz w:val="29"/>
      <w:szCs w:val="29"/>
      <w:lang w:val="en-US"/>
    </w:rPr>
  </w:style>
  <w:style w:type="paragraph" w:customStyle="1" w:styleId="p1">
    <w:name w:val="p1"/>
    <w:basedOn w:val="Normal"/>
    <w:rsid w:val="00A64812"/>
    <w:pPr>
      <w:suppressAutoHyphens w:val="0"/>
      <w:spacing w:line="240" w:lineRule="auto"/>
    </w:pPr>
    <w:rPr>
      <w:rFonts w:ascii=".SF UI Text" w:eastAsiaTheme="minorHAnsi" w:hAnsi=".SF UI Text"/>
      <w:color w:val="454545"/>
      <w:sz w:val="29"/>
      <w:szCs w:val="29"/>
      <w:lang w:val="en-US"/>
    </w:rPr>
  </w:style>
  <w:style w:type="character" w:customStyle="1" w:styleId="s1">
    <w:name w:val="s1"/>
    <w:basedOn w:val="DefaultParagraphFont"/>
    <w:rsid w:val="00A64812"/>
    <w:rPr>
      <w:rFonts w:ascii=".SFUIText-Regular" w:hAnsi=".SFUIText-Regular"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AA20-29CD-488C-AC75-13877FAF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2016-06-29T07:11:00Z</cp:lastPrinted>
  <dcterms:created xsi:type="dcterms:W3CDTF">2016-06-29T07:12:00Z</dcterms:created>
  <dcterms:modified xsi:type="dcterms:W3CDTF">2016-06-29T07:12:00Z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