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6D" w:rsidRPr="00912CD3" w:rsidRDefault="00A0676D" w:rsidP="00A0676D">
      <w:pPr>
        <w:spacing w:line="240" w:lineRule="auto"/>
        <w:rPr>
          <w:sz w:val="2"/>
          <w:lang w:val="fr-CH"/>
        </w:rPr>
        <w:sectPr w:rsidR="00A0676D" w:rsidRPr="00912CD3" w:rsidSect="00A0676D">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A0676D" w:rsidRPr="00912CD3" w:rsidRDefault="00A0676D" w:rsidP="00E96E1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12CD3">
        <w:rPr>
          <w:lang w:val="fr-CH"/>
        </w:rPr>
        <w:lastRenderedPageBreak/>
        <w:t>Commission économique pour l’Europe</w:t>
      </w:r>
    </w:p>
    <w:p w:rsidR="00E96E1D" w:rsidRPr="00912CD3" w:rsidRDefault="00E96E1D" w:rsidP="00E96E1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A0676D" w:rsidRPr="00912CD3" w:rsidRDefault="00A0676D" w:rsidP="00E96E1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912CD3">
        <w:rPr>
          <w:b w:val="0"/>
          <w:bCs/>
          <w:lang w:val="fr-CH"/>
        </w:rPr>
        <w:t>Comité des transports intérieurs</w:t>
      </w:r>
    </w:p>
    <w:p w:rsidR="00E96E1D" w:rsidRPr="00912CD3" w:rsidRDefault="00E96E1D" w:rsidP="00E96E1D">
      <w:pPr>
        <w:pStyle w:val="H1"/>
        <w:spacing w:line="120" w:lineRule="exact"/>
        <w:rPr>
          <w:sz w:val="10"/>
          <w:lang w:val="fr-CH"/>
        </w:rPr>
      </w:pPr>
    </w:p>
    <w:p w:rsidR="00E96E1D" w:rsidRPr="00912CD3" w:rsidRDefault="00E96E1D" w:rsidP="00E96E1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12CD3">
        <w:rPr>
          <w:lang w:val="fr-CH"/>
        </w:rPr>
        <w:t xml:space="preserve">Groupe de travail des transports </w:t>
      </w:r>
      <w:r w:rsidRPr="00912CD3">
        <w:rPr>
          <w:lang w:val="fr-CH"/>
        </w:rPr>
        <w:br/>
        <w:t>de marchandises dangereuses</w:t>
      </w:r>
    </w:p>
    <w:p w:rsidR="00E96E1D" w:rsidRPr="00912CD3" w:rsidRDefault="00E96E1D" w:rsidP="00E96E1D">
      <w:pPr>
        <w:pStyle w:val="H1"/>
        <w:spacing w:line="120" w:lineRule="exact"/>
        <w:rPr>
          <w:sz w:val="10"/>
          <w:lang w:val="fr-CH"/>
        </w:rPr>
      </w:pPr>
    </w:p>
    <w:p w:rsidR="00E96E1D" w:rsidRPr="00912CD3" w:rsidRDefault="00E96E1D" w:rsidP="008C292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12CD3">
        <w:rPr>
          <w:lang w:val="fr-CH"/>
        </w:rPr>
        <w:t xml:space="preserve">Réunion commune de la Commission d’experts </w:t>
      </w:r>
      <w:r w:rsidR="008C2924">
        <w:rPr>
          <w:lang w:val="fr-CH"/>
        </w:rPr>
        <w:br/>
      </w:r>
      <w:r w:rsidRPr="00912CD3">
        <w:rPr>
          <w:lang w:val="fr-CH"/>
        </w:rPr>
        <w:t xml:space="preserve">du RID et du Groupe de travail des transports </w:t>
      </w:r>
      <w:r w:rsidR="008C2924">
        <w:rPr>
          <w:lang w:val="fr-CH"/>
        </w:rPr>
        <w:br/>
      </w:r>
      <w:r w:rsidRPr="00912CD3">
        <w:rPr>
          <w:lang w:val="fr-CH"/>
        </w:rPr>
        <w:t>de marchandises dangereuses</w:t>
      </w:r>
    </w:p>
    <w:p w:rsidR="00E96E1D" w:rsidRPr="00912CD3" w:rsidRDefault="00E96E1D" w:rsidP="00E96E1D">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12CD3">
        <w:rPr>
          <w:lang w:val="fr-CH"/>
        </w:rPr>
        <w:t>Berne</w:t>
      </w:r>
      <w:r w:rsidR="00912CD3">
        <w:rPr>
          <w:lang w:val="fr-CH"/>
        </w:rPr>
        <w:t>, 14-</w:t>
      </w:r>
      <w:r w:rsidRPr="00912CD3">
        <w:rPr>
          <w:lang w:val="fr-CH"/>
        </w:rPr>
        <w:t>18 mars 2016</w:t>
      </w:r>
    </w:p>
    <w:p w:rsidR="00E96E1D" w:rsidRPr="00912CD3" w:rsidRDefault="00E96E1D" w:rsidP="00E96E1D">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12CD3">
        <w:rPr>
          <w:lang w:val="fr-CH"/>
        </w:rPr>
        <w:t>Point 2 de l’ordre du jour provisoire</w:t>
      </w:r>
    </w:p>
    <w:p w:rsidR="00E96E1D" w:rsidRPr="00912CD3" w:rsidRDefault="00E96E1D" w:rsidP="00E96E1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12CD3">
        <w:rPr>
          <w:lang w:val="fr-CH"/>
        </w:rPr>
        <w:t>Citernes</w:t>
      </w:r>
    </w:p>
    <w:p w:rsidR="00A0676D" w:rsidRPr="00912CD3" w:rsidRDefault="00A0676D" w:rsidP="00E96E1D">
      <w:pPr>
        <w:pStyle w:val="H1"/>
        <w:spacing w:line="120" w:lineRule="exact"/>
        <w:rPr>
          <w:b w:val="0"/>
          <w:sz w:val="10"/>
          <w:lang w:val="fr-CH"/>
        </w:rPr>
      </w:pPr>
    </w:p>
    <w:p w:rsidR="00E96E1D" w:rsidRPr="00912CD3" w:rsidRDefault="00E96E1D" w:rsidP="00E96E1D">
      <w:pPr>
        <w:spacing w:line="120" w:lineRule="exact"/>
        <w:rPr>
          <w:sz w:val="10"/>
          <w:lang w:val="fr-CH"/>
        </w:rPr>
      </w:pPr>
    </w:p>
    <w:p w:rsidR="00E96E1D" w:rsidRPr="00912CD3" w:rsidRDefault="00E96E1D" w:rsidP="00E96E1D">
      <w:pPr>
        <w:spacing w:line="120" w:lineRule="exact"/>
        <w:rPr>
          <w:sz w:val="10"/>
          <w:lang w:val="fr-CH"/>
        </w:rPr>
      </w:pPr>
    </w:p>
    <w:p w:rsidR="00E96E1D" w:rsidRPr="00912CD3" w:rsidRDefault="00E96E1D" w:rsidP="00E96E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12CD3">
        <w:rPr>
          <w:lang w:val="fr-CH"/>
        </w:rPr>
        <w:tab/>
      </w:r>
      <w:r w:rsidRPr="00912CD3">
        <w:rPr>
          <w:lang w:val="fr-CH"/>
        </w:rPr>
        <w:tab/>
        <w:t xml:space="preserve">Proposition d’amendement pour les CGEM </w:t>
      </w:r>
      <w:r w:rsidRPr="00912CD3">
        <w:rPr>
          <w:lang w:val="fr-CH"/>
        </w:rPr>
        <w:br/>
        <w:t>et conteneurs-citernes dans le chapitre 6.8</w:t>
      </w:r>
    </w:p>
    <w:p w:rsidR="00E96E1D" w:rsidRPr="00912CD3" w:rsidRDefault="00E96E1D" w:rsidP="00E96E1D">
      <w:pPr>
        <w:pStyle w:val="SingleTxt"/>
        <w:spacing w:after="0" w:line="120" w:lineRule="exact"/>
        <w:rPr>
          <w:b/>
          <w:sz w:val="10"/>
          <w:lang w:val="fr-CH"/>
        </w:rPr>
      </w:pPr>
    </w:p>
    <w:p w:rsidR="00E96E1D" w:rsidRPr="00912CD3" w:rsidRDefault="00E96E1D" w:rsidP="00E96E1D">
      <w:pPr>
        <w:pStyle w:val="SingleTxt"/>
        <w:spacing w:after="0" w:line="120" w:lineRule="exact"/>
        <w:rPr>
          <w:b/>
          <w:sz w:val="10"/>
          <w:lang w:val="fr-CH"/>
        </w:rPr>
      </w:pPr>
    </w:p>
    <w:p w:rsidR="00E96E1D" w:rsidRPr="00912CD3" w:rsidRDefault="00E96E1D" w:rsidP="00E96E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12CD3">
        <w:rPr>
          <w:lang w:val="fr-CH"/>
        </w:rPr>
        <w:tab/>
      </w:r>
      <w:r w:rsidRPr="00912CD3">
        <w:rPr>
          <w:lang w:val="fr-CH"/>
        </w:rPr>
        <w:tab/>
        <w:t xml:space="preserve">Communication du </w:t>
      </w:r>
      <w:r w:rsidR="008C2924" w:rsidRPr="00912CD3">
        <w:rPr>
          <w:lang w:val="fr-CH"/>
        </w:rPr>
        <w:t xml:space="preserve">Gouvernement </w:t>
      </w:r>
      <w:r w:rsidRPr="00912CD3">
        <w:rPr>
          <w:lang w:val="fr-CH"/>
        </w:rPr>
        <w:t>de la Norvège</w:t>
      </w:r>
      <w:r w:rsidRPr="00912CD3">
        <w:rPr>
          <w:rStyle w:val="FootnoteReference"/>
          <w:b w:val="0"/>
          <w:bCs/>
          <w:sz w:val="20"/>
          <w:szCs w:val="20"/>
          <w:lang w:val="fr-CH"/>
        </w:rPr>
        <w:footnoteReference w:id="1"/>
      </w:r>
      <w:r w:rsidRPr="00912CD3">
        <w:rPr>
          <w:b w:val="0"/>
          <w:bCs/>
          <w:sz w:val="20"/>
          <w:szCs w:val="20"/>
          <w:vertAlign w:val="superscript"/>
          <w:lang w:val="fr-CH"/>
        </w:rPr>
        <w:t>, </w:t>
      </w:r>
      <w:r w:rsidRPr="00912CD3">
        <w:rPr>
          <w:rStyle w:val="FootnoteReference"/>
          <w:b w:val="0"/>
          <w:bCs/>
          <w:sz w:val="20"/>
          <w:szCs w:val="20"/>
          <w:lang w:val="fr-CH"/>
        </w:rPr>
        <w:footnoteReference w:id="2"/>
      </w:r>
    </w:p>
    <w:p w:rsidR="00E96E1D" w:rsidRPr="00912CD3" w:rsidRDefault="00E96E1D" w:rsidP="00E96E1D">
      <w:pPr>
        <w:pStyle w:val="SingleTxt"/>
        <w:spacing w:after="0" w:line="120" w:lineRule="exact"/>
        <w:rPr>
          <w:b/>
          <w:sz w:val="10"/>
          <w:lang w:val="fr-CH"/>
        </w:rPr>
      </w:pPr>
    </w:p>
    <w:p w:rsidR="00E96E1D" w:rsidRPr="00912CD3" w:rsidRDefault="00E96E1D" w:rsidP="00E96E1D">
      <w:pPr>
        <w:pStyle w:val="SingleTxt"/>
        <w:spacing w:after="0" w:line="120" w:lineRule="exact"/>
        <w:rPr>
          <w:b/>
          <w:sz w:val="10"/>
          <w:lang w:val="fr-CH"/>
        </w:rPr>
      </w:pPr>
    </w:p>
    <w:p w:rsidR="00E96E1D" w:rsidRPr="00912CD3" w:rsidRDefault="00E96E1D" w:rsidP="00E96E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12CD3">
        <w:rPr>
          <w:lang w:val="fr-CH"/>
        </w:rPr>
        <w:tab/>
      </w:r>
      <w:r w:rsidRPr="00912CD3">
        <w:rPr>
          <w:lang w:val="fr-CH"/>
        </w:rPr>
        <w:tab/>
        <w:t>Introduction</w:t>
      </w:r>
    </w:p>
    <w:p w:rsidR="00E96E1D" w:rsidRPr="00912CD3" w:rsidRDefault="00E96E1D" w:rsidP="00E96E1D">
      <w:pPr>
        <w:pStyle w:val="SingleTxt"/>
        <w:spacing w:after="0" w:line="120" w:lineRule="exact"/>
        <w:rPr>
          <w:sz w:val="10"/>
          <w:lang w:val="fr-CH"/>
        </w:rPr>
      </w:pPr>
    </w:p>
    <w:p w:rsidR="00E96E1D" w:rsidRPr="00912CD3" w:rsidRDefault="00E96E1D" w:rsidP="00E96E1D">
      <w:pPr>
        <w:pStyle w:val="SingleTxt"/>
        <w:spacing w:after="0" w:line="120" w:lineRule="exact"/>
        <w:rPr>
          <w:sz w:val="10"/>
          <w:lang w:val="fr-CH"/>
        </w:rPr>
      </w:pPr>
    </w:p>
    <w:p w:rsidR="00E96E1D" w:rsidRPr="00912CD3" w:rsidRDefault="00E96E1D" w:rsidP="00E96E1D">
      <w:pPr>
        <w:pStyle w:val="SingleTxt"/>
        <w:numPr>
          <w:ilvl w:val="0"/>
          <w:numId w:val="6"/>
        </w:numPr>
        <w:tabs>
          <w:tab w:val="clear" w:pos="475"/>
          <w:tab w:val="num" w:pos="1742"/>
        </w:tabs>
        <w:ind w:left="1267"/>
        <w:rPr>
          <w:lang w:val="fr-CH"/>
        </w:rPr>
      </w:pPr>
      <w:r w:rsidRPr="00912CD3">
        <w:rPr>
          <w:lang w:val="fr-CH"/>
        </w:rPr>
        <w:t xml:space="preserve">Lors de la dernière Réunion commune RID/ADR/ADN, en septembre 2015, la Norvège a posé quelques questions au Groupe de travail sur les citernes concernant les CGEM transportés sur des véhicules équipés d’un bras de levage hydraulique à crochet (ECE/TRANS/WP.15/AC.1/2015/39). Les prescriptions relatives aux moyens de fixation du CGEM (chap. 6.8) et celles qui portent sur les moyens de fixation du véhicule (sect. 9.7.3) ont fait l’objet de discussions. Les CGEM n’ont pas semblés être couverts de manière adéquate, ni dans le chapitre 6.8 de l’ADR/RID ni dans le chapitre 9.7 de l’ADR. La Norvège s’est portée volontaire, avec l’aide de l’Association européenne des gaz industriels (EIGA), pour présenter ultérieurement une proposition visant à résoudre ces difficultés (voir les paragraphes 18 à 24 du document </w:t>
      </w:r>
      <w:r w:rsidRPr="00912CD3">
        <w:rPr>
          <w:bCs/>
          <w:lang w:val="fr-CH"/>
        </w:rPr>
        <w:t>ECE/TRANS/WP.15/AC.1/140/Add.2</w:t>
      </w:r>
      <w:r w:rsidRPr="00912CD3">
        <w:rPr>
          <w:lang w:val="fr-CH"/>
        </w:rPr>
        <w:t>).</w:t>
      </w:r>
    </w:p>
    <w:p w:rsidR="00E96E1D" w:rsidRPr="00912CD3" w:rsidRDefault="00E96E1D" w:rsidP="00E96E1D">
      <w:pPr>
        <w:pStyle w:val="SingleTxt"/>
        <w:spacing w:after="0" w:line="120" w:lineRule="exact"/>
        <w:rPr>
          <w:b/>
          <w:sz w:val="10"/>
          <w:lang w:val="fr-CH"/>
        </w:rPr>
      </w:pPr>
    </w:p>
    <w:p w:rsidR="00E96E1D" w:rsidRPr="00912CD3" w:rsidRDefault="00E96E1D" w:rsidP="00E96E1D">
      <w:pPr>
        <w:pStyle w:val="SingleTxt"/>
        <w:spacing w:after="0" w:line="120" w:lineRule="exact"/>
        <w:rPr>
          <w:b/>
          <w:sz w:val="10"/>
          <w:lang w:val="fr-CH"/>
        </w:rPr>
      </w:pPr>
    </w:p>
    <w:p w:rsidR="00E96E1D" w:rsidRPr="00912CD3" w:rsidRDefault="00E96E1D" w:rsidP="00E96E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12CD3">
        <w:rPr>
          <w:lang w:val="fr-CH"/>
        </w:rPr>
        <w:tab/>
      </w:r>
      <w:r w:rsidRPr="00912CD3">
        <w:rPr>
          <w:lang w:val="fr-CH"/>
        </w:rPr>
        <w:tab/>
        <w:t>Discussion</w:t>
      </w:r>
    </w:p>
    <w:p w:rsidR="00E96E1D" w:rsidRPr="00912CD3" w:rsidRDefault="00E96E1D" w:rsidP="00E96E1D">
      <w:pPr>
        <w:pStyle w:val="SingleTxt"/>
        <w:spacing w:after="0" w:line="120" w:lineRule="exact"/>
        <w:rPr>
          <w:sz w:val="10"/>
          <w:lang w:val="fr-CH"/>
        </w:rPr>
      </w:pPr>
    </w:p>
    <w:p w:rsidR="00E96E1D" w:rsidRPr="00912CD3" w:rsidRDefault="00E96E1D" w:rsidP="00E96E1D">
      <w:pPr>
        <w:pStyle w:val="SingleTxt"/>
        <w:spacing w:after="0" w:line="120" w:lineRule="exact"/>
        <w:rPr>
          <w:sz w:val="10"/>
          <w:lang w:val="fr-CH"/>
        </w:rPr>
      </w:pPr>
    </w:p>
    <w:p w:rsidR="00E96E1D" w:rsidRPr="00912CD3" w:rsidRDefault="00E96E1D" w:rsidP="00E96E1D">
      <w:pPr>
        <w:pStyle w:val="SingleTxt"/>
        <w:numPr>
          <w:ilvl w:val="0"/>
          <w:numId w:val="6"/>
        </w:numPr>
        <w:tabs>
          <w:tab w:val="clear" w:pos="475"/>
          <w:tab w:val="num" w:pos="1742"/>
        </w:tabs>
        <w:ind w:left="1267"/>
        <w:rPr>
          <w:lang w:val="fr-CH"/>
        </w:rPr>
      </w:pPr>
      <w:r w:rsidRPr="00912CD3">
        <w:rPr>
          <w:lang w:val="fr-CH"/>
        </w:rPr>
        <w:t xml:space="preserve">La section 6.8.2 du RID/ADR énumère les prescriptions applicables aux citernes fixes (véhicules-citernes/wagons-citernes), aux conteneurs-citernes et aux caisses </w:t>
      </w:r>
      <w:r w:rsidRPr="00912CD3">
        <w:rPr>
          <w:lang w:val="fr-CH"/>
        </w:rPr>
        <w:lastRenderedPageBreak/>
        <w:t>mobiles citernes destinés au transport des matières de toutes les classes, ainsi qu’aux véhicules-batteries/wagons-batteries et</w:t>
      </w:r>
      <w:r w:rsidR="008C2924">
        <w:rPr>
          <w:lang w:val="fr-CH"/>
        </w:rPr>
        <w:t xml:space="preserve"> CGEM pour les gaz de la classe </w:t>
      </w:r>
      <w:r w:rsidRPr="00912CD3">
        <w:rPr>
          <w:lang w:val="fr-CH"/>
        </w:rPr>
        <w:t>2.</w:t>
      </w:r>
    </w:p>
    <w:p w:rsidR="00E96E1D" w:rsidRPr="00912CD3" w:rsidRDefault="00912CD3" w:rsidP="00912CD3">
      <w:pPr>
        <w:pStyle w:val="SingleTxt"/>
        <w:numPr>
          <w:ilvl w:val="0"/>
          <w:numId w:val="6"/>
        </w:numPr>
        <w:tabs>
          <w:tab w:val="clear" w:pos="475"/>
          <w:tab w:val="num" w:pos="1742"/>
        </w:tabs>
        <w:ind w:left="1267"/>
        <w:rPr>
          <w:lang w:val="fr-CH"/>
        </w:rPr>
      </w:pPr>
      <w:r>
        <w:rPr>
          <w:lang w:val="fr-CH"/>
        </w:rPr>
        <w:t>Les sections </w:t>
      </w:r>
      <w:r w:rsidR="00E96E1D" w:rsidRPr="00912CD3">
        <w:rPr>
          <w:lang w:val="fr-CH"/>
        </w:rPr>
        <w:t xml:space="preserve">6.8.3 à 6.8.5 contiennent des prescriptions particulières complétant ou modifiant </w:t>
      </w:r>
      <w:r>
        <w:rPr>
          <w:lang w:val="fr-CH"/>
        </w:rPr>
        <w:t>les prescriptions de la section </w:t>
      </w:r>
      <w:r w:rsidR="00E96E1D" w:rsidRPr="00912CD3">
        <w:rPr>
          <w:lang w:val="fr-CH"/>
        </w:rPr>
        <w:t>6.8.2. En ce qui concerne les véhicules-batteries/wagons-batteries et les CGEM, c’est surtout</w:t>
      </w:r>
      <w:r>
        <w:rPr>
          <w:lang w:val="fr-CH"/>
        </w:rPr>
        <w:t xml:space="preserve"> la section </w:t>
      </w:r>
      <w:r w:rsidR="00E96E1D" w:rsidRPr="00912CD3">
        <w:rPr>
          <w:lang w:val="fr-CH"/>
        </w:rPr>
        <w:t xml:space="preserve">6.8.3 qui s’applique. </w:t>
      </w:r>
    </w:p>
    <w:p w:rsidR="00E96E1D" w:rsidRPr="00912CD3" w:rsidRDefault="00E96E1D" w:rsidP="00912CD3">
      <w:pPr>
        <w:pStyle w:val="SingleTxt"/>
        <w:numPr>
          <w:ilvl w:val="0"/>
          <w:numId w:val="6"/>
        </w:numPr>
        <w:tabs>
          <w:tab w:val="clear" w:pos="475"/>
          <w:tab w:val="num" w:pos="1742"/>
        </w:tabs>
        <w:ind w:left="1267"/>
        <w:rPr>
          <w:lang w:val="fr-CH"/>
        </w:rPr>
      </w:pPr>
      <w:r w:rsidRPr="00912CD3">
        <w:rPr>
          <w:lang w:val="fr-CH"/>
        </w:rPr>
        <w:t>Le paragraphe</w:t>
      </w:r>
      <w:r w:rsidR="00912CD3">
        <w:rPr>
          <w:lang w:val="fr-CH"/>
        </w:rPr>
        <w:t> </w:t>
      </w:r>
      <w:r w:rsidRPr="00912CD3">
        <w:rPr>
          <w:lang w:val="fr-CH"/>
        </w:rPr>
        <w:t>6.8.3.1, qui concerne la construction des véhicules-batteries/wagons-batteries et des CGEM, précise que leurs éléments et moyens de fixation doivent pouvoir absorber, dans les conditions du chargement maximal autorisé, le</w:t>
      </w:r>
      <w:r w:rsidR="00912CD3">
        <w:rPr>
          <w:lang w:val="fr-CH"/>
        </w:rPr>
        <w:t>s forces définies au paragraphe </w:t>
      </w:r>
      <w:r w:rsidRPr="00912CD3">
        <w:rPr>
          <w:lang w:val="fr-CH"/>
        </w:rPr>
        <w:t xml:space="preserve">6.8.2.1.2. </w:t>
      </w:r>
    </w:p>
    <w:p w:rsidR="00E96E1D" w:rsidRPr="00912CD3" w:rsidRDefault="00E96E1D" w:rsidP="0029773E">
      <w:pPr>
        <w:pStyle w:val="SingleTxt"/>
        <w:rPr>
          <w:lang w:val="fr-CH"/>
        </w:rPr>
      </w:pPr>
      <w:r w:rsidRPr="00912CD3">
        <w:rPr>
          <w:lang w:val="fr-CH"/>
        </w:rPr>
        <w:t xml:space="preserve">Ni le paragraphe 6.8.3.1 ni le 6.8.2.1.2 ne portent sur la structure et les moyens de fixation des CGEM ou des véhicules-batteries/wagons-batteries. </w:t>
      </w:r>
    </w:p>
    <w:p w:rsidR="00E96E1D" w:rsidRPr="00912CD3" w:rsidRDefault="00E96E1D" w:rsidP="0029773E">
      <w:pPr>
        <w:pStyle w:val="SingleTxt"/>
        <w:numPr>
          <w:ilvl w:val="0"/>
          <w:numId w:val="6"/>
        </w:numPr>
        <w:tabs>
          <w:tab w:val="clear" w:pos="475"/>
          <w:tab w:val="num" w:pos="1742"/>
        </w:tabs>
        <w:ind w:left="1267"/>
        <w:rPr>
          <w:lang w:val="fr-CH"/>
        </w:rPr>
      </w:pPr>
      <w:r w:rsidRPr="00912CD3">
        <w:rPr>
          <w:lang w:val="fr-CH"/>
        </w:rPr>
        <w:t xml:space="preserve">S’agissant des conteneurs à gaz à éléments multiples (CGEM) </w:t>
      </w:r>
      <w:r w:rsidR="0029773E">
        <w:rPr>
          <w:lang w:val="fr-CH"/>
        </w:rPr>
        <w:t>« </w:t>
      </w:r>
      <w:r w:rsidRPr="00912CD3">
        <w:rPr>
          <w:lang w:val="fr-CH"/>
        </w:rPr>
        <w:t>UN</w:t>
      </w:r>
      <w:r w:rsidR="0029773E">
        <w:rPr>
          <w:lang w:val="fr-CH"/>
        </w:rPr>
        <w:t> »</w:t>
      </w:r>
      <w:r w:rsidRPr="00912CD3">
        <w:rPr>
          <w:lang w:val="fr-CH"/>
        </w:rPr>
        <w:t xml:space="preserve"> les prescriptions suivantes se trouvent au paragraphe 6.7.5.2.8 de l’ADR/RID</w:t>
      </w:r>
      <w:r w:rsidR="00912CD3">
        <w:rPr>
          <w:lang w:val="fr-CH"/>
        </w:rPr>
        <w:t> </w:t>
      </w:r>
      <w:r w:rsidRPr="00912CD3">
        <w:rPr>
          <w:lang w:val="fr-CH"/>
        </w:rPr>
        <w:t xml:space="preserve">: </w:t>
      </w:r>
    </w:p>
    <w:p w:rsidR="00E96E1D" w:rsidRPr="00912CD3" w:rsidRDefault="00E96E1D" w:rsidP="0029773E">
      <w:pPr>
        <w:pStyle w:val="SingleTxt"/>
        <w:rPr>
          <w:lang w:val="fr-CH"/>
        </w:rPr>
      </w:pPr>
      <w:r w:rsidRPr="00912CD3">
        <w:rPr>
          <w:lang w:val="fr-CH"/>
        </w:rPr>
        <w:t>«</w:t>
      </w:r>
      <w:r w:rsidR="00912CD3">
        <w:rPr>
          <w:lang w:val="fr-CH"/>
        </w:rPr>
        <w:t> </w:t>
      </w:r>
      <w:r w:rsidRPr="00912CD3">
        <w:rPr>
          <w:lang w:val="fr-CH"/>
        </w:rPr>
        <w:t>Les CGEM et leurs moyens de fixation doivent pouvoir supporter, à la charge maximale autorisée, les forces statiques suivantes appliquées séparément</w:t>
      </w:r>
      <w:r w:rsidR="00912CD3">
        <w:rPr>
          <w:lang w:val="fr-CH"/>
        </w:rPr>
        <w:t> </w:t>
      </w:r>
      <w:r w:rsidRPr="00912CD3">
        <w:rPr>
          <w:lang w:val="fr-CH"/>
        </w:rPr>
        <w:t>:</w:t>
      </w:r>
    </w:p>
    <w:p w:rsidR="00E96E1D" w:rsidRPr="00912CD3" w:rsidRDefault="00912CD3" w:rsidP="0029773E">
      <w:pPr>
        <w:pStyle w:val="SingleTxt"/>
        <w:rPr>
          <w:lang w:val="fr-CH"/>
        </w:rPr>
      </w:pPr>
      <w:r>
        <w:rPr>
          <w:lang w:val="fr-CH"/>
        </w:rPr>
        <w:tab/>
      </w:r>
      <w:r w:rsidR="00E96E1D" w:rsidRPr="00912CD3">
        <w:rPr>
          <w:lang w:val="fr-CH"/>
        </w:rPr>
        <w:t>a)</w:t>
      </w:r>
      <w:r w:rsidR="00E96E1D" w:rsidRPr="00912CD3">
        <w:rPr>
          <w:lang w:val="fr-CH"/>
        </w:rPr>
        <w:tab/>
      </w:r>
      <w:r w:rsidR="008C2924" w:rsidRPr="00912CD3">
        <w:rPr>
          <w:lang w:val="fr-CH"/>
        </w:rPr>
        <w:t xml:space="preserve">Dans </w:t>
      </w:r>
      <w:r w:rsidR="00E96E1D" w:rsidRPr="00912CD3">
        <w:rPr>
          <w:lang w:val="fr-CH"/>
        </w:rPr>
        <w:t>la direction de transport, deux fois la MBMA multipliée par l’accélération de la pesanteur (g</w:t>
      </w:r>
      <w:proofErr w:type="gramStart"/>
      <w:r w:rsidR="00E96E1D" w:rsidRPr="00912CD3">
        <w:rPr>
          <w:lang w:val="fr-CH"/>
        </w:rPr>
        <w:t>)</w:t>
      </w:r>
      <w:r w:rsidR="00E96E1D" w:rsidRPr="00912CD3">
        <w:rPr>
          <w:vertAlign w:val="superscript"/>
          <w:lang w:val="fr-CH"/>
        </w:rPr>
        <w:t>1</w:t>
      </w:r>
      <w:proofErr w:type="gramEnd"/>
      <w:r w:rsidR="00E96E1D" w:rsidRPr="00912CD3">
        <w:rPr>
          <w:lang w:val="fr-CH"/>
        </w:rPr>
        <w:t>;</w:t>
      </w:r>
    </w:p>
    <w:p w:rsidR="00E96E1D" w:rsidRPr="00912CD3" w:rsidRDefault="00912CD3" w:rsidP="0029773E">
      <w:pPr>
        <w:pStyle w:val="SingleTxt"/>
        <w:rPr>
          <w:lang w:val="fr-CH"/>
        </w:rPr>
      </w:pPr>
      <w:r>
        <w:rPr>
          <w:lang w:val="fr-CH"/>
        </w:rPr>
        <w:tab/>
      </w:r>
      <w:r w:rsidR="00E96E1D" w:rsidRPr="00912CD3">
        <w:rPr>
          <w:lang w:val="fr-CH"/>
        </w:rPr>
        <w:t>b)</w:t>
      </w:r>
      <w:r w:rsidR="00E96E1D" w:rsidRPr="00912CD3">
        <w:rPr>
          <w:lang w:val="fr-CH"/>
        </w:rPr>
        <w:tab/>
      </w:r>
      <w:r w:rsidR="008C2924" w:rsidRPr="00912CD3">
        <w:rPr>
          <w:lang w:val="fr-CH"/>
        </w:rPr>
        <w:t>Horizontalement</w:t>
      </w:r>
      <w:r w:rsidR="00E96E1D" w:rsidRPr="00912CD3">
        <w:rPr>
          <w:lang w:val="fr-CH"/>
        </w:rPr>
        <w:t>, perpendiculairement à la direction de transport, la MBMA (dans le cas où la direction de transport n’est pas clairement déterminée, les forces doivent être égales à deux fois la MBMA multipliée par l’accélération de la pesanteur (g</w:t>
      </w:r>
      <w:proofErr w:type="gramStart"/>
      <w:r w:rsidR="00E96E1D" w:rsidRPr="00912CD3">
        <w:rPr>
          <w:lang w:val="fr-CH"/>
        </w:rPr>
        <w:t>)</w:t>
      </w:r>
      <w:r w:rsidR="00E96E1D" w:rsidRPr="00912CD3">
        <w:rPr>
          <w:vertAlign w:val="superscript"/>
          <w:lang w:val="fr-CH"/>
        </w:rPr>
        <w:t>1</w:t>
      </w:r>
      <w:proofErr w:type="gramEnd"/>
      <w:r w:rsidR="00E96E1D" w:rsidRPr="00912CD3">
        <w:rPr>
          <w:lang w:val="fr-CH"/>
        </w:rPr>
        <w:t>;</w:t>
      </w:r>
    </w:p>
    <w:p w:rsidR="00E96E1D" w:rsidRPr="00912CD3" w:rsidRDefault="00912CD3" w:rsidP="0029773E">
      <w:pPr>
        <w:pStyle w:val="SingleTxt"/>
        <w:rPr>
          <w:lang w:val="fr-CH"/>
        </w:rPr>
      </w:pPr>
      <w:r>
        <w:rPr>
          <w:lang w:val="fr-CH"/>
        </w:rPr>
        <w:tab/>
      </w:r>
      <w:r w:rsidR="00E96E1D" w:rsidRPr="00912CD3">
        <w:rPr>
          <w:lang w:val="fr-CH"/>
        </w:rPr>
        <w:t>c)</w:t>
      </w:r>
      <w:r w:rsidR="00E96E1D" w:rsidRPr="00912CD3">
        <w:rPr>
          <w:lang w:val="fr-CH"/>
        </w:rPr>
        <w:tab/>
      </w:r>
      <w:r w:rsidR="008C2924" w:rsidRPr="00912CD3">
        <w:rPr>
          <w:lang w:val="fr-CH"/>
        </w:rPr>
        <w:t>Verticalement</w:t>
      </w:r>
      <w:r w:rsidR="00E96E1D" w:rsidRPr="00912CD3">
        <w:rPr>
          <w:lang w:val="fr-CH"/>
        </w:rPr>
        <w:t>, de bas en haut, deux fois la MBMA multipliée par l’accélération de la pesanteur (g</w:t>
      </w:r>
      <w:proofErr w:type="gramStart"/>
      <w:r w:rsidR="00E96E1D" w:rsidRPr="00912CD3">
        <w:rPr>
          <w:lang w:val="fr-CH"/>
        </w:rPr>
        <w:t>)</w:t>
      </w:r>
      <w:r w:rsidR="00E96E1D" w:rsidRPr="00912CD3">
        <w:rPr>
          <w:vertAlign w:val="superscript"/>
          <w:lang w:val="fr-CH"/>
        </w:rPr>
        <w:t>1</w:t>
      </w:r>
      <w:proofErr w:type="gramEnd"/>
      <w:r w:rsidR="00E96E1D" w:rsidRPr="00912CD3">
        <w:rPr>
          <w:lang w:val="fr-CH"/>
        </w:rPr>
        <w:t>; et</w:t>
      </w:r>
    </w:p>
    <w:p w:rsidR="00E96E1D" w:rsidRPr="00912CD3" w:rsidRDefault="00912CD3" w:rsidP="0029773E">
      <w:pPr>
        <w:pStyle w:val="SingleTxt"/>
        <w:rPr>
          <w:lang w:val="fr-CH"/>
        </w:rPr>
      </w:pPr>
      <w:r>
        <w:rPr>
          <w:lang w:val="fr-CH"/>
        </w:rPr>
        <w:tab/>
      </w:r>
      <w:r w:rsidR="00E96E1D" w:rsidRPr="00912CD3">
        <w:rPr>
          <w:lang w:val="fr-CH"/>
        </w:rPr>
        <w:t>d)</w:t>
      </w:r>
      <w:r w:rsidR="00E96E1D" w:rsidRPr="00912CD3">
        <w:rPr>
          <w:lang w:val="fr-CH"/>
        </w:rPr>
        <w:tab/>
      </w:r>
      <w:r w:rsidR="008C2924" w:rsidRPr="00912CD3">
        <w:rPr>
          <w:lang w:val="fr-CH"/>
        </w:rPr>
        <w:t>Verticalement</w:t>
      </w:r>
      <w:r w:rsidR="00E96E1D" w:rsidRPr="00912CD3">
        <w:rPr>
          <w:lang w:val="fr-CH"/>
        </w:rPr>
        <w:t>, de haut en bas, deux fois la MBMA (la force totale englobant l’effet de la gravité) multipliée par l’accélération de la pesanteur (g</w:t>
      </w:r>
      <w:proofErr w:type="gramStart"/>
      <w:r w:rsidR="00E96E1D" w:rsidRPr="00912CD3">
        <w:rPr>
          <w:lang w:val="fr-CH"/>
        </w:rPr>
        <w:t>)</w:t>
      </w:r>
      <w:r w:rsidR="00E96E1D" w:rsidRPr="00912CD3">
        <w:rPr>
          <w:vertAlign w:val="superscript"/>
          <w:lang w:val="fr-CH"/>
        </w:rPr>
        <w:t>1</w:t>
      </w:r>
      <w:proofErr w:type="gramEnd"/>
      <w:r w:rsidR="00E96E1D" w:rsidRPr="00912CD3">
        <w:rPr>
          <w:lang w:val="fr-CH"/>
        </w:rPr>
        <w:t>.</w:t>
      </w:r>
      <w:r>
        <w:rPr>
          <w:lang w:val="fr-CH"/>
        </w:rPr>
        <w:t> </w:t>
      </w:r>
      <w:r w:rsidR="00E96E1D" w:rsidRPr="00912CD3">
        <w:rPr>
          <w:lang w:val="fr-CH"/>
        </w:rPr>
        <w:t>».</w:t>
      </w:r>
    </w:p>
    <w:p w:rsidR="00E96E1D" w:rsidRPr="00912CD3" w:rsidRDefault="00E96E1D" w:rsidP="00912CD3">
      <w:pPr>
        <w:pStyle w:val="SingleTxt"/>
        <w:numPr>
          <w:ilvl w:val="0"/>
          <w:numId w:val="6"/>
        </w:numPr>
        <w:tabs>
          <w:tab w:val="clear" w:pos="475"/>
          <w:tab w:val="num" w:pos="1742"/>
        </w:tabs>
        <w:ind w:left="1267"/>
        <w:rPr>
          <w:lang w:val="fr-CH"/>
        </w:rPr>
      </w:pPr>
      <w:r w:rsidRPr="00912CD3">
        <w:rPr>
          <w:lang w:val="fr-CH"/>
        </w:rPr>
        <w:t>Sur la base de ce qui précède, nous proposons d’aligner les dispositions de l’ADR/RID sur le Règlement type de l’ONU en ce qui concerne les CGEM et leurs moyens de fixation. En outre, nous demandons à la Réunion commune d’envisager la possibilité d’inclure des prescriptions relatives aux véhicules-batteries/wagons-batteries dans le même paragraphe.</w:t>
      </w:r>
    </w:p>
    <w:p w:rsidR="00E96E1D" w:rsidRPr="00912CD3" w:rsidRDefault="00E96E1D" w:rsidP="00912CD3">
      <w:pPr>
        <w:pStyle w:val="SingleTxt"/>
        <w:numPr>
          <w:ilvl w:val="0"/>
          <w:numId w:val="6"/>
        </w:numPr>
        <w:tabs>
          <w:tab w:val="clear" w:pos="475"/>
          <w:tab w:val="num" w:pos="1742"/>
        </w:tabs>
        <w:ind w:left="1267"/>
        <w:rPr>
          <w:lang w:val="fr-CH"/>
        </w:rPr>
      </w:pPr>
      <w:r w:rsidRPr="00912CD3">
        <w:rPr>
          <w:lang w:val="fr-CH"/>
        </w:rPr>
        <w:t>Nous proposons d’apporter des modifications au paragraphe 6.8.3.1.5. Le Groupe de travail sur les citernes a également envisagé de modifier le paragraphe 6.8.2.1.2 (voir par</w:t>
      </w:r>
      <w:r w:rsidR="00912CD3">
        <w:rPr>
          <w:lang w:val="fr-CH"/>
        </w:rPr>
        <w:t>. </w:t>
      </w:r>
      <w:r w:rsidRPr="00912CD3">
        <w:rPr>
          <w:lang w:val="fr-CH"/>
        </w:rPr>
        <w:t xml:space="preserve">22 du document </w:t>
      </w:r>
      <w:r w:rsidR="008C2924">
        <w:rPr>
          <w:bCs/>
          <w:lang w:val="fr-CH"/>
        </w:rPr>
        <w:t>ECE/TRANS/</w:t>
      </w:r>
      <w:r w:rsidRPr="00912CD3">
        <w:rPr>
          <w:bCs/>
          <w:lang w:val="fr-CH"/>
        </w:rPr>
        <w:t>WP.15/AC.1/140/Add.2)</w:t>
      </w:r>
      <w:r w:rsidRPr="00912CD3">
        <w:rPr>
          <w:lang w:val="fr-CH"/>
        </w:rPr>
        <w:t>, mais un coup d’œ</w:t>
      </w:r>
      <w:r w:rsidR="008C2924">
        <w:rPr>
          <w:lang w:val="fr-CH"/>
        </w:rPr>
        <w:t>il à la structure de la section </w:t>
      </w:r>
      <w:r w:rsidRPr="00912CD3">
        <w:rPr>
          <w:lang w:val="fr-CH"/>
        </w:rPr>
        <w:t xml:space="preserve">6.8.2 dans l’ADR/RID permet de constater qu’elle est davantage en ligne avec le texte destiné à modifier le paragraphe 6.8.3.1.5. </w:t>
      </w:r>
    </w:p>
    <w:p w:rsidR="00E96E1D" w:rsidRPr="00912CD3" w:rsidRDefault="00E96E1D" w:rsidP="00912CD3">
      <w:pPr>
        <w:pStyle w:val="SingleTxt"/>
        <w:numPr>
          <w:ilvl w:val="0"/>
          <w:numId w:val="6"/>
        </w:numPr>
        <w:tabs>
          <w:tab w:val="clear" w:pos="475"/>
          <w:tab w:val="num" w:pos="1742"/>
        </w:tabs>
        <w:ind w:left="1267"/>
        <w:rPr>
          <w:lang w:val="fr-CH"/>
        </w:rPr>
      </w:pPr>
      <w:r w:rsidRPr="00912CD3">
        <w:rPr>
          <w:lang w:val="fr-CH"/>
        </w:rPr>
        <w:t>Comme convenu, la Norvège a également, avec l’aide de l’EIGA, examiné le paragraphe</w:t>
      </w:r>
      <w:r w:rsidR="00912CD3">
        <w:rPr>
          <w:lang w:val="fr-CH"/>
        </w:rPr>
        <w:t> </w:t>
      </w:r>
      <w:r w:rsidRPr="00912CD3">
        <w:rPr>
          <w:lang w:val="fr-CH"/>
        </w:rPr>
        <w:t>9.7.3 de l’ADR (voir par</w:t>
      </w:r>
      <w:r w:rsidR="00912CD3">
        <w:rPr>
          <w:lang w:val="fr-CH"/>
        </w:rPr>
        <w:t>. </w:t>
      </w:r>
      <w:r w:rsidRPr="00912CD3">
        <w:rPr>
          <w:lang w:val="fr-CH"/>
        </w:rPr>
        <w:t xml:space="preserve">23 du document </w:t>
      </w:r>
      <w:r w:rsidRPr="00912CD3">
        <w:rPr>
          <w:bCs/>
          <w:lang w:val="fr-CH"/>
        </w:rPr>
        <w:t>ECE/TRANS/WP.15/AC.1/</w:t>
      </w:r>
      <w:r w:rsidR="00912CD3">
        <w:rPr>
          <w:bCs/>
          <w:lang w:val="fr-CH"/>
        </w:rPr>
        <w:br/>
      </w:r>
      <w:r w:rsidRPr="00912CD3">
        <w:rPr>
          <w:bCs/>
          <w:lang w:val="fr-CH"/>
        </w:rPr>
        <w:t>140/Add.2)</w:t>
      </w:r>
      <w:r w:rsidRPr="00912CD3">
        <w:rPr>
          <w:lang w:val="fr-CH"/>
        </w:rPr>
        <w:t>. Les CGEM, citernes mobiles et conteneurs-citernes ne devraient être autorisés que sur des véhicules dont les moyens de fixation sont capables de supporter, à la charge maximale autorisée, les forces suivantes, égales à celles exercées par</w:t>
      </w:r>
      <w:r w:rsidR="00912CD3">
        <w:rPr>
          <w:lang w:val="fr-CH"/>
        </w:rPr>
        <w:t> </w:t>
      </w:r>
      <w:r w:rsidRPr="00912CD3">
        <w:rPr>
          <w:lang w:val="fr-CH"/>
        </w:rPr>
        <w:t xml:space="preserve">: </w:t>
      </w:r>
    </w:p>
    <w:p w:rsidR="00E96E1D" w:rsidRPr="00912CD3" w:rsidRDefault="00912CD3" w:rsidP="00912CD3">
      <w:pPr>
        <w:pStyle w:val="Bullet1"/>
        <w:rPr>
          <w:lang w:val="fr-CH"/>
        </w:rPr>
      </w:pPr>
      <w:r w:rsidRPr="00912CD3">
        <w:rPr>
          <w:lang w:val="fr-CH"/>
        </w:rPr>
        <w:t xml:space="preserve">Dans </w:t>
      </w:r>
      <w:r w:rsidR="00E96E1D" w:rsidRPr="00912CD3">
        <w:rPr>
          <w:lang w:val="fr-CH"/>
        </w:rPr>
        <w:t>le sens de la marche</w:t>
      </w:r>
      <w:r>
        <w:rPr>
          <w:lang w:val="fr-CH"/>
        </w:rPr>
        <w:t> </w:t>
      </w:r>
      <w:r w:rsidR="00E96E1D" w:rsidRPr="00912CD3">
        <w:rPr>
          <w:lang w:val="fr-CH"/>
        </w:rPr>
        <w:t>: deux fois la masse totale;</w:t>
      </w:r>
    </w:p>
    <w:p w:rsidR="00E96E1D" w:rsidRPr="00912CD3" w:rsidRDefault="00912CD3" w:rsidP="00912CD3">
      <w:pPr>
        <w:pStyle w:val="Bullet1"/>
        <w:rPr>
          <w:lang w:val="fr-CH"/>
        </w:rPr>
      </w:pPr>
      <w:r w:rsidRPr="00912CD3">
        <w:rPr>
          <w:lang w:val="fr-CH"/>
        </w:rPr>
        <w:t xml:space="preserve">Transversalement </w:t>
      </w:r>
      <w:r w:rsidR="00E96E1D" w:rsidRPr="00912CD3">
        <w:rPr>
          <w:lang w:val="fr-CH"/>
        </w:rPr>
        <w:t>au sens de la marche</w:t>
      </w:r>
      <w:r>
        <w:rPr>
          <w:lang w:val="fr-CH"/>
        </w:rPr>
        <w:t> </w:t>
      </w:r>
      <w:r w:rsidR="00E96E1D" w:rsidRPr="00912CD3">
        <w:rPr>
          <w:lang w:val="fr-CH"/>
        </w:rPr>
        <w:t>: une fois la masse totale;</w:t>
      </w:r>
    </w:p>
    <w:p w:rsidR="00E96E1D" w:rsidRPr="00912CD3" w:rsidRDefault="00912CD3" w:rsidP="00912CD3">
      <w:pPr>
        <w:pStyle w:val="Bullet1"/>
        <w:rPr>
          <w:lang w:val="fr-CH"/>
        </w:rPr>
      </w:pPr>
      <w:r w:rsidRPr="00912CD3">
        <w:rPr>
          <w:lang w:val="fr-CH"/>
        </w:rPr>
        <w:t>Verticalement</w:t>
      </w:r>
      <w:r w:rsidR="00E96E1D" w:rsidRPr="00912CD3">
        <w:rPr>
          <w:lang w:val="fr-CH"/>
        </w:rPr>
        <w:t>, de bas en haut</w:t>
      </w:r>
      <w:r>
        <w:rPr>
          <w:lang w:val="fr-CH"/>
        </w:rPr>
        <w:t> </w:t>
      </w:r>
      <w:r w:rsidR="00E96E1D" w:rsidRPr="00912CD3">
        <w:rPr>
          <w:lang w:val="fr-CH"/>
        </w:rPr>
        <w:t>: une fois la masse totale;</w:t>
      </w:r>
    </w:p>
    <w:p w:rsidR="00E96E1D" w:rsidRPr="00912CD3" w:rsidRDefault="00912CD3" w:rsidP="00912CD3">
      <w:pPr>
        <w:pStyle w:val="Bullet1"/>
        <w:rPr>
          <w:lang w:val="fr-CH"/>
        </w:rPr>
      </w:pPr>
      <w:r w:rsidRPr="00912CD3">
        <w:rPr>
          <w:lang w:val="fr-CH"/>
        </w:rPr>
        <w:t>Verticalement</w:t>
      </w:r>
      <w:r w:rsidR="00E96E1D" w:rsidRPr="00912CD3">
        <w:rPr>
          <w:lang w:val="fr-CH"/>
        </w:rPr>
        <w:t>, de haut en bas</w:t>
      </w:r>
      <w:r>
        <w:rPr>
          <w:lang w:val="fr-CH"/>
        </w:rPr>
        <w:t> </w:t>
      </w:r>
      <w:r w:rsidR="00E96E1D" w:rsidRPr="00912CD3">
        <w:rPr>
          <w:lang w:val="fr-CH"/>
        </w:rPr>
        <w:t>: deux fois la masse totale.</w:t>
      </w:r>
    </w:p>
    <w:p w:rsidR="00E96E1D" w:rsidRPr="00912CD3" w:rsidRDefault="00E96E1D" w:rsidP="00912CD3">
      <w:pPr>
        <w:pStyle w:val="SingleTxt"/>
        <w:numPr>
          <w:ilvl w:val="0"/>
          <w:numId w:val="6"/>
        </w:numPr>
        <w:tabs>
          <w:tab w:val="clear" w:pos="475"/>
          <w:tab w:val="num" w:pos="1742"/>
        </w:tabs>
        <w:ind w:left="1267"/>
        <w:rPr>
          <w:lang w:val="fr-CH"/>
        </w:rPr>
      </w:pPr>
      <w:r w:rsidRPr="00912CD3">
        <w:rPr>
          <w:lang w:val="fr-CH"/>
        </w:rPr>
        <w:lastRenderedPageBreak/>
        <w:t>Sur la base de ce qui précède, nous p</w:t>
      </w:r>
      <w:r w:rsidR="008C2924">
        <w:rPr>
          <w:lang w:val="fr-CH"/>
        </w:rPr>
        <w:t>roposons de modifier la section </w:t>
      </w:r>
      <w:r w:rsidRPr="00912CD3">
        <w:rPr>
          <w:lang w:val="fr-CH"/>
        </w:rPr>
        <w:t xml:space="preserve">9.7.3 de l’ADR pour y inclure les CGEM, les CGEM </w:t>
      </w:r>
      <w:r w:rsidR="00912CD3">
        <w:rPr>
          <w:lang w:val="fr-CH"/>
        </w:rPr>
        <w:t>« </w:t>
      </w:r>
      <w:r w:rsidRPr="00912CD3">
        <w:rPr>
          <w:lang w:val="fr-CH"/>
        </w:rPr>
        <w:t>UN</w:t>
      </w:r>
      <w:r w:rsidR="00912CD3">
        <w:rPr>
          <w:lang w:val="fr-CH"/>
        </w:rPr>
        <w:t> »</w:t>
      </w:r>
      <w:r w:rsidRPr="00912CD3">
        <w:rPr>
          <w:lang w:val="fr-CH"/>
        </w:rPr>
        <w:t>, les citernes mobiles et les conteneurs-citernes (Proposition 2).</w:t>
      </w:r>
    </w:p>
    <w:p w:rsidR="00E96E1D" w:rsidRPr="00912CD3" w:rsidRDefault="00E96E1D" w:rsidP="0029773E">
      <w:pPr>
        <w:pStyle w:val="SingleTxt"/>
        <w:rPr>
          <w:lang w:val="fr-CH"/>
        </w:rPr>
      </w:pPr>
      <w:r w:rsidRPr="00912CD3">
        <w:rPr>
          <w:lang w:val="fr-CH"/>
        </w:rPr>
        <w:t>La section 7.2.2 du Règlement type ne permet de transporter des citernes mobiles que sur des véhicules dont les moyens de fixation sont capables de supporter, à la charge maximale autorisée, les forces indiquées aux paragraphes 6.7.2.2.12, 6.7.3.2.9 ou 6.7.4.2.12. Ce fut une erreur de ne pas avoir inclus les CGEM dans ce paragraphe et l’EIGA proposera au Sous-Comité d’experts du transport des marchandises d</w:t>
      </w:r>
      <w:r w:rsidR="008C2924">
        <w:rPr>
          <w:lang w:val="fr-CH"/>
        </w:rPr>
        <w:t>angereuses de revoir la section </w:t>
      </w:r>
      <w:r w:rsidRPr="00912CD3">
        <w:rPr>
          <w:lang w:val="fr-CH"/>
        </w:rPr>
        <w:t xml:space="preserve">7.2.2. </w:t>
      </w:r>
    </w:p>
    <w:p w:rsidR="00E96E1D" w:rsidRPr="00912CD3" w:rsidRDefault="00E96E1D" w:rsidP="0029773E">
      <w:pPr>
        <w:pStyle w:val="SingleTxt"/>
        <w:numPr>
          <w:ilvl w:val="0"/>
          <w:numId w:val="6"/>
        </w:numPr>
        <w:tabs>
          <w:tab w:val="clear" w:pos="475"/>
          <w:tab w:val="num" w:pos="1742"/>
        </w:tabs>
        <w:ind w:left="1267"/>
        <w:rPr>
          <w:lang w:val="fr-CH"/>
        </w:rPr>
      </w:pPr>
      <w:r w:rsidRPr="00912CD3">
        <w:rPr>
          <w:lang w:val="fr-CH"/>
        </w:rPr>
        <w:t>Comme il a été relevé dans le rapport de la dernière Réunion commune RID/ADR/ADN (voir les paragraphes</w:t>
      </w:r>
      <w:r w:rsidR="00912CD3">
        <w:rPr>
          <w:lang w:val="fr-CH"/>
        </w:rPr>
        <w:t> </w:t>
      </w:r>
      <w:r w:rsidRPr="00912CD3">
        <w:rPr>
          <w:lang w:val="fr-CH"/>
        </w:rPr>
        <w:t>18</w:t>
      </w:r>
      <w:r w:rsidR="00912CD3">
        <w:rPr>
          <w:lang w:val="fr-CH"/>
        </w:rPr>
        <w:t xml:space="preserve"> à </w:t>
      </w:r>
      <w:r w:rsidRPr="00912CD3">
        <w:rPr>
          <w:lang w:val="fr-CH"/>
        </w:rPr>
        <w:t xml:space="preserve">24 du document </w:t>
      </w:r>
      <w:r w:rsidRPr="00912CD3">
        <w:rPr>
          <w:bCs/>
          <w:lang w:val="fr-CH"/>
        </w:rPr>
        <w:t>ECE/TRANS/WP.15/</w:t>
      </w:r>
      <w:r w:rsidR="00912CD3">
        <w:rPr>
          <w:bCs/>
          <w:lang w:val="fr-CH"/>
        </w:rPr>
        <w:br/>
      </w:r>
      <w:r w:rsidRPr="00912CD3">
        <w:rPr>
          <w:bCs/>
          <w:lang w:val="fr-CH"/>
        </w:rPr>
        <w:t>AC.1/140/Add.2</w:t>
      </w:r>
      <w:r w:rsidRPr="00912CD3">
        <w:rPr>
          <w:lang w:val="fr-CH"/>
        </w:rPr>
        <w:t>), la formule «</w:t>
      </w:r>
      <w:r w:rsidR="00912CD3">
        <w:rPr>
          <w:lang w:val="fr-CH"/>
        </w:rPr>
        <w:t> </w:t>
      </w:r>
      <w:r w:rsidRPr="00912CD3">
        <w:rPr>
          <w:lang w:val="fr-CH"/>
        </w:rPr>
        <w:t>correspondant à la définition d’un conteneur</w:t>
      </w:r>
      <w:r w:rsidR="00912CD3">
        <w:rPr>
          <w:lang w:val="fr-CH"/>
        </w:rPr>
        <w:t> </w:t>
      </w:r>
      <w:r w:rsidRPr="00912CD3">
        <w:rPr>
          <w:lang w:val="fr-CH"/>
        </w:rPr>
        <w:t xml:space="preserve">» ne figure pas dans la </w:t>
      </w:r>
      <w:r w:rsidR="0029773E">
        <w:rPr>
          <w:lang w:val="fr-CH"/>
        </w:rPr>
        <w:t>définition des CGEM au chapitre </w:t>
      </w:r>
      <w:r w:rsidRPr="00912CD3">
        <w:rPr>
          <w:lang w:val="fr-CH"/>
        </w:rPr>
        <w:t>1.2 de l’ADR/RID.</w:t>
      </w:r>
      <w:r w:rsidR="00912CD3">
        <w:rPr>
          <w:lang w:val="fr-CH"/>
        </w:rPr>
        <w:t xml:space="preserve"> Au regard du chapitre </w:t>
      </w:r>
      <w:r w:rsidRPr="00912CD3">
        <w:rPr>
          <w:lang w:val="fr-CH"/>
        </w:rPr>
        <w:t xml:space="preserve">6.7, cela paraît conforme à la définition de CGEM </w:t>
      </w:r>
      <w:r w:rsidR="00912CD3">
        <w:rPr>
          <w:lang w:val="fr-CH"/>
        </w:rPr>
        <w:t>« </w:t>
      </w:r>
      <w:r w:rsidRPr="00912CD3">
        <w:rPr>
          <w:lang w:val="fr-CH"/>
        </w:rPr>
        <w:t>UN</w:t>
      </w:r>
      <w:r w:rsidR="00912CD3">
        <w:rPr>
          <w:lang w:val="fr-CH"/>
        </w:rPr>
        <w:t> »</w:t>
      </w:r>
      <w:r w:rsidRPr="00912CD3">
        <w:rPr>
          <w:lang w:val="fr-CH"/>
        </w:rPr>
        <w:t xml:space="preserve">. Toutefois, pour qu’un CGEM réponde à la définition du </w:t>
      </w:r>
      <w:r w:rsidR="00912CD3">
        <w:rPr>
          <w:lang w:val="fr-CH"/>
        </w:rPr>
        <w:t>« </w:t>
      </w:r>
      <w:r w:rsidRPr="00912CD3">
        <w:rPr>
          <w:lang w:val="fr-CH"/>
        </w:rPr>
        <w:t>conteneur</w:t>
      </w:r>
      <w:r w:rsidR="00912CD3">
        <w:rPr>
          <w:lang w:val="fr-CH"/>
        </w:rPr>
        <w:t> »</w:t>
      </w:r>
      <w:r w:rsidRPr="00912CD3">
        <w:rPr>
          <w:lang w:val="fr-CH"/>
        </w:rPr>
        <w:t xml:space="preserve"> donnée par la Convention internationale pour la sécurité des conteneurs (CSC) de 1972, telle que modifiée, il doit satisfaire aux exigences de cette conventio</w:t>
      </w:r>
      <w:r w:rsidR="0029773E">
        <w:rPr>
          <w:lang w:val="fr-CH"/>
        </w:rPr>
        <w:t>n en plus de celles du chapitre </w:t>
      </w:r>
      <w:r w:rsidRPr="00912CD3">
        <w:rPr>
          <w:lang w:val="fr-CH"/>
        </w:rPr>
        <w:t xml:space="preserve">6.7 de l’ADR/RID. Nous pensons que les CGEM qui répondent à la définition du </w:t>
      </w:r>
      <w:r w:rsidR="00912CD3">
        <w:rPr>
          <w:lang w:val="fr-CH"/>
        </w:rPr>
        <w:t>« </w:t>
      </w:r>
      <w:r w:rsidRPr="00912CD3">
        <w:rPr>
          <w:lang w:val="fr-CH"/>
        </w:rPr>
        <w:t>conteneur</w:t>
      </w:r>
      <w:r w:rsidR="00912CD3">
        <w:rPr>
          <w:lang w:val="fr-CH"/>
        </w:rPr>
        <w:t> »</w:t>
      </w:r>
      <w:r w:rsidRPr="00912CD3">
        <w:rPr>
          <w:lang w:val="fr-CH"/>
        </w:rPr>
        <w:t xml:space="preserve"> donnée par la CSC de 1972, telle que modifiée, doiv</w:t>
      </w:r>
      <w:r w:rsidR="008C2924">
        <w:rPr>
          <w:lang w:val="fr-CH"/>
        </w:rPr>
        <w:t>ent être inclus dans la section 7.1.3 de l’ADR/RID (Proposition </w:t>
      </w:r>
      <w:r w:rsidRPr="00912CD3">
        <w:rPr>
          <w:lang w:val="fr-CH"/>
        </w:rPr>
        <w:t>3).</w:t>
      </w:r>
    </w:p>
    <w:p w:rsidR="00E96E1D" w:rsidRPr="00912CD3" w:rsidRDefault="00E96E1D" w:rsidP="00912CD3">
      <w:pPr>
        <w:pStyle w:val="SingleTxt"/>
        <w:numPr>
          <w:ilvl w:val="0"/>
          <w:numId w:val="6"/>
        </w:numPr>
        <w:tabs>
          <w:tab w:val="clear" w:pos="475"/>
          <w:tab w:val="num" w:pos="1742"/>
        </w:tabs>
        <w:ind w:left="1267"/>
        <w:rPr>
          <w:lang w:val="fr-CH"/>
        </w:rPr>
      </w:pPr>
      <w:r w:rsidRPr="00912CD3">
        <w:rPr>
          <w:lang w:val="fr-CH"/>
        </w:rPr>
        <w:t>Dans les propositions ci-après, les caisses-mobiles citernes sont laissées entre crochets, car il s’agit par définition (chap</w:t>
      </w:r>
      <w:r w:rsidR="00912CD3">
        <w:rPr>
          <w:lang w:val="fr-CH"/>
        </w:rPr>
        <w:t>. </w:t>
      </w:r>
      <w:r w:rsidRPr="00912CD3">
        <w:rPr>
          <w:lang w:val="fr-CH"/>
        </w:rPr>
        <w:t>1.2) de conteneurs-citernes.</w:t>
      </w:r>
    </w:p>
    <w:p w:rsidR="00912CD3" w:rsidRPr="00912CD3" w:rsidRDefault="00912CD3" w:rsidP="00912CD3">
      <w:pPr>
        <w:pStyle w:val="SingleTxt"/>
        <w:spacing w:after="0" w:line="120" w:lineRule="exact"/>
        <w:rPr>
          <w:b/>
          <w:sz w:val="10"/>
          <w:lang w:val="fr-CH"/>
        </w:rPr>
      </w:pPr>
    </w:p>
    <w:p w:rsidR="00912CD3" w:rsidRPr="00912CD3" w:rsidRDefault="00912CD3" w:rsidP="00912CD3">
      <w:pPr>
        <w:pStyle w:val="SingleTxt"/>
        <w:spacing w:after="0" w:line="120" w:lineRule="exact"/>
        <w:rPr>
          <w:b/>
          <w:sz w:val="10"/>
          <w:lang w:val="fr-CH"/>
        </w:rPr>
      </w:pPr>
    </w:p>
    <w:p w:rsidR="00E96E1D" w:rsidRPr="00912CD3" w:rsidRDefault="00E96E1D" w:rsidP="00912C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12CD3">
        <w:rPr>
          <w:lang w:val="fr-CH"/>
        </w:rPr>
        <w:tab/>
      </w:r>
      <w:r w:rsidRPr="00912CD3">
        <w:rPr>
          <w:lang w:val="fr-CH"/>
        </w:rPr>
        <w:tab/>
        <w:t>Proposition 1</w:t>
      </w:r>
    </w:p>
    <w:p w:rsidR="00912CD3" w:rsidRPr="00912CD3" w:rsidRDefault="00912CD3" w:rsidP="00912CD3">
      <w:pPr>
        <w:pStyle w:val="SingleTxt"/>
        <w:spacing w:after="0" w:line="120" w:lineRule="exact"/>
        <w:rPr>
          <w:b/>
          <w:sz w:val="10"/>
          <w:lang w:val="fr-CH"/>
        </w:rPr>
      </w:pPr>
    </w:p>
    <w:p w:rsidR="00912CD3" w:rsidRPr="00912CD3" w:rsidRDefault="00912CD3" w:rsidP="00912CD3">
      <w:pPr>
        <w:pStyle w:val="SingleTxt"/>
        <w:spacing w:after="0" w:line="120" w:lineRule="exact"/>
        <w:rPr>
          <w:b/>
          <w:sz w:val="10"/>
          <w:lang w:val="fr-CH"/>
        </w:rPr>
      </w:pPr>
    </w:p>
    <w:p w:rsidR="00E96E1D" w:rsidRPr="00912CD3" w:rsidRDefault="00912CD3" w:rsidP="00912C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96E1D" w:rsidRPr="00912CD3">
        <w:rPr>
          <w:lang w:val="fr-CH"/>
        </w:rPr>
        <w:t>ADR</w:t>
      </w:r>
      <w:r>
        <w:rPr>
          <w:lang w:val="fr-CH"/>
        </w:rPr>
        <w:t> </w:t>
      </w:r>
      <w:r w:rsidR="00E96E1D" w:rsidRPr="00912CD3">
        <w:rPr>
          <w:lang w:val="fr-CH"/>
        </w:rPr>
        <w:t xml:space="preserve">: </w:t>
      </w:r>
    </w:p>
    <w:p w:rsidR="00912CD3" w:rsidRPr="00912CD3" w:rsidRDefault="00912CD3" w:rsidP="00912CD3">
      <w:pPr>
        <w:pStyle w:val="SingleTxt"/>
        <w:spacing w:after="0" w:line="120" w:lineRule="exact"/>
        <w:rPr>
          <w:sz w:val="10"/>
          <w:lang w:val="fr-CH"/>
        </w:rPr>
      </w:pPr>
    </w:p>
    <w:p w:rsidR="00E96E1D" w:rsidRPr="00912CD3" w:rsidRDefault="0029773E" w:rsidP="00E96E1D">
      <w:pPr>
        <w:pStyle w:val="SingleTxt"/>
        <w:rPr>
          <w:lang w:val="fr-CH"/>
        </w:rPr>
      </w:pPr>
      <w:r>
        <w:rPr>
          <w:lang w:val="fr-CH"/>
        </w:rPr>
        <w:tab/>
      </w:r>
      <w:r w:rsidR="00E96E1D" w:rsidRPr="00912CD3">
        <w:rPr>
          <w:lang w:val="fr-CH"/>
        </w:rPr>
        <w:t xml:space="preserve">Modifier le paragraphe 6.8.3.1.5 comme suit (les suppressions apparaissent </w:t>
      </w:r>
      <w:r w:rsidR="00E96E1D" w:rsidRPr="00912CD3">
        <w:rPr>
          <w:strike/>
          <w:lang w:val="fr-CH"/>
        </w:rPr>
        <w:t>biffées</w:t>
      </w:r>
      <w:r w:rsidR="00E96E1D" w:rsidRPr="00912CD3">
        <w:rPr>
          <w:lang w:val="fr-CH"/>
        </w:rPr>
        <w:t xml:space="preserve"> et les éléments nouveaux </w:t>
      </w:r>
      <w:r w:rsidR="00E96E1D" w:rsidRPr="00912CD3">
        <w:rPr>
          <w:u w:val="single"/>
          <w:lang w:val="fr-CH"/>
        </w:rPr>
        <w:t>soulignés</w:t>
      </w:r>
      <w:r w:rsidR="00E96E1D" w:rsidRPr="00912CD3">
        <w:rPr>
          <w:lang w:val="fr-CH"/>
        </w:rPr>
        <w:t>)</w:t>
      </w:r>
      <w:r w:rsidR="00912CD3">
        <w:rPr>
          <w:lang w:val="fr-CH"/>
        </w:rPr>
        <w:t> </w:t>
      </w:r>
      <w:r w:rsidR="00E96E1D" w:rsidRPr="00912CD3">
        <w:rPr>
          <w:lang w:val="fr-CH"/>
        </w:rPr>
        <w:t>:</w:t>
      </w:r>
    </w:p>
    <w:p w:rsidR="00E96E1D" w:rsidRPr="00912CD3" w:rsidRDefault="00E96E1D" w:rsidP="00E96E1D">
      <w:pPr>
        <w:pStyle w:val="SingleTxt"/>
        <w:rPr>
          <w:lang w:val="fr-CH"/>
        </w:rPr>
      </w:pPr>
      <w:r w:rsidRPr="00912CD3">
        <w:rPr>
          <w:lang w:val="fr-CH"/>
        </w:rPr>
        <w:t xml:space="preserve">Les éléments et </w:t>
      </w:r>
      <w:r w:rsidRPr="00912CD3">
        <w:rPr>
          <w:strike/>
          <w:lang w:val="fr-CH"/>
        </w:rPr>
        <w:t>leurs</w:t>
      </w:r>
      <w:r w:rsidRPr="00912CD3">
        <w:rPr>
          <w:lang w:val="fr-CH"/>
        </w:rPr>
        <w:t xml:space="preserve"> </w:t>
      </w:r>
      <w:r w:rsidRPr="00912CD3">
        <w:rPr>
          <w:u w:val="single"/>
          <w:lang w:val="fr-CH"/>
        </w:rPr>
        <w:t>les</w:t>
      </w:r>
      <w:r w:rsidRPr="00912CD3">
        <w:rPr>
          <w:lang w:val="fr-CH"/>
        </w:rPr>
        <w:t xml:space="preserve"> moyens de fixation </w:t>
      </w:r>
      <w:r w:rsidRPr="00912CD3">
        <w:rPr>
          <w:u w:val="single"/>
          <w:lang w:val="fr-CH"/>
        </w:rPr>
        <w:t>des véhicules-batteries et des CGEM, ainsi que les structures et attaches des [véhicules-batteries et] CGEM</w:t>
      </w:r>
      <w:r w:rsidRPr="00912CD3">
        <w:rPr>
          <w:lang w:val="fr-CH"/>
        </w:rPr>
        <w:t xml:space="preserve"> doivent pouvoir absorber, dans les conditions du chargement maximal autorisé, les forces définies au 6.8.2.1.2. Pour chaque force, la contrainte au point le plus sollicité de l’élément et de ses moyens de fixation ne doit pas dépasser la valeur définie au 6.2.5.3 pour les bouteilles, les tubes, les fûts à pression et les cadres de bouteilles et, pour les citernes, la valeur de </w:t>
      </w:r>
      <w:r w:rsidRPr="00912CD3">
        <w:rPr>
          <w:lang w:val="fr-CH"/>
        </w:rPr>
        <w:sym w:font="Symbol" w:char="F073"/>
      </w:r>
      <w:r w:rsidRPr="00912CD3">
        <w:rPr>
          <w:lang w:val="fr-CH"/>
        </w:rPr>
        <w:t xml:space="preserve"> définie au 6.8.2.1.16.</w:t>
      </w:r>
    </w:p>
    <w:p w:rsidR="00E96E1D" w:rsidRPr="00912CD3" w:rsidRDefault="00E96E1D" w:rsidP="00912CD3">
      <w:pPr>
        <w:pStyle w:val="SingleTxt"/>
        <w:spacing w:after="0" w:line="120" w:lineRule="exact"/>
        <w:rPr>
          <w:sz w:val="10"/>
          <w:lang w:val="fr-CH"/>
        </w:rPr>
      </w:pPr>
    </w:p>
    <w:p w:rsidR="00E96E1D" w:rsidRPr="00912CD3" w:rsidRDefault="00912CD3" w:rsidP="00912C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96E1D" w:rsidRPr="00912CD3">
        <w:rPr>
          <w:lang w:val="fr-CH"/>
        </w:rPr>
        <w:t>RID</w:t>
      </w:r>
      <w:r>
        <w:rPr>
          <w:lang w:val="fr-CH"/>
        </w:rPr>
        <w:t> </w:t>
      </w:r>
      <w:r w:rsidR="00E96E1D" w:rsidRPr="00912CD3">
        <w:rPr>
          <w:lang w:val="fr-CH"/>
        </w:rPr>
        <w:t>:</w:t>
      </w:r>
    </w:p>
    <w:p w:rsidR="00912CD3" w:rsidRPr="00912CD3" w:rsidRDefault="00912CD3" w:rsidP="00912CD3">
      <w:pPr>
        <w:pStyle w:val="SingleTxt"/>
        <w:spacing w:after="0" w:line="120" w:lineRule="exact"/>
        <w:rPr>
          <w:sz w:val="10"/>
          <w:lang w:val="fr-CH"/>
        </w:rPr>
      </w:pPr>
    </w:p>
    <w:p w:rsidR="00E96E1D" w:rsidRPr="00912CD3" w:rsidRDefault="0029773E" w:rsidP="00E96E1D">
      <w:pPr>
        <w:pStyle w:val="SingleTxt"/>
        <w:rPr>
          <w:lang w:val="fr-CH"/>
        </w:rPr>
      </w:pPr>
      <w:r>
        <w:rPr>
          <w:lang w:val="fr-CH"/>
        </w:rPr>
        <w:tab/>
      </w:r>
      <w:r w:rsidR="00E96E1D" w:rsidRPr="00912CD3">
        <w:rPr>
          <w:lang w:val="fr-CH"/>
        </w:rPr>
        <w:t xml:space="preserve">Modifier le paragraphe 6.8.3.1.5 comme suit (les suppressions apparaissent </w:t>
      </w:r>
      <w:r w:rsidR="00E96E1D" w:rsidRPr="00912CD3">
        <w:rPr>
          <w:strike/>
          <w:lang w:val="fr-CH"/>
        </w:rPr>
        <w:t>biffées</w:t>
      </w:r>
      <w:r w:rsidR="00E96E1D" w:rsidRPr="00912CD3">
        <w:rPr>
          <w:lang w:val="fr-CH"/>
        </w:rPr>
        <w:t xml:space="preserve"> et les éléments nouveaux </w:t>
      </w:r>
      <w:r w:rsidR="00E96E1D" w:rsidRPr="00912CD3">
        <w:rPr>
          <w:u w:val="single"/>
          <w:lang w:val="fr-CH"/>
        </w:rPr>
        <w:t>soulignés</w:t>
      </w:r>
      <w:r w:rsidR="00E96E1D" w:rsidRPr="00912CD3">
        <w:rPr>
          <w:lang w:val="fr-CH"/>
        </w:rPr>
        <w:t>)</w:t>
      </w:r>
      <w:r w:rsidR="00912CD3">
        <w:rPr>
          <w:lang w:val="fr-CH"/>
        </w:rPr>
        <w:t> </w:t>
      </w:r>
      <w:r w:rsidR="00E96E1D" w:rsidRPr="00912CD3">
        <w:rPr>
          <w:lang w:val="fr-CH"/>
        </w:rPr>
        <w:t>:</w:t>
      </w:r>
    </w:p>
    <w:p w:rsidR="00E96E1D" w:rsidRPr="00912CD3" w:rsidRDefault="00E96E1D" w:rsidP="00E96E1D">
      <w:pPr>
        <w:pStyle w:val="SingleTxt"/>
        <w:rPr>
          <w:lang w:val="fr-CH"/>
        </w:rPr>
      </w:pPr>
      <w:r w:rsidRPr="00912CD3">
        <w:rPr>
          <w:lang w:val="fr-CH"/>
        </w:rPr>
        <w:t xml:space="preserve">Les éléments et </w:t>
      </w:r>
      <w:r w:rsidRPr="00912CD3">
        <w:rPr>
          <w:strike/>
          <w:lang w:val="fr-CH"/>
        </w:rPr>
        <w:t>leurs</w:t>
      </w:r>
      <w:r w:rsidRPr="00912CD3">
        <w:rPr>
          <w:lang w:val="fr-CH"/>
        </w:rPr>
        <w:t xml:space="preserve"> les moyens de fixation </w:t>
      </w:r>
      <w:r w:rsidRPr="00912CD3">
        <w:rPr>
          <w:u w:val="single"/>
          <w:lang w:val="fr-CH"/>
        </w:rPr>
        <w:t>des véhicules-batteries et des CGEM, ainsi que les structures et attaches des [wagons-batteries et] CGEM</w:t>
      </w:r>
      <w:r w:rsidRPr="00912CD3">
        <w:rPr>
          <w:lang w:val="fr-CH"/>
        </w:rPr>
        <w:t xml:space="preserve"> doivent pouvoir absorber, dans les conditions du chargement maximal autorisé, les forces définies au 6.8.2.1.2. Pour chaque force, la contrainte au point le plus sollicité de l’élément et de ses moyens de fixation ne doit pas dépasser la valeur définie au 6.2.5.3 pour les bouteilles, les tubes, les fûts à pression et les cadres de bouteilles et, pour les citernes, la valeur de </w:t>
      </w:r>
      <w:r w:rsidRPr="00912CD3">
        <w:rPr>
          <w:lang w:val="fr-CH"/>
        </w:rPr>
        <w:sym w:font="Symbol" w:char="F073"/>
      </w:r>
      <w:r w:rsidRPr="00912CD3">
        <w:rPr>
          <w:lang w:val="fr-CH"/>
        </w:rPr>
        <w:t xml:space="preserve"> définie au 6.8.2.1.16.</w:t>
      </w:r>
    </w:p>
    <w:p w:rsidR="00912CD3" w:rsidRPr="00912CD3" w:rsidRDefault="00912CD3" w:rsidP="00912CD3">
      <w:pPr>
        <w:pStyle w:val="SingleTxt"/>
        <w:spacing w:after="0" w:line="120" w:lineRule="exact"/>
        <w:rPr>
          <w:b/>
          <w:sz w:val="10"/>
          <w:lang w:val="fr-CH"/>
        </w:rPr>
      </w:pPr>
    </w:p>
    <w:p w:rsidR="00912CD3" w:rsidRPr="00912CD3" w:rsidRDefault="00912CD3" w:rsidP="00912CD3">
      <w:pPr>
        <w:pStyle w:val="SingleTxt"/>
        <w:spacing w:after="0" w:line="120" w:lineRule="exact"/>
        <w:rPr>
          <w:b/>
          <w:sz w:val="10"/>
          <w:lang w:val="fr-CH"/>
        </w:rPr>
      </w:pPr>
    </w:p>
    <w:p w:rsidR="00E96E1D" w:rsidRPr="00912CD3" w:rsidRDefault="00E96E1D" w:rsidP="00912C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12CD3">
        <w:rPr>
          <w:lang w:val="fr-CH"/>
        </w:rPr>
        <w:tab/>
      </w:r>
      <w:r w:rsidRPr="00912CD3">
        <w:rPr>
          <w:lang w:val="fr-CH"/>
        </w:rPr>
        <w:tab/>
        <w:t>Proposition 2</w:t>
      </w:r>
    </w:p>
    <w:p w:rsidR="00912CD3" w:rsidRPr="00912CD3" w:rsidRDefault="00912CD3" w:rsidP="00912CD3">
      <w:pPr>
        <w:pStyle w:val="SingleTxt"/>
        <w:keepNext/>
        <w:spacing w:after="0" w:line="120" w:lineRule="exact"/>
        <w:rPr>
          <w:b/>
          <w:sz w:val="10"/>
          <w:lang w:val="fr-CH"/>
        </w:rPr>
      </w:pPr>
    </w:p>
    <w:p w:rsidR="00912CD3" w:rsidRPr="00912CD3" w:rsidRDefault="00912CD3" w:rsidP="00912CD3">
      <w:pPr>
        <w:pStyle w:val="SingleTxt"/>
        <w:keepNext/>
        <w:spacing w:after="0" w:line="120" w:lineRule="exact"/>
        <w:rPr>
          <w:b/>
          <w:sz w:val="10"/>
          <w:lang w:val="fr-CH"/>
        </w:rPr>
      </w:pPr>
    </w:p>
    <w:p w:rsidR="00E96E1D" w:rsidRPr="00912CD3" w:rsidRDefault="00912CD3" w:rsidP="00912C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96E1D" w:rsidRPr="00912CD3">
        <w:rPr>
          <w:lang w:val="fr-CH"/>
        </w:rPr>
        <w:t>ADR</w:t>
      </w:r>
      <w:r>
        <w:rPr>
          <w:lang w:val="fr-CH"/>
        </w:rPr>
        <w:t> </w:t>
      </w:r>
      <w:r w:rsidR="00E96E1D" w:rsidRPr="00912CD3">
        <w:rPr>
          <w:lang w:val="fr-CH"/>
        </w:rPr>
        <w:t>:</w:t>
      </w:r>
    </w:p>
    <w:p w:rsidR="00912CD3" w:rsidRPr="00912CD3" w:rsidRDefault="00912CD3" w:rsidP="00912CD3">
      <w:pPr>
        <w:pStyle w:val="SingleTxt"/>
        <w:spacing w:after="0" w:line="120" w:lineRule="exact"/>
        <w:rPr>
          <w:sz w:val="10"/>
          <w:lang w:val="fr-CH"/>
        </w:rPr>
      </w:pPr>
    </w:p>
    <w:p w:rsidR="00E96E1D" w:rsidRPr="00912CD3" w:rsidRDefault="0029773E" w:rsidP="00E96E1D">
      <w:pPr>
        <w:pStyle w:val="SingleTxt"/>
        <w:rPr>
          <w:lang w:val="fr-CH"/>
        </w:rPr>
      </w:pPr>
      <w:r>
        <w:rPr>
          <w:lang w:val="fr-CH"/>
        </w:rPr>
        <w:tab/>
      </w:r>
      <w:r w:rsidR="00E96E1D" w:rsidRPr="00912CD3">
        <w:rPr>
          <w:lang w:val="fr-CH"/>
        </w:rPr>
        <w:t xml:space="preserve">Modifier la section 9.7.3 comme suit (les suppressions apparaissent </w:t>
      </w:r>
      <w:r w:rsidR="00E96E1D" w:rsidRPr="00912CD3">
        <w:rPr>
          <w:strike/>
          <w:lang w:val="fr-CH"/>
        </w:rPr>
        <w:t>biffées</w:t>
      </w:r>
      <w:r w:rsidR="00E96E1D" w:rsidRPr="00912CD3">
        <w:rPr>
          <w:lang w:val="fr-CH"/>
        </w:rPr>
        <w:t xml:space="preserve"> et les éléments nouveaux </w:t>
      </w:r>
      <w:r w:rsidR="00E96E1D" w:rsidRPr="00912CD3">
        <w:rPr>
          <w:u w:val="single"/>
          <w:lang w:val="fr-CH"/>
        </w:rPr>
        <w:t>soulignés</w:t>
      </w:r>
      <w:r w:rsidR="00E96E1D" w:rsidRPr="00912CD3">
        <w:rPr>
          <w:lang w:val="fr-CH"/>
        </w:rPr>
        <w:t>):</w:t>
      </w:r>
    </w:p>
    <w:p w:rsidR="00E96E1D" w:rsidRPr="00912CD3" w:rsidRDefault="00E96E1D" w:rsidP="001D0B34">
      <w:pPr>
        <w:pStyle w:val="SingleTxt"/>
        <w:rPr>
          <w:lang w:val="fr-CH"/>
        </w:rPr>
      </w:pPr>
      <w:r w:rsidRPr="00912CD3">
        <w:rPr>
          <w:lang w:val="fr-CH"/>
        </w:rPr>
        <w:t>Les moyens de fixation doivent être conçus pour résister aux sollicitations statiques et dynamiques dans les conditions normales de transport</w:t>
      </w:r>
      <w:r w:rsidRPr="001C1E37">
        <w:rPr>
          <w:u w:val="single"/>
          <w:lang w:val="fr-CH"/>
        </w:rPr>
        <w:t>.</w:t>
      </w:r>
      <w:r w:rsidRPr="00912CD3">
        <w:rPr>
          <w:lang w:val="fr-CH"/>
        </w:rPr>
        <w:t xml:space="preserve"> </w:t>
      </w:r>
      <w:proofErr w:type="gramStart"/>
      <w:r w:rsidRPr="001C1E37">
        <w:rPr>
          <w:strike/>
          <w:lang w:val="fr-CH"/>
        </w:rPr>
        <w:t>ainsi</w:t>
      </w:r>
      <w:proofErr w:type="gramEnd"/>
      <w:r w:rsidRPr="001C1E37">
        <w:rPr>
          <w:strike/>
          <w:lang w:val="fr-CH"/>
        </w:rPr>
        <w:t xml:space="preserve"> qu’aux contraintes minimales telles qu’elles sont définies aux 6.8.2.1.2, 6.8.2.1.11 </w:t>
      </w:r>
      <w:r w:rsidR="001D0B34">
        <w:rPr>
          <w:strike/>
          <w:lang w:val="fr-CH"/>
        </w:rPr>
        <w:t>à</w:t>
      </w:r>
      <w:r w:rsidRPr="001C1E37">
        <w:rPr>
          <w:strike/>
          <w:lang w:val="fr-CH"/>
        </w:rPr>
        <w:t xml:space="preserve"> 6.8.2.1.13, 6.8.2.1.15 </w:t>
      </w:r>
      <w:r w:rsidR="001D0B34">
        <w:rPr>
          <w:strike/>
          <w:lang w:val="fr-CH"/>
        </w:rPr>
        <w:t>et</w:t>
      </w:r>
      <w:r w:rsidRPr="001C1E37">
        <w:rPr>
          <w:strike/>
          <w:lang w:val="fr-CH"/>
        </w:rPr>
        <w:t xml:space="preserve"> 6.8.2.1.16 dans le cas de véhicules-citernes, de véhicules batteries et de véhicules porteurs de citernes démontables</w:t>
      </w:r>
      <w:r w:rsidRPr="00912CD3">
        <w:rPr>
          <w:lang w:val="fr-CH"/>
        </w:rPr>
        <w:t>.</w:t>
      </w:r>
    </w:p>
    <w:p w:rsidR="00E96E1D" w:rsidRPr="00912CD3" w:rsidRDefault="00E96E1D" w:rsidP="00E96E1D">
      <w:pPr>
        <w:pStyle w:val="SingleTxt"/>
        <w:rPr>
          <w:lang w:val="fr-CH"/>
        </w:rPr>
      </w:pPr>
      <w:r w:rsidRPr="00912CD3">
        <w:rPr>
          <w:lang w:val="fr-CH"/>
        </w:rPr>
        <w:t>Dans les cas énumérés ci-dessous, ces contraintes sont définies comme suit</w:t>
      </w:r>
      <w:r w:rsidR="001C1E37">
        <w:rPr>
          <w:lang w:val="fr-CH"/>
        </w:rPr>
        <w:t> </w:t>
      </w:r>
      <w:r w:rsidRPr="00912CD3">
        <w:rPr>
          <w:lang w:val="fr-CH"/>
        </w:rPr>
        <w:t xml:space="preserve">: </w:t>
      </w:r>
    </w:p>
    <w:p w:rsidR="00E96E1D" w:rsidRPr="001D0B34" w:rsidRDefault="001C1E37" w:rsidP="00E96E1D">
      <w:pPr>
        <w:pStyle w:val="SingleTxt"/>
        <w:rPr>
          <w:bCs/>
          <w:spacing w:val="2"/>
          <w:lang w:val="fr-CH"/>
        </w:rPr>
      </w:pPr>
      <w:r>
        <w:rPr>
          <w:lang w:val="fr-CH"/>
        </w:rPr>
        <w:tab/>
      </w:r>
      <w:r w:rsidR="00E96E1D" w:rsidRPr="00912CD3">
        <w:rPr>
          <w:lang w:val="fr-CH"/>
        </w:rPr>
        <w:t>a)</w:t>
      </w:r>
      <w:r w:rsidR="00E96E1D" w:rsidRPr="00912CD3">
        <w:rPr>
          <w:lang w:val="fr-CH"/>
        </w:rPr>
        <w:tab/>
      </w:r>
      <w:r w:rsidR="0029773E" w:rsidRPr="001D0B34">
        <w:rPr>
          <w:spacing w:val="2"/>
          <w:lang w:val="fr-CH"/>
        </w:rPr>
        <w:t xml:space="preserve">Pour </w:t>
      </w:r>
      <w:r w:rsidR="00E96E1D" w:rsidRPr="001D0B34">
        <w:rPr>
          <w:spacing w:val="2"/>
          <w:lang w:val="fr-CH"/>
        </w:rPr>
        <w:t>les véhicules-citernes et les véhicules porteurs de citernes démontables, voir les paragraphes 6.8.2.1.2, 6.8.2.1.11 à 6.8.2.1.13, 6.8.2.1.15 et 6.8.2.1.16</w:t>
      </w:r>
      <w:r w:rsidR="00E96E1D" w:rsidRPr="001D0B34">
        <w:rPr>
          <w:bCs/>
          <w:spacing w:val="2"/>
          <w:lang w:val="fr-CH"/>
        </w:rPr>
        <w:t>;</w:t>
      </w:r>
    </w:p>
    <w:p w:rsidR="00E96E1D" w:rsidRPr="00912CD3" w:rsidRDefault="001C1E37" w:rsidP="00E96E1D">
      <w:pPr>
        <w:pStyle w:val="SingleTxt"/>
        <w:rPr>
          <w:bCs/>
          <w:lang w:val="fr-CH"/>
        </w:rPr>
      </w:pPr>
      <w:r>
        <w:rPr>
          <w:bCs/>
          <w:lang w:val="fr-CH"/>
        </w:rPr>
        <w:tab/>
      </w:r>
      <w:r w:rsidR="00E96E1D" w:rsidRPr="00912CD3">
        <w:rPr>
          <w:bCs/>
          <w:lang w:val="fr-CH"/>
        </w:rPr>
        <w:t>b)</w:t>
      </w:r>
      <w:r w:rsidR="00E96E1D" w:rsidRPr="00912CD3">
        <w:rPr>
          <w:bCs/>
          <w:lang w:val="fr-CH"/>
        </w:rPr>
        <w:tab/>
      </w:r>
      <w:r w:rsidR="0029773E" w:rsidRPr="00912CD3">
        <w:rPr>
          <w:bCs/>
          <w:lang w:val="fr-CH"/>
        </w:rPr>
        <w:t xml:space="preserve">Pour </w:t>
      </w:r>
      <w:r w:rsidR="00E96E1D" w:rsidRPr="00912CD3">
        <w:rPr>
          <w:bCs/>
          <w:lang w:val="fr-CH"/>
        </w:rPr>
        <w:t xml:space="preserve">les </w:t>
      </w:r>
      <w:r w:rsidR="00E96E1D" w:rsidRPr="00912CD3">
        <w:rPr>
          <w:lang w:val="fr-CH"/>
        </w:rPr>
        <w:t>[caisses-mobiles citernes et les] conteneurs-citernes, voir les paragraphes 6.8.2.1.2 et 6.8.2.1.11 à 6.8.2.1.13;</w:t>
      </w:r>
    </w:p>
    <w:p w:rsidR="00E96E1D" w:rsidRPr="00912CD3" w:rsidRDefault="001C1E37" w:rsidP="00E96E1D">
      <w:pPr>
        <w:pStyle w:val="SingleTxt"/>
        <w:rPr>
          <w:lang w:val="fr-CH"/>
        </w:rPr>
      </w:pPr>
      <w:r>
        <w:rPr>
          <w:bCs/>
          <w:lang w:val="fr-CH"/>
        </w:rPr>
        <w:tab/>
      </w:r>
      <w:r w:rsidR="00E96E1D" w:rsidRPr="00912CD3">
        <w:rPr>
          <w:bCs/>
          <w:lang w:val="fr-CH"/>
        </w:rPr>
        <w:t>c)</w:t>
      </w:r>
      <w:r w:rsidR="00E96E1D" w:rsidRPr="00912CD3">
        <w:rPr>
          <w:b/>
          <w:bCs/>
          <w:lang w:val="fr-CH"/>
        </w:rPr>
        <w:tab/>
      </w:r>
      <w:r w:rsidR="0029773E" w:rsidRPr="00912CD3">
        <w:rPr>
          <w:bCs/>
          <w:lang w:val="fr-CH"/>
        </w:rPr>
        <w:t xml:space="preserve">Pour </w:t>
      </w:r>
      <w:r w:rsidR="00E96E1D" w:rsidRPr="00912CD3">
        <w:rPr>
          <w:bCs/>
          <w:lang w:val="fr-CH"/>
        </w:rPr>
        <w:t>les</w:t>
      </w:r>
      <w:r w:rsidR="00E96E1D" w:rsidRPr="00912CD3">
        <w:rPr>
          <w:b/>
          <w:bCs/>
          <w:lang w:val="fr-CH"/>
        </w:rPr>
        <w:t xml:space="preserve"> </w:t>
      </w:r>
      <w:r w:rsidR="00E96E1D" w:rsidRPr="00912CD3">
        <w:rPr>
          <w:lang w:val="fr-CH"/>
        </w:rPr>
        <w:t>véhicules batteries et les véhicules porteurs de CGEM, voir le paragraphe 6.8.3.1.5;</w:t>
      </w:r>
    </w:p>
    <w:p w:rsidR="00E96E1D" w:rsidRPr="00912CD3" w:rsidRDefault="001C1E37" w:rsidP="00E96E1D">
      <w:pPr>
        <w:pStyle w:val="SingleTxt"/>
        <w:rPr>
          <w:lang w:val="fr-CH"/>
        </w:rPr>
      </w:pPr>
      <w:r>
        <w:rPr>
          <w:lang w:val="fr-CH"/>
        </w:rPr>
        <w:tab/>
      </w:r>
      <w:r w:rsidR="00E96E1D" w:rsidRPr="00912CD3">
        <w:rPr>
          <w:lang w:val="fr-CH"/>
        </w:rPr>
        <w:t>d)</w:t>
      </w:r>
      <w:r w:rsidR="00E96E1D" w:rsidRPr="00912CD3">
        <w:rPr>
          <w:lang w:val="fr-CH"/>
        </w:rPr>
        <w:tab/>
      </w:r>
      <w:r w:rsidR="0029773E" w:rsidRPr="00912CD3">
        <w:rPr>
          <w:lang w:val="fr-CH"/>
        </w:rPr>
        <w:t xml:space="preserve">Pour </w:t>
      </w:r>
      <w:r w:rsidR="00E96E1D" w:rsidRPr="00912CD3">
        <w:rPr>
          <w:lang w:val="fr-CH"/>
        </w:rPr>
        <w:t xml:space="preserve">les véhicules porteurs de citernes mobiles, voir les paragraphes 6.7.2.2.12, 6.7.3.2.9 ou 6.7.4.2.12 selon le cas; et </w:t>
      </w:r>
    </w:p>
    <w:p w:rsidR="00E96E1D" w:rsidRPr="00912CD3" w:rsidRDefault="001C1E37" w:rsidP="001C1E37">
      <w:pPr>
        <w:pStyle w:val="SingleTxt"/>
        <w:rPr>
          <w:lang w:val="fr-CH"/>
        </w:rPr>
      </w:pPr>
      <w:r>
        <w:rPr>
          <w:lang w:val="fr-CH"/>
        </w:rPr>
        <w:tab/>
      </w:r>
      <w:r w:rsidR="00E96E1D" w:rsidRPr="00912CD3">
        <w:rPr>
          <w:lang w:val="fr-CH"/>
        </w:rPr>
        <w:t>e)</w:t>
      </w:r>
      <w:r w:rsidR="00E96E1D" w:rsidRPr="00912CD3">
        <w:rPr>
          <w:lang w:val="fr-CH"/>
        </w:rPr>
        <w:tab/>
      </w:r>
      <w:r w:rsidR="0029773E" w:rsidRPr="00912CD3">
        <w:rPr>
          <w:lang w:val="fr-CH"/>
        </w:rPr>
        <w:t xml:space="preserve">Pour </w:t>
      </w:r>
      <w:r w:rsidR="00E96E1D" w:rsidRPr="00912CD3">
        <w:rPr>
          <w:lang w:val="fr-CH"/>
        </w:rPr>
        <w:t xml:space="preserve">les véhicules porteurs de CGEM </w:t>
      </w:r>
      <w:r>
        <w:rPr>
          <w:lang w:val="fr-CH"/>
        </w:rPr>
        <w:t>« </w:t>
      </w:r>
      <w:r w:rsidR="00E96E1D" w:rsidRPr="00912CD3">
        <w:rPr>
          <w:lang w:val="fr-CH"/>
        </w:rPr>
        <w:t>UN</w:t>
      </w:r>
      <w:r>
        <w:rPr>
          <w:lang w:val="fr-CH"/>
        </w:rPr>
        <w:t> »</w:t>
      </w:r>
      <w:r w:rsidR="00E96E1D" w:rsidRPr="00912CD3">
        <w:rPr>
          <w:lang w:val="fr-CH"/>
        </w:rPr>
        <w:t>, voir le paragraphe 6.7.5.2.8.</w:t>
      </w:r>
    </w:p>
    <w:p w:rsidR="001C1E37" w:rsidRPr="001C1E37" w:rsidRDefault="001C1E37" w:rsidP="001C1E37">
      <w:pPr>
        <w:pStyle w:val="SingleTxt"/>
        <w:spacing w:after="0" w:line="120" w:lineRule="exact"/>
        <w:rPr>
          <w:b/>
          <w:sz w:val="10"/>
          <w:lang w:val="fr-CH"/>
        </w:rPr>
      </w:pPr>
    </w:p>
    <w:p w:rsidR="001C1E37" w:rsidRPr="001C1E37" w:rsidRDefault="001C1E37" w:rsidP="001C1E37">
      <w:pPr>
        <w:pStyle w:val="SingleTxt"/>
        <w:spacing w:after="0" w:line="120" w:lineRule="exact"/>
        <w:rPr>
          <w:b/>
          <w:sz w:val="10"/>
          <w:lang w:val="fr-CH"/>
        </w:rPr>
      </w:pPr>
    </w:p>
    <w:p w:rsidR="00E96E1D" w:rsidRPr="00912CD3" w:rsidRDefault="00E96E1D" w:rsidP="001C1E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12CD3">
        <w:rPr>
          <w:lang w:val="fr-CH"/>
        </w:rPr>
        <w:tab/>
      </w:r>
      <w:r w:rsidRPr="00912CD3">
        <w:rPr>
          <w:lang w:val="fr-CH"/>
        </w:rPr>
        <w:tab/>
        <w:t>Proposition 3</w:t>
      </w:r>
    </w:p>
    <w:p w:rsidR="001C1E37" w:rsidRPr="001C1E37" w:rsidRDefault="001C1E37" w:rsidP="001C1E37">
      <w:pPr>
        <w:pStyle w:val="SingleTxt"/>
        <w:spacing w:after="0" w:line="120" w:lineRule="exact"/>
        <w:rPr>
          <w:b/>
          <w:sz w:val="10"/>
          <w:lang w:val="fr-CH"/>
        </w:rPr>
      </w:pPr>
    </w:p>
    <w:p w:rsidR="001C1E37" w:rsidRPr="001C1E37" w:rsidRDefault="001C1E37" w:rsidP="001C1E37">
      <w:pPr>
        <w:pStyle w:val="SingleTxt"/>
        <w:spacing w:after="0" w:line="120" w:lineRule="exact"/>
        <w:rPr>
          <w:b/>
          <w:sz w:val="10"/>
          <w:lang w:val="fr-CH"/>
        </w:rPr>
      </w:pPr>
    </w:p>
    <w:p w:rsidR="00E96E1D" w:rsidRPr="00912CD3" w:rsidRDefault="001C1E37" w:rsidP="001C1E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E96E1D" w:rsidRPr="00912CD3">
        <w:rPr>
          <w:lang w:val="fr-CH"/>
        </w:rPr>
        <w:t>ADR/RID</w:t>
      </w:r>
      <w:r>
        <w:rPr>
          <w:lang w:val="fr-CH"/>
        </w:rPr>
        <w:t> </w:t>
      </w:r>
      <w:r w:rsidR="00E96E1D" w:rsidRPr="00912CD3">
        <w:rPr>
          <w:lang w:val="fr-CH"/>
        </w:rPr>
        <w:t>:</w:t>
      </w:r>
    </w:p>
    <w:p w:rsidR="001C1E37" w:rsidRPr="001C1E37" w:rsidRDefault="001C1E37" w:rsidP="001C1E37">
      <w:pPr>
        <w:pStyle w:val="SingleTxt"/>
        <w:spacing w:after="0" w:line="120" w:lineRule="exact"/>
        <w:rPr>
          <w:sz w:val="10"/>
          <w:lang w:val="fr-CH"/>
        </w:rPr>
      </w:pPr>
    </w:p>
    <w:p w:rsidR="00E96E1D" w:rsidRPr="00912CD3" w:rsidRDefault="0029773E" w:rsidP="00E96E1D">
      <w:pPr>
        <w:pStyle w:val="SingleTxt"/>
        <w:rPr>
          <w:lang w:val="fr-CH"/>
        </w:rPr>
      </w:pPr>
      <w:r>
        <w:rPr>
          <w:lang w:val="fr-CH"/>
        </w:rPr>
        <w:tab/>
      </w:r>
      <w:r w:rsidR="001D0B34">
        <w:rPr>
          <w:lang w:val="fr-CH"/>
        </w:rPr>
        <w:t>Modifier la section </w:t>
      </w:r>
      <w:r w:rsidR="00E96E1D" w:rsidRPr="00912CD3">
        <w:rPr>
          <w:lang w:val="fr-CH"/>
        </w:rPr>
        <w:t xml:space="preserve">7.1.3 comme suit (les éléments nouveaux apparaissent </w:t>
      </w:r>
      <w:r w:rsidR="00E96E1D" w:rsidRPr="00912CD3">
        <w:rPr>
          <w:u w:val="single"/>
          <w:lang w:val="fr-CH"/>
        </w:rPr>
        <w:t>soulignés</w:t>
      </w:r>
      <w:r w:rsidR="00E96E1D" w:rsidRPr="00912CD3">
        <w:rPr>
          <w:lang w:val="fr-CH"/>
        </w:rPr>
        <w:t>)</w:t>
      </w:r>
      <w:r w:rsidR="001C1E37">
        <w:rPr>
          <w:lang w:val="fr-CH"/>
        </w:rPr>
        <w:t> </w:t>
      </w:r>
      <w:r w:rsidR="00E96E1D" w:rsidRPr="00912CD3">
        <w:rPr>
          <w:lang w:val="fr-CH"/>
        </w:rPr>
        <w:t>:</w:t>
      </w:r>
    </w:p>
    <w:p w:rsidR="00E96E1D" w:rsidRPr="00912CD3" w:rsidRDefault="00E96E1D" w:rsidP="0029773E">
      <w:pPr>
        <w:pStyle w:val="SingleTxt"/>
        <w:rPr>
          <w:lang w:val="fr-CH"/>
        </w:rPr>
      </w:pPr>
      <w:r w:rsidRPr="00912CD3">
        <w:rPr>
          <w:lang w:val="fr-CH"/>
        </w:rPr>
        <w:t>Les grands conteneurs, les citernes mobiles</w:t>
      </w:r>
      <w:r w:rsidRPr="001D0B34">
        <w:rPr>
          <w:u w:val="single"/>
          <w:lang w:val="fr-CH"/>
        </w:rPr>
        <w:t xml:space="preserve">, </w:t>
      </w:r>
      <w:r w:rsidRPr="00912CD3">
        <w:rPr>
          <w:u w:val="single"/>
          <w:lang w:val="fr-CH"/>
        </w:rPr>
        <w:t>les CGEM</w:t>
      </w:r>
      <w:r w:rsidRPr="00912CD3">
        <w:rPr>
          <w:lang w:val="fr-CH"/>
        </w:rPr>
        <w:t xml:space="preserve"> et les conteneurs-citernes qui répondent à la définition du </w:t>
      </w:r>
      <w:r w:rsidR="0029773E">
        <w:rPr>
          <w:lang w:val="fr-CH"/>
        </w:rPr>
        <w:t>« </w:t>
      </w:r>
      <w:r w:rsidRPr="00912CD3">
        <w:rPr>
          <w:lang w:val="fr-CH"/>
        </w:rPr>
        <w:t>conteneur</w:t>
      </w:r>
      <w:r w:rsidR="0029773E">
        <w:rPr>
          <w:lang w:val="fr-CH"/>
        </w:rPr>
        <w:t> »</w:t>
      </w:r>
      <w:r w:rsidRPr="00912CD3">
        <w:rPr>
          <w:lang w:val="fr-CH"/>
        </w:rPr>
        <w:t xml:space="preserve"> donnée dans la CSC (1972), telle que modifiée ou dans les Fiches UI</w:t>
      </w:r>
      <w:r w:rsidR="001C1E37">
        <w:rPr>
          <w:lang w:val="fr-CH"/>
        </w:rPr>
        <w:t>C 591 (état au 01.10.2007, 3</w:t>
      </w:r>
      <w:r w:rsidR="001C1E37" w:rsidRPr="001C1E37">
        <w:rPr>
          <w:vertAlign w:val="superscript"/>
          <w:lang w:val="fr-CH"/>
        </w:rPr>
        <w:t>e</w:t>
      </w:r>
      <w:r w:rsidR="001C1E37">
        <w:rPr>
          <w:lang w:val="fr-CH"/>
        </w:rPr>
        <w:t> </w:t>
      </w:r>
      <w:r w:rsidRPr="00912CD3">
        <w:rPr>
          <w:lang w:val="fr-CH"/>
        </w:rPr>
        <w:t>éd</w:t>
      </w:r>
      <w:r w:rsidR="001C1E37">
        <w:rPr>
          <w:lang w:val="fr-CH"/>
        </w:rPr>
        <w:t>.</w:t>
      </w:r>
      <w:r w:rsidRPr="00912CD3">
        <w:rPr>
          <w:lang w:val="fr-CH"/>
        </w:rPr>
        <w:t>), 592 (état au 01.10.2013, 2</w:t>
      </w:r>
      <w:r w:rsidR="001C1E37" w:rsidRPr="001C1E37">
        <w:rPr>
          <w:vertAlign w:val="superscript"/>
          <w:lang w:val="fr-CH"/>
        </w:rPr>
        <w:t>e</w:t>
      </w:r>
      <w:r w:rsidR="001C1E37">
        <w:rPr>
          <w:lang w:val="fr-CH"/>
        </w:rPr>
        <w:t> </w:t>
      </w:r>
      <w:r w:rsidRPr="00912CD3">
        <w:rPr>
          <w:lang w:val="fr-CH"/>
        </w:rPr>
        <w:t>éd</w:t>
      </w:r>
      <w:r w:rsidR="001C1E37">
        <w:rPr>
          <w:lang w:val="fr-CH"/>
        </w:rPr>
        <w:t>.</w:t>
      </w:r>
      <w:r w:rsidRPr="00912CD3">
        <w:rPr>
          <w:lang w:val="fr-CH"/>
        </w:rPr>
        <w:t xml:space="preserve">), </w:t>
      </w:r>
      <w:r w:rsidR="001C1E37">
        <w:rPr>
          <w:lang w:val="fr-CH"/>
        </w:rPr>
        <w:t>592-2 (état au 01.10.2004, 6</w:t>
      </w:r>
      <w:r w:rsidR="001C1E37" w:rsidRPr="001C1E37">
        <w:rPr>
          <w:vertAlign w:val="superscript"/>
          <w:lang w:val="fr-CH"/>
        </w:rPr>
        <w:t>e</w:t>
      </w:r>
      <w:r w:rsidR="001C1E37">
        <w:rPr>
          <w:lang w:val="fr-CH"/>
        </w:rPr>
        <w:t> </w:t>
      </w:r>
      <w:r w:rsidRPr="00912CD3">
        <w:rPr>
          <w:lang w:val="fr-CH"/>
        </w:rPr>
        <w:t>éd</w:t>
      </w:r>
      <w:r w:rsidR="001C1E37">
        <w:rPr>
          <w:lang w:val="fr-CH"/>
        </w:rPr>
        <w:t>.</w:t>
      </w:r>
      <w:r w:rsidRPr="00912CD3">
        <w:rPr>
          <w:lang w:val="fr-CH"/>
        </w:rPr>
        <w:t>), 592-3 (état au 01.01.1998, 2</w:t>
      </w:r>
      <w:r w:rsidR="001C1E37" w:rsidRPr="001C1E37">
        <w:rPr>
          <w:vertAlign w:val="superscript"/>
          <w:lang w:val="fr-CH"/>
        </w:rPr>
        <w:t>e</w:t>
      </w:r>
      <w:r w:rsidR="001C1E37">
        <w:rPr>
          <w:lang w:val="fr-CH"/>
        </w:rPr>
        <w:t> </w:t>
      </w:r>
      <w:r w:rsidRPr="00912CD3">
        <w:rPr>
          <w:lang w:val="fr-CH"/>
        </w:rPr>
        <w:t>éd</w:t>
      </w:r>
      <w:r w:rsidR="001C1E37">
        <w:rPr>
          <w:lang w:val="fr-CH"/>
        </w:rPr>
        <w:t>.</w:t>
      </w:r>
      <w:r w:rsidRPr="00912CD3">
        <w:rPr>
          <w:lang w:val="fr-CH"/>
        </w:rPr>
        <w:t>) et 592-4 (état au 01.05.2007, 3</w:t>
      </w:r>
      <w:r w:rsidR="001C1E37" w:rsidRPr="001C1E37">
        <w:rPr>
          <w:vertAlign w:val="superscript"/>
          <w:lang w:val="fr-CH"/>
        </w:rPr>
        <w:t>e</w:t>
      </w:r>
      <w:r w:rsidR="001C1E37">
        <w:rPr>
          <w:lang w:val="fr-CH"/>
        </w:rPr>
        <w:t> éd.</w:t>
      </w:r>
      <w:r w:rsidRPr="00912CD3">
        <w:rPr>
          <w:lang w:val="fr-CH"/>
        </w:rPr>
        <w:t>) ne peuvent être utilisés pour le transport des marchandises dangereuses que si le grand conteneur ou le cadre de la citerne mobile ou du conteneur-citerne répond aux dispositi</w:t>
      </w:r>
      <w:r w:rsidR="001D0B34">
        <w:rPr>
          <w:lang w:val="fr-CH"/>
        </w:rPr>
        <w:t>ons de la CSC ou des Fiches UIC </w:t>
      </w:r>
      <w:r w:rsidRPr="00912CD3">
        <w:rPr>
          <w:lang w:val="fr-CH"/>
        </w:rPr>
        <w:t>591, 592 et 592-2 à 592-4.</w:t>
      </w:r>
    </w:p>
    <w:p w:rsidR="00A0676D" w:rsidRPr="00912CD3" w:rsidRDefault="00E96E1D" w:rsidP="00E96E1D">
      <w:pPr>
        <w:pStyle w:val="SingleTxt"/>
        <w:spacing w:after="0" w:line="240" w:lineRule="auto"/>
        <w:rPr>
          <w:lang w:val="fr-CH"/>
        </w:rPr>
      </w:pPr>
      <w:r w:rsidRPr="00912CD3">
        <w:rPr>
          <w:noProof/>
          <w:w w:val="100"/>
          <w:lang w:val="en-GB" w:eastAsia="en-GB"/>
        </w:rPr>
        <mc:AlternateContent>
          <mc:Choice Requires="wps">
            <w:drawing>
              <wp:anchor distT="0" distB="0" distL="114300" distR="114300" simplePos="0" relativeHeight="251659264" behindDoc="0" locked="0" layoutInCell="1" allowOverlap="1" wp14:anchorId="153EAD9E" wp14:editId="209749C3">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0676D" w:rsidRPr="00912CD3" w:rsidSect="00A0676D">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A8F" w:rsidRDefault="000C7A8F" w:rsidP="00F3330B">
      <w:pPr>
        <w:spacing w:line="240" w:lineRule="auto"/>
      </w:pPr>
      <w:r>
        <w:separator/>
      </w:r>
    </w:p>
  </w:endnote>
  <w:endnote w:type="continuationSeparator" w:id="0">
    <w:p w:rsidR="000C7A8F" w:rsidRDefault="000C7A8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A0676D" w:rsidTr="00A0676D">
      <w:trPr>
        <w:jc w:val="center"/>
      </w:trPr>
      <w:tc>
        <w:tcPr>
          <w:tcW w:w="5088" w:type="dxa"/>
          <w:shd w:val="clear" w:color="auto" w:fill="auto"/>
        </w:tcPr>
        <w:p w:rsidR="00A0676D" w:rsidRPr="00A0676D" w:rsidRDefault="00A0676D" w:rsidP="00A0676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D59EA">
            <w:rPr>
              <w:b w:val="0"/>
              <w:w w:val="103"/>
              <w:sz w:val="14"/>
            </w:rPr>
            <w:t>GE.15-22781</w:t>
          </w:r>
          <w:r>
            <w:rPr>
              <w:b w:val="0"/>
              <w:w w:val="103"/>
              <w:sz w:val="14"/>
            </w:rPr>
            <w:fldChar w:fldCharType="end"/>
          </w:r>
        </w:p>
      </w:tc>
      <w:tc>
        <w:tcPr>
          <w:tcW w:w="5089" w:type="dxa"/>
          <w:shd w:val="clear" w:color="auto" w:fill="auto"/>
        </w:tcPr>
        <w:p w:rsidR="00A0676D" w:rsidRPr="00A0676D" w:rsidRDefault="00A0676D" w:rsidP="00A0676D">
          <w:pPr>
            <w:pStyle w:val="Footer"/>
            <w:rPr>
              <w:w w:val="103"/>
            </w:rPr>
          </w:pPr>
          <w:r>
            <w:rPr>
              <w:w w:val="103"/>
            </w:rPr>
            <w:fldChar w:fldCharType="begin"/>
          </w:r>
          <w:r>
            <w:rPr>
              <w:w w:val="103"/>
            </w:rPr>
            <w:instrText xml:space="preserve"> PAGE  \* Arabic  \* MERGEFORMAT </w:instrText>
          </w:r>
          <w:r>
            <w:rPr>
              <w:w w:val="103"/>
            </w:rPr>
            <w:fldChar w:fldCharType="separate"/>
          </w:r>
          <w:r w:rsidR="008D59EA">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D59EA">
            <w:rPr>
              <w:noProof/>
              <w:w w:val="103"/>
            </w:rPr>
            <w:t>4</w:t>
          </w:r>
          <w:r>
            <w:rPr>
              <w:w w:val="103"/>
            </w:rPr>
            <w:fldChar w:fldCharType="end"/>
          </w:r>
        </w:p>
      </w:tc>
    </w:tr>
  </w:tbl>
  <w:p w:rsidR="00A0676D" w:rsidRPr="00A0676D" w:rsidRDefault="00A0676D" w:rsidP="00A06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A0676D" w:rsidTr="00A0676D">
      <w:trPr>
        <w:jc w:val="center"/>
      </w:trPr>
      <w:tc>
        <w:tcPr>
          <w:tcW w:w="5088" w:type="dxa"/>
          <w:shd w:val="clear" w:color="auto" w:fill="auto"/>
        </w:tcPr>
        <w:p w:rsidR="00A0676D" w:rsidRPr="00A0676D" w:rsidRDefault="00A0676D" w:rsidP="00A0676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D59EA">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D59EA">
            <w:rPr>
              <w:noProof/>
              <w:w w:val="103"/>
            </w:rPr>
            <w:t>4</w:t>
          </w:r>
          <w:r>
            <w:rPr>
              <w:w w:val="103"/>
            </w:rPr>
            <w:fldChar w:fldCharType="end"/>
          </w:r>
        </w:p>
      </w:tc>
      <w:tc>
        <w:tcPr>
          <w:tcW w:w="5089" w:type="dxa"/>
          <w:shd w:val="clear" w:color="auto" w:fill="auto"/>
        </w:tcPr>
        <w:p w:rsidR="00A0676D" w:rsidRPr="00A0676D" w:rsidRDefault="00A0676D" w:rsidP="00A0676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D59EA">
            <w:rPr>
              <w:b w:val="0"/>
              <w:w w:val="103"/>
              <w:sz w:val="14"/>
            </w:rPr>
            <w:t>GE.15-22781</w:t>
          </w:r>
          <w:r>
            <w:rPr>
              <w:b w:val="0"/>
              <w:w w:val="103"/>
              <w:sz w:val="14"/>
            </w:rPr>
            <w:fldChar w:fldCharType="end"/>
          </w:r>
        </w:p>
      </w:tc>
    </w:tr>
  </w:tbl>
  <w:p w:rsidR="00A0676D" w:rsidRPr="00A0676D" w:rsidRDefault="00A0676D" w:rsidP="00A067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6D" w:rsidRDefault="00A0676D">
    <w:pPr>
      <w:pStyle w:val="Footer"/>
    </w:pPr>
    <w:r>
      <w:rPr>
        <w:noProof/>
        <w:lang w:val="en-GB" w:eastAsia="en-GB"/>
      </w:rPr>
      <w:drawing>
        <wp:anchor distT="0" distB="0" distL="114300" distR="114300" simplePos="0" relativeHeight="251658240" behindDoc="0" locked="0" layoutInCell="1" allowOverlap="1" wp14:anchorId="7AD0321C" wp14:editId="201F610A">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6/1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6/1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A0676D" w:rsidTr="00A0676D">
      <w:tc>
        <w:tcPr>
          <w:tcW w:w="3859" w:type="dxa"/>
        </w:tcPr>
        <w:p w:rsidR="00A0676D" w:rsidRDefault="00A0676D" w:rsidP="00E96E1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D59EA">
            <w:rPr>
              <w:b w:val="0"/>
              <w:sz w:val="20"/>
            </w:rPr>
            <w:t>GE.15-22781 (F)</w:t>
          </w:r>
          <w:r>
            <w:rPr>
              <w:b w:val="0"/>
              <w:sz w:val="20"/>
            </w:rPr>
            <w:fldChar w:fldCharType="end"/>
          </w:r>
          <w:r>
            <w:rPr>
              <w:b w:val="0"/>
              <w:sz w:val="20"/>
            </w:rPr>
            <w:t xml:space="preserve">    1</w:t>
          </w:r>
          <w:r w:rsidR="00E96E1D">
            <w:rPr>
              <w:b w:val="0"/>
              <w:sz w:val="20"/>
            </w:rPr>
            <w:t>1</w:t>
          </w:r>
          <w:r>
            <w:rPr>
              <w:b w:val="0"/>
              <w:sz w:val="20"/>
            </w:rPr>
            <w:t>0216    120216</w:t>
          </w:r>
        </w:p>
        <w:p w:rsidR="00A0676D" w:rsidRPr="00A0676D" w:rsidRDefault="00A0676D" w:rsidP="00A0676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D59EA">
            <w:rPr>
              <w:rFonts w:ascii="Barcode 3 of 9 by request" w:hAnsi="Barcode 3 of 9 by request"/>
              <w:b w:val="0"/>
              <w:spacing w:val="0"/>
              <w:w w:val="100"/>
              <w:sz w:val="24"/>
            </w:rPr>
            <w:t>*1522781*</w:t>
          </w:r>
          <w:r>
            <w:rPr>
              <w:rFonts w:ascii="Barcode 3 of 9 by request" w:hAnsi="Barcode 3 of 9 by request"/>
              <w:b w:val="0"/>
              <w:spacing w:val="0"/>
              <w:w w:val="100"/>
              <w:sz w:val="24"/>
            </w:rPr>
            <w:fldChar w:fldCharType="end"/>
          </w:r>
        </w:p>
      </w:tc>
      <w:tc>
        <w:tcPr>
          <w:tcW w:w="5089" w:type="dxa"/>
        </w:tcPr>
        <w:p w:rsidR="00A0676D" w:rsidRDefault="00A0676D" w:rsidP="00A0676D">
          <w:pPr>
            <w:pStyle w:val="Footer"/>
            <w:spacing w:line="240" w:lineRule="atLeast"/>
            <w:jc w:val="right"/>
            <w:rPr>
              <w:b w:val="0"/>
              <w:sz w:val="20"/>
            </w:rPr>
          </w:pPr>
          <w:r>
            <w:rPr>
              <w:b w:val="0"/>
              <w:noProof/>
              <w:sz w:val="20"/>
              <w:lang w:val="en-GB" w:eastAsia="en-GB"/>
            </w:rPr>
            <w:drawing>
              <wp:inline distT="0" distB="0" distL="0" distR="0" wp14:anchorId="6EDA907A" wp14:editId="51E57BF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0676D" w:rsidRPr="00A0676D" w:rsidRDefault="00A0676D" w:rsidP="00A0676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A8F" w:rsidRPr="00E96E1D" w:rsidRDefault="00E96E1D" w:rsidP="00E96E1D">
      <w:pPr>
        <w:pStyle w:val="Footer"/>
        <w:spacing w:after="80"/>
        <w:ind w:left="792"/>
        <w:rPr>
          <w:sz w:val="16"/>
        </w:rPr>
      </w:pPr>
      <w:r w:rsidRPr="00E96E1D">
        <w:rPr>
          <w:sz w:val="16"/>
        </w:rPr>
        <w:t>__________________</w:t>
      </w:r>
    </w:p>
  </w:footnote>
  <w:footnote w:type="continuationSeparator" w:id="0">
    <w:p w:rsidR="000C7A8F" w:rsidRPr="00E96E1D" w:rsidRDefault="00E96E1D" w:rsidP="00E96E1D">
      <w:pPr>
        <w:pStyle w:val="Footer"/>
        <w:spacing w:after="80"/>
        <w:ind w:left="792"/>
        <w:rPr>
          <w:sz w:val="16"/>
        </w:rPr>
      </w:pPr>
      <w:r w:rsidRPr="00E96E1D">
        <w:rPr>
          <w:sz w:val="16"/>
        </w:rPr>
        <w:t>__________________</w:t>
      </w:r>
    </w:p>
  </w:footnote>
  <w:footnote w:id="1">
    <w:p w:rsidR="00E96E1D" w:rsidRPr="00912CD3" w:rsidRDefault="00E96E1D" w:rsidP="0029773E">
      <w:pPr>
        <w:pStyle w:val="FootnoteText"/>
        <w:tabs>
          <w:tab w:val="right" w:pos="1195"/>
          <w:tab w:val="left" w:pos="1267"/>
          <w:tab w:val="left" w:pos="1742"/>
          <w:tab w:val="left" w:pos="2218"/>
          <w:tab w:val="left" w:pos="2693"/>
        </w:tabs>
        <w:ind w:left="1267" w:right="1260" w:hanging="432"/>
        <w:rPr>
          <w:lang w:val="fr-CH"/>
        </w:rPr>
      </w:pPr>
      <w:r w:rsidRPr="00912CD3">
        <w:rPr>
          <w:lang w:val="fr-CH"/>
        </w:rPr>
        <w:tab/>
      </w:r>
      <w:r w:rsidRPr="00912CD3">
        <w:rPr>
          <w:rStyle w:val="FootnoteReference"/>
          <w:spacing w:val="4"/>
          <w:lang w:val="fr-CH"/>
        </w:rPr>
        <w:footnoteRef/>
      </w:r>
      <w:r w:rsidRPr="00912CD3">
        <w:rPr>
          <w:lang w:val="fr-CH"/>
        </w:rPr>
        <w:tab/>
        <w:t>Conformément au projet de programme de travail du Comité des transports intérieurs pour la période 2016-2017 (ECE/TRANS/WP.15/2015/19 (9.2)).</w:t>
      </w:r>
    </w:p>
  </w:footnote>
  <w:footnote w:id="2">
    <w:p w:rsidR="00E96E1D" w:rsidRPr="00912CD3" w:rsidRDefault="00E96E1D" w:rsidP="00E96E1D">
      <w:pPr>
        <w:pStyle w:val="FootnoteText"/>
        <w:tabs>
          <w:tab w:val="right" w:pos="1195"/>
          <w:tab w:val="left" w:pos="1267"/>
          <w:tab w:val="left" w:pos="1742"/>
          <w:tab w:val="left" w:pos="2218"/>
          <w:tab w:val="left" w:pos="2693"/>
        </w:tabs>
        <w:ind w:left="1267" w:right="1260" w:hanging="432"/>
        <w:rPr>
          <w:lang w:val="fr-CH"/>
        </w:rPr>
      </w:pPr>
      <w:r w:rsidRPr="00912CD3">
        <w:rPr>
          <w:lang w:val="fr-CH"/>
        </w:rPr>
        <w:tab/>
      </w:r>
      <w:r w:rsidRPr="00912CD3">
        <w:rPr>
          <w:rStyle w:val="FootnoteReference"/>
          <w:spacing w:val="4"/>
          <w:lang w:val="fr-CH"/>
        </w:rPr>
        <w:footnoteRef/>
      </w:r>
      <w:r w:rsidRPr="00912CD3">
        <w:rPr>
          <w:lang w:val="fr-CH"/>
        </w:rPr>
        <w:tab/>
        <w:t>Diffusée par l’Organisation intergouvernementale pour les transports internationaux ferroviaires (OTIF) sous la cote OTIF/RID/RC/2016/11.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A0676D" w:rsidTr="00A0676D">
      <w:trPr>
        <w:trHeight w:hRule="exact" w:val="864"/>
        <w:jc w:val="center"/>
      </w:trPr>
      <w:tc>
        <w:tcPr>
          <w:tcW w:w="4882" w:type="dxa"/>
          <w:shd w:val="clear" w:color="auto" w:fill="auto"/>
          <w:vAlign w:val="bottom"/>
        </w:tcPr>
        <w:p w:rsidR="00A0676D" w:rsidRPr="00A0676D" w:rsidRDefault="00A0676D" w:rsidP="00A0676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D59EA">
            <w:rPr>
              <w:b/>
              <w:color w:val="000000"/>
            </w:rPr>
            <w:t>ECE/TRANS/WP.15/AC.1/2016/11</w:t>
          </w:r>
          <w:r>
            <w:rPr>
              <w:b/>
              <w:color w:val="000000"/>
            </w:rPr>
            <w:fldChar w:fldCharType="end"/>
          </w:r>
        </w:p>
      </w:tc>
      <w:tc>
        <w:tcPr>
          <w:tcW w:w="5089" w:type="dxa"/>
          <w:shd w:val="clear" w:color="auto" w:fill="auto"/>
          <w:vAlign w:val="bottom"/>
        </w:tcPr>
        <w:p w:rsidR="00A0676D" w:rsidRDefault="00A0676D" w:rsidP="00A0676D">
          <w:pPr>
            <w:pStyle w:val="Header"/>
          </w:pPr>
        </w:p>
      </w:tc>
    </w:tr>
  </w:tbl>
  <w:p w:rsidR="00A0676D" w:rsidRPr="00A0676D" w:rsidRDefault="00A0676D" w:rsidP="00A0676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A0676D" w:rsidTr="00A0676D">
      <w:trPr>
        <w:trHeight w:hRule="exact" w:val="864"/>
        <w:jc w:val="center"/>
      </w:trPr>
      <w:tc>
        <w:tcPr>
          <w:tcW w:w="4882" w:type="dxa"/>
          <w:shd w:val="clear" w:color="auto" w:fill="auto"/>
          <w:vAlign w:val="bottom"/>
        </w:tcPr>
        <w:p w:rsidR="00A0676D" w:rsidRDefault="00A0676D" w:rsidP="00A0676D">
          <w:pPr>
            <w:pStyle w:val="Header"/>
          </w:pPr>
        </w:p>
      </w:tc>
      <w:tc>
        <w:tcPr>
          <w:tcW w:w="5089" w:type="dxa"/>
          <w:shd w:val="clear" w:color="auto" w:fill="auto"/>
          <w:vAlign w:val="bottom"/>
        </w:tcPr>
        <w:p w:rsidR="00A0676D" w:rsidRPr="00A0676D" w:rsidRDefault="00A0676D" w:rsidP="00A0676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D59EA">
            <w:rPr>
              <w:b/>
              <w:color w:val="000000"/>
            </w:rPr>
            <w:t>ECE/TRANS/WP.15/AC.1/2016/11</w:t>
          </w:r>
          <w:r>
            <w:rPr>
              <w:b/>
              <w:color w:val="000000"/>
            </w:rPr>
            <w:fldChar w:fldCharType="end"/>
          </w:r>
        </w:p>
      </w:tc>
    </w:tr>
  </w:tbl>
  <w:p w:rsidR="00A0676D" w:rsidRPr="00A0676D" w:rsidRDefault="00A0676D" w:rsidP="00A0676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A0676D" w:rsidRPr="00912CD3" w:rsidTr="00A0676D">
      <w:trPr>
        <w:trHeight w:hRule="exact" w:val="864"/>
      </w:trPr>
      <w:tc>
        <w:tcPr>
          <w:tcW w:w="1267" w:type="dxa"/>
          <w:tcBorders>
            <w:bottom w:val="single" w:sz="4" w:space="0" w:color="auto"/>
          </w:tcBorders>
          <w:shd w:val="clear" w:color="auto" w:fill="auto"/>
          <w:vAlign w:val="bottom"/>
        </w:tcPr>
        <w:p w:rsidR="00A0676D" w:rsidRPr="00912CD3" w:rsidRDefault="00A0676D" w:rsidP="00A0676D">
          <w:pPr>
            <w:pStyle w:val="Header"/>
            <w:spacing w:after="120"/>
            <w:rPr>
              <w:lang w:val="fr-CH"/>
            </w:rPr>
          </w:pPr>
        </w:p>
      </w:tc>
      <w:tc>
        <w:tcPr>
          <w:tcW w:w="2059" w:type="dxa"/>
          <w:tcBorders>
            <w:bottom w:val="single" w:sz="4" w:space="0" w:color="auto"/>
          </w:tcBorders>
          <w:shd w:val="clear" w:color="auto" w:fill="auto"/>
          <w:vAlign w:val="bottom"/>
        </w:tcPr>
        <w:p w:rsidR="00A0676D" w:rsidRPr="00912CD3" w:rsidRDefault="00A0676D" w:rsidP="00A0676D">
          <w:pPr>
            <w:pStyle w:val="HCH"/>
            <w:spacing w:after="80"/>
            <w:rPr>
              <w:b w:val="0"/>
              <w:color w:val="010000"/>
              <w:spacing w:val="2"/>
              <w:w w:val="96"/>
              <w:lang w:val="fr-CH"/>
            </w:rPr>
          </w:pPr>
          <w:r w:rsidRPr="00912CD3">
            <w:rPr>
              <w:b w:val="0"/>
              <w:color w:val="010000"/>
              <w:spacing w:val="2"/>
              <w:w w:val="96"/>
              <w:lang w:val="fr-CH"/>
            </w:rPr>
            <w:t>Nations Unies</w:t>
          </w:r>
        </w:p>
      </w:tc>
      <w:tc>
        <w:tcPr>
          <w:tcW w:w="58" w:type="dxa"/>
          <w:tcBorders>
            <w:bottom w:val="single" w:sz="4" w:space="0" w:color="auto"/>
          </w:tcBorders>
          <w:shd w:val="clear" w:color="auto" w:fill="auto"/>
          <w:vAlign w:val="bottom"/>
        </w:tcPr>
        <w:p w:rsidR="00A0676D" w:rsidRPr="00912CD3" w:rsidRDefault="00A0676D" w:rsidP="00A0676D">
          <w:pPr>
            <w:pStyle w:val="Header"/>
            <w:spacing w:after="120"/>
            <w:rPr>
              <w:lang w:val="fr-CH"/>
            </w:rPr>
          </w:pPr>
        </w:p>
      </w:tc>
      <w:tc>
        <w:tcPr>
          <w:tcW w:w="6653" w:type="dxa"/>
          <w:gridSpan w:val="4"/>
          <w:tcBorders>
            <w:bottom w:val="single" w:sz="4" w:space="0" w:color="auto"/>
          </w:tcBorders>
          <w:shd w:val="clear" w:color="auto" w:fill="auto"/>
          <w:vAlign w:val="bottom"/>
        </w:tcPr>
        <w:p w:rsidR="00A0676D" w:rsidRPr="00912CD3" w:rsidRDefault="00A0676D" w:rsidP="00A0676D">
          <w:pPr>
            <w:spacing w:after="80" w:line="240" w:lineRule="auto"/>
            <w:jc w:val="right"/>
            <w:rPr>
              <w:position w:val="-4"/>
              <w:lang w:val="fr-CH"/>
            </w:rPr>
          </w:pPr>
          <w:r w:rsidRPr="00912CD3">
            <w:rPr>
              <w:position w:val="-4"/>
              <w:sz w:val="40"/>
              <w:lang w:val="fr-CH"/>
            </w:rPr>
            <w:t>ECE</w:t>
          </w:r>
          <w:r w:rsidRPr="00912CD3">
            <w:rPr>
              <w:position w:val="-4"/>
              <w:lang w:val="fr-CH"/>
            </w:rPr>
            <w:t>/TRANS/WP.15/AC.1/2016/11</w:t>
          </w:r>
        </w:p>
      </w:tc>
    </w:tr>
    <w:tr w:rsidR="00A0676D" w:rsidRPr="00912CD3" w:rsidTr="00A0676D">
      <w:trPr>
        <w:gridAfter w:val="1"/>
        <w:wAfter w:w="18" w:type="dxa"/>
        <w:trHeight w:hRule="exact" w:val="2880"/>
      </w:trPr>
      <w:tc>
        <w:tcPr>
          <w:tcW w:w="1267" w:type="dxa"/>
          <w:tcBorders>
            <w:top w:val="single" w:sz="4" w:space="0" w:color="auto"/>
            <w:bottom w:val="single" w:sz="12" w:space="0" w:color="auto"/>
          </w:tcBorders>
          <w:shd w:val="clear" w:color="auto" w:fill="auto"/>
        </w:tcPr>
        <w:p w:rsidR="00A0676D" w:rsidRPr="00912CD3" w:rsidRDefault="00A0676D" w:rsidP="00A0676D">
          <w:pPr>
            <w:pStyle w:val="Header"/>
            <w:spacing w:before="120" w:line="240" w:lineRule="auto"/>
            <w:ind w:left="-72"/>
            <w:jc w:val="center"/>
            <w:rPr>
              <w:lang w:val="fr-CH"/>
            </w:rPr>
          </w:pPr>
          <w:r w:rsidRPr="00912CD3">
            <w:rPr>
              <w:lang w:val="fr-CH"/>
            </w:rPr>
            <w:t xml:space="preserve">  </w:t>
          </w:r>
          <w:r w:rsidRPr="00912CD3">
            <w:rPr>
              <w:noProof/>
              <w:lang w:val="en-GB" w:eastAsia="en-GB"/>
            </w:rPr>
            <w:drawing>
              <wp:inline distT="0" distB="0" distL="0" distR="0" wp14:anchorId="64C3D027" wp14:editId="471548A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0676D" w:rsidRPr="00912CD3" w:rsidRDefault="00A0676D" w:rsidP="00A0676D">
          <w:pPr>
            <w:pStyle w:val="XLarge"/>
            <w:spacing w:before="109"/>
            <w:rPr>
              <w:lang w:val="fr-CH"/>
            </w:rPr>
          </w:pPr>
          <w:r w:rsidRPr="00912CD3">
            <w:rPr>
              <w:lang w:val="fr-CH"/>
            </w:rPr>
            <w:t>Conseil économique et social</w:t>
          </w:r>
        </w:p>
      </w:tc>
      <w:tc>
        <w:tcPr>
          <w:tcW w:w="245" w:type="dxa"/>
          <w:tcBorders>
            <w:top w:val="single" w:sz="4" w:space="0" w:color="auto"/>
            <w:bottom w:val="single" w:sz="12" w:space="0" w:color="auto"/>
          </w:tcBorders>
          <w:shd w:val="clear" w:color="auto" w:fill="auto"/>
        </w:tcPr>
        <w:p w:rsidR="00A0676D" w:rsidRPr="00912CD3" w:rsidRDefault="00A0676D" w:rsidP="00A0676D">
          <w:pPr>
            <w:pStyle w:val="Header"/>
            <w:spacing w:before="109"/>
            <w:rPr>
              <w:lang w:val="fr-CH"/>
            </w:rPr>
          </w:pPr>
        </w:p>
      </w:tc>
      <w:tc>
        <w:tcPr>
          <w:tcW w:w="3280" w:type="dxa"/>
          <w:tcBorders>
            <w:top w:val="single" w:sz="4" w:space="0" w:color="auto"/>
            <w:bottom w:val="single" w:sz="12" w:space="0" w:color="auto"/>
          </w:tcBorders>
          <w:shd w:val="clear" w:color="auto" w:fill="auto"/>
        </w:tcPr>
        <w:p w:rsidR="00A0676D" w:rsidRPr="00912CD3" w:rsidRDefault="00A0676D" w:rsidP="00A0676D">
          <w:pPr>
            <w:pStyle w:val="Distribution"/>
            <w:rPr>
              <w:color w:val="000000"/>
              <w:lang w:val="fr-CH"/>
            </w:rPr>
          </w:pPr>
          <w:proofErr w:type="spellStart"/>
          <w:r w:rsidRPr="00912CD3">
            <w:rPr>
              <w:color w:val="000000"/>
              <w:lang w:val="fr-CH"/>
            </w:rPr>
            <w:t>Distr</w:t>
          </w:r>
          <w:proofErr w:type="spellEnd"/>
          <w:r w:rsidRPr="00912CD3">
            <w:rPr>
              <w:color w:val="000000"/>
              <w:lang w:val="fr-CH"/>
            </w:rPr>
            <w:t>. générale</w:t>
          </w:r>
        </w:p>
        <w:p w:rsidR="00A0676D" w:rsidRPr="00912CD3" w:rsidRDefault="00A0676D" w:rsidP="00A0676D">
          <w:pPr>
            <w:pStyle w:val="Publication"/>
            <w:rPr>
              <w:color w:val="000000"/>
              <w:lang w:val="fr-CH"/>
            </w:rPr>
          </w:pPr>
          <w:r w:rsidRPr="00912CD3">
            <w:rPr>
              <w:color w:val="000000"/>
              <w:lang w:val="fr-CH"/>
            </w:rPr>
            <w:t>23 décembre 2015</w:t>
          </w:r>
        </w:p>
        <w:p w:rsidR="00A0676D" w:rsidRPr="00912CD3" w:rsidRDefault="00A0676D" w:rsidP="00A0676D">
          <w:pPr>
            <w:rPr>
              <w:lang w:val="fr-CH"/>
            </w:rPr>
          </w:pPr>
          <w:r w:rsidRPr="00912CD3">
            <w:rPr>
              <w:lang w:val="fr-CH"/>
            </w:rPr>
            <w:t>Français</w:t>
          </w:r>
        </w:p>
        <w:p w:rsidR="00A0676D" w:rsidRPr="00912CD3" w:rsidRDefault="00A0676D" w:rsidP="00A0676D">
          <w:pPr>
            <w:pStyle w:val="Original"/>
            <w:rPr>
              <w:color w:val="000000"/>
              <w:lang w:val="fr-CH"/>
            </w:rPr>
          </w:pPr>
          <w:r w:rsidRPr="00912CD3">
            <w:rPr>
              <w:color w:val="000000"/>
              <w:lang w:val="fr-CH"/>
            </w:rPr>
            <w:t>Original : anglais</w:t>
          </w:r>
        </w:p>
      </w:tc>
    </w:tr>
  </w:tbl>
  <w:p w:rsidR="00A0676D" w:rsidRPr="00912CD3" w:rsidRDefault="00A0676D" w:rsidP="00A0676D">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11DD2"/>
    <w:multiLevelType w:val="singleLevel"/>
    <w:tmpl w:val="78DAAC74"/>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SortMethod w:val="0003"/>
  <w:defaultTabStop w:val="475"/>
  <w:hyphenationZone w:val="425"/>
  <w:doNotHyphenateCaps/>
  <w:evenAndOddHeaders/>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781*"/>
    <w:docVar w:name="CreationDt" w:val="2/12/2016 9:46: AM"/>
    <w:docVar w:name="DocCategory" w:val="Doc"/>
    <w:docVar w:name="DocType" w:val="Final"/>
    <w:docVar w:name="DutyStation" w:val="Geneva"/>
    <w:docVar w:name="FooterJN" w:val="GE.15-22781"/>
    <w:docVar w:name="jobn" w:val="GE.15-22781 (F)"/>
    <w:docVar w:name="jobnDT" w:val="GE.15-22781 (F)   120216"/>
    <w:docVar w:name="jobnDTDT" w:val="GE.15-22781 (F)   120216   120216"/>
    <w:docVar w:name="JobNo" w:val="GE.1522781F"/>
    <w:docVar w:name="JobNo2" w:val="GE.1529107F"/>
    <w:docVar w:name="LocalDrive" w:val="0"/>
    <w:docVar w:name="OandT" w:val="N.Morin"/>
    <w:docVar w:name="PaperSize" w:val="A4"/>
    <w:docVar w:name="sss1" w:val="ECE/TRANS/WP.15/AC.1/2016/11"/>
    <w:docVar w:name="sss2" w:val="-"/>
    <w:docVar w:name="Symbol1" w:val="ECE/TRANS/WP.15/AC.1/2016/11"/>
    <w:docVar w:name="Symbol2" w:val="-"/>
  </w:docVars>
  <w:rsids>
    <w:rsidRoot w:val="000C7A8F"/>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C7A8F"/>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1E37"/>
    <w:rsid w:val="001C3C57"/>
    <w:rsid w:val="001C4664"/>
    <w:rsid w:val="001C4EBE"/>
    <w:rsid w:val="001C5B90"/>
    <w:rsid w:val="001D0B34"/>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9773E"/>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462F4"/>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01B4"/>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51A0"/>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77BC0"/>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924"/>
    <w:rsid w:val="008C2C0E"/>
    <w:rsid w:val="008C5E6B"/>
    <w:rsid w:val="008C6672"/>
    <w:rsid w:val="008D2DCF"/>
    <w:rsid w:val="008D3043"/>
    <w:rsid w:val="008D3318"/>
    <w:rsid w:val="008D4C00"/>
    <w:rsid w:val="008D52CD"/>
    <w:rsid w:val="008D59EA"/>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CD3"/>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76D"/>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4D78"/>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27F"/>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1D58"/>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34C7"/>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6E1D"/>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05D8"/>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0676D"/>
    <w:rPr>
      <w:sz w:val="16"/>
      <w:szCs w:val="16"/>
    </w:rPr>
  </w:style>
  <w:style w:type="paragraph" w:styleId="CommentText">
    <w:name w:val="annotation text"/>
    <w:basedOn w:val="Normal"/>
    <w:link w:val="CommentTextChar"/>
    <w:uiPriority w:val="99"/>
    <w:semiHidden/>
    <w:unhideWhenUsed/>
    <w:rsid w:val="00A0676D"/>
    <w:pPr>
      <w:spacing w:line="240" w:lineRule="auto"/>
    </w:pPr>
    <w:rPr>
      <w:szCs w:val="20"/>
    </w:rPr>
  </w:style>
  <w:style w:type="character" w:customStyle="1" w:styleId="CommentTextChar">
    <w:name w:val="Comment Text Char"/>
    <w:basedOn w:val="DefaultParagraphFont"/>
    <w:link w:val="CommentText"/>
    <w:uiPriority w:val="99"/>
    <w:semiHidden/>
    <w:rsid w:val="00A0676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0676D"/>
    <w:rPr>
      <w:b/>
      <w:bCs/>
    </w:rPr>
  </w:style>
  <w:style w:type="character" w:customStyle="1" w:styleId="CommentSubjectChar">
    <w:name w:val="Comment Subject Char"/>
    <w:basedOn w:val="CommentTextChar"/>
    <w:link w:val="CommentSubject"/>
    <w:uiPriority w:val="99"/>
    <w:semiHidden/>
    <w:rsid w:val="00A0676D"/>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0676D"/>
    <w:rPr>
      <w:sz w:val="16"/>
      <w:szCs w:val="16"/>
    </w:rPr>
  </w:style>
  <w:style w:type="paragraph" w:styleId="CommentText">
    <w:name w:val="annotation text"/>
    <w:basedOn w:val="Normal"/>
    <w:link w:val="CommentTextChar"/>
    <w:uiPriority w:val="99"/>
    <w:semiHidden/>
    <w:unhideWhenUsed/>
    <w:rsid w:val="00A0676D"/>
    <w:pPr>
      <w:spacing w:line="240" w:lineRule="auto"/>
    </w:pPr>
    <w:rPr>
      <w:szCs w:val="20"/>
    </w:rPr>
  </w:style>
  <w:style w:type="character" w:customStyle="1" w:styleId="CommentTextChar">
    <w:name w:val="Comment Text Char"/>
    <w:basedOn w:val="DefaultParagraphFont"/>
    <w:link w:val="CommentText"/>
    <w:uiPriority w:val="99"/>
    <w:semiHidden/>
    <w:rsid w:val="00A0676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0676D"/>
    <w:rPr>
      <w:b/>
      <w:bCs/>
    </w:rPr>
  </w:style>
  <w:style w:type="character" w:customStyle="1" w:styleId="CommentSubjectChar">
    <w:name w:val="Comment Subject Char"/>
    <w:basedOn w:val="CommentTextChar"/>
    <w:link w:val="CommentSubject"/>
    <w:uiPriority w:val="99"/>
    <w:semiHidden/>
    <w:rsid w:val="00A0676D"/>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137D6-38F2-4047-813C-D3F1B444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barrio-champeau</cp:lastModifiedBy>
  <cp:revision>6</cp:revision>
  <cp:lastPrinted>2016-02-12T13:44:00Z</cp:lastPrinted>
  <dcterms:created xsi:type="dcterms:W3CDTF">2016-02-12T12:36:00Z</dcterms:created>
  <dcterms:modified xsi:type="dcterms:W3CDTF">2016-02-12T13:44:00Z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1522781F</vt:lpwstr>
  </property>
  <property fmtid="{D5CDD505-2E9C-101B-9397-08002B2CF9AE}" pid="3" name="ODSRefJobNo">
    <vt:lpwstr>1529107F</vt:lpwstr>
  </property>
  <property fmtid="{D5CDD505-2E9C-101B-9397-08002B2CF9AE}" pid="4" name="Symbol1">
    <vt:lpwstr>ECE/TRANS/WP.15/AC.1/2016/11</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23 décembre 2015</vt:lpwstr>
  </property>
  <property fmtid="{D5CDD505-2E9C-101B-9397-08002B2CF9AE}" pid="12" name="Original">
    <vt:lpwstr>anglais</vt:lpwstr>
  </property>
  <property fmtid="{D5CDD505-2E9C-101B-9397-08002B2CF9AE}" pid="13" name="Release Date">
    <vt:lpwstr>120216</vt:lpwstr>
  </property>
</Properties>
</file>