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B04567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B04567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B04567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B04567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957F63">
                <w:t>TRANS/WP.15/AC.2/60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B04567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B04567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B0456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B04567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654A17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E772D1" w:rsidP="00B04567">
            <w:fldSimple w:instr=" FILLIN  &quot;Введите дату документа&quot; \* MERGEFORMAT ">
              <w:r w:rsidR="00EB161C">
                <w:rPr>
                  <w:lang w:val="en-US"/>
                </w:rPr>
                <w:t>6</w:t>
              </w:r>
              <w:r w:rsidR="00957F63">
                <w:t xml:space="preserve"> October 2016</w:t>
              </w:r>
            </w:fldSimple>
          </w:p>
          <w:p w:rsidR="00A658DB" w:rsidRPr="00245892" w:rsidRDefault="00A658DB" w:rsidP="00B04567">
            <w:r w:rsidRPr="00245892">
              <w:t>Russian</w:t>
            </w:r>
          </w:p>
          <w:p w:rsidR="00A658DB" w:rsidRPr="00245892" w:rsidRDefault="00A658DB" w:rsidP="00B04567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6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654A17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B04567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B161C" w:rsidRPr="00EB161C" w:rsidRDefault="00EB161C" w:rsidP="00EB161C">
      <w:pPr>
        <w:spacing w:before="120" w:line="240" w:lineRule="auto"/>
        <w:rPr>
          <w:sz w:val="28"/>
          <w:szCs w:val="28"/>
        </w:rPr>
      </w:pPr>
      <w:r w:rsidRPr="00EB161C">
        <w:rPr>
          <w:sz w:val="28"/>
          <w:szCs w:val="28"/>
        </w:rPr>
        <w:t>Комитет по внутреннему транспорту</w:t>
      </w:r>
    </w:p>
    <w:p w:rsidR="00EB161C" w:rsidRPr="00EB161C" w:rsidRDefault="00EB161C" w:rsidP="00EB161C">
      <w:pPr>
        <w:spacing w:before="120" w:line="240" w:lineRule="auto"/>
        <w:rPr>
          <w:b/>
          <w:sz w:val="24"/>
          <w:szCs w:val="24"/>
        </w:rPr>
      </w:pPr>
      <w:r w:rsidRPr="00EB161C">
        <w:rPr>
          <w:b/>
          <w:sz w:val="24"/>
          <w:szCs w:val="24"/>
        </w:rPr>
        <w:t xml:space="preserve">Рабочая группа по перевозкам </w:t>
      </w:r>
      <w:r w:rsidRPr="00EB161C">
        <w:rPr>
          <w:b/>
          <w:sz w:val="24"/>
          <w:szCs w:val="24"/>
        </w:rPr>
        <w:br/>
        <w:t>опасных грузов</w:t>
      </w:r>
    </w:p>
    <w:p w:rsidR="00EB161C" w:rsidRPr="00EB161C" w:rsidRDefault="00EB161C" w:rsidP="00EB161C">
      <w:pPr>
        <w:spacing w:before="120" w:line="240" w:lineRule="auto"/>
        <w:rPr>
          <w:b/>
        </w:rPr>
      </w:pPr>
      <w:r w:rsidRPr="00EB161C">
        <w:rPr>
          <w:b/>
        </w:rPr>
        <w:t xml:space="preserve">Совместное совещание экспертов по Правилам, </w:t>
      </w:r>
      <w:r w:rsidRPr="00EB161C">
        <w:rPr>
          <w:b/>
        </w:rPr>
        <w:br/>
        <w:t xml:space="preserve">прилагаемым к Европейскому соглашению </w:t>
      </w:r>
      <w:r w:rsidRPr="00EB161C">
        <w:rPr>
          <w:b/>
        </w:rPr>
        <w:br/>
        <w:t xml:space="preserve">о международной перевозке опасных грузов </w:t>
      </w:r>
      <w:r w:rsidRPr="00EB161C">
        <w:rPr>
          <w:b/>
        </w:rPr>
        <w:br/>
        <w:t xml:space="preserve">по внутренним водным путям (ВОПОГ) </w:t>
      </w:r>
      <w:r w:rsidRPr="00EB161C">
        <w:rPr>
          <w:b/>
        </w:rPr>
        <w:br/>
        <w:t>(Комитет по вопросам безопасности ВОПОГ)</w:t>
      </w:r>
    </w:p>
    <w:p w:rsidR="00EB161C" w:rsidRPr="00EB161C" w:rsidRDefault="00EB161C" w:rsidP="00A14A95">
      <w:pPr>
        <w:spacing w:before="120" w:line="240" w:lineRule="auto"/>
      </w:pPr>
      <w:r w:rsidRPr="00EB161C">
        <w:rPr>
          <w:b/>
        </w:rPr>
        <w:t>Двадцать девятая сессия</w:t>
      </w:r>
      <w:r w:rsidRPr="00EB161C">
        <w:br/>
        <w:t>Женева, 22–26 августа 2016 года</w:t>
      </w:r>
    </w:p>
    <w:p w:rsidR="00EB161C" w:rsidRDefault="00EB161C" w:rsidP="00EB161C">
      <w:pPr>
        <w:pStyle w:val="HChGR"/>
      </w:pPr>
      <w:r w:rsidRPr="00EB161C">
        <w:tab/>
      </w:r>
      <w:r w:rsidRPr="00EB161C">
        <w:tab/>
        <w:t xml:space="preserve">Доклад Совместного совещания экспертов </w:t>
      </w:r>
      <w:r>
        <w:br/>
      </w:r>
      <w:r w:rsidRPr="00EB161C">
        <w:t xml:space="preserve">по Правилам, прилагаемым к Европейскому соглашению о международной перевозке опасных грузов по внутренним водным путям </w:t>
      </w:r>
      <w:r w:rsidR="003127E0">
        <w:br/>
      </w:r>
      <w:r w:rsidRPr="00EB161C">
        <w:t>(Комитет по вопросам безопасности ВОПОГ)</w:t>
      </w:r>
      <w:r w:rsidR="00063EFA">
        <w:t>,</w:t>
      </w:r>
      <w:r w:rsidRPr="00EB161C">
        <w:t xml:space="preserve"> </w:t>
      </w:r>
      <w:r w:rsidR="003127E0">
        <w:br/>
      </w:r>
      <w:r w:rsidRPr="00EB161C">
        <w:t>о работе его двадцать девятой сессии</w:t>
      </w:r>
      <w:r w:rsidR="003127E0" w:rsidRPr="00214D39">
        <w:rPr>
          <w:rStyle w:val="FootnoteReference"/>
          <w:b w:val="0"/>
        </w:rPr>
        <w:footnoteReference w:id="1"/>
      </w:r>
    </w:p>
    <w:p w:rsidR="00EB161C" w:rsidRDefault="00EB161C">
      <w:pPr>
        <w:spacing w:line="240" w:lineRule="auto"/>
      </w:pPr>
      <w:r>
        <w:br w:type="page"/>
      </w:r>
    </w:p>
    <w:p w:rsidR="00957F63" w:rsidRDefault="00EB161C" w:rsidP="00EB161C">
      <w:pPr>
        <w:suppressAutoHyphens/>
        <w:spacing w:after="120"/>
        <w:rPr>
          <w:sz w:val="28"/>
        </w:rPr>
      </w:pPr>
      <w:r>
        <w:rPr>
          <w:sz w:val="28"/>
        </w:rPr>
        <w:lastRenderedPageBreak/>
        <w:t>Содержание</w:t>
      </w:r>
    </w:p>
    <w:p w:rsidR="00EB161C" w:rsidRDefault="00EB161C" w:rsidP="00EB161C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rPr>
          <w:lang w:val="fr-CH"/>
        </w:rPr>
        <w:t>I</w:t>
      </w:r>
      <w:r w:rsidRPr="00B04567">
        <w:t>.</w:t>
      </w:r>
      <w:r w:rsidRPr="00B04567">
        <w:tab/>
        <w:t>Участники</w:t>
      </w:r>
      <w:r w:rsidRPr="00B04567">
        <w:rPr>
          <w:webHidden/>
        </w:rPr>
        <w:tab/>
      </w:r>
      <w:r w:rsidRPr="00B04567">
        <w:rPr>
          <w:webHidden/>
        </w:rPr>
        <w:tab/>
        <w:t>1</w:t>
      </w:r>
      <w:r w:rsidRPr="00B04567">
        <w:rPr>
          <w:webHidden/>
        </w:rPr>
        <w:tab/>
      </w:r>
      <w:r w:rsidR="00427278">
        <w:rPr>
          <w:webHidden/>
        </w:rPr>
        <w:t>5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04567">
        <w:tab/>
      </w:r>
      <w:r w:rsidRPr="00B04567">
        <w:rPr>
          <w:lang w:val="en-US"/>
        </w:rPr>
        <w:t>II</w:t>
      </w:r>
      <w:r w:rsidRPr="00B04567">
        <w:t>.</w:t>
      </w:r>
      <w:r w:rsidRPr="00B04567">
        <w:tab/>
        <w:t>Утверждение повестки дня (пункт 1 повестки дня)</w:t>
      </w:r>
      <w:r w:rsidRPr="00B04567">
        <w:rPr>
          <w:webHidden/>
        </w:rPr>
        <w:tab/>
      </w:r>
      <w:r w:rsidRPr="00B04567">
        <w:rPr>
          <w:webHidden/>
        </w:rPr>
        <w:tab/>
        <w:t>2</w:t>
      </w:r>
      <w:r w:rsidRPr="00B04567">
        <w:rPr>
          <w:webHidden/>
        </w:rPr>
        <w:tab/>
      </w:r>
      <w:r w:rsidR="00427278">
        <w:rPr>
          <w:webHidden/>
        </w:rPr>
        <w:t>5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04567">
        <w:tab/>
      </w:r>
      <w:r w:rsidRPr="00B04567">
        <w:rPr>
          <w:lang w:val="en-US"/>
        </w:rPr>
        <w:t>III</w:t>
      </w:r>
      <w:r w:rsidRPr="00B04567">
        <w:t>.</w:t>
      </w:r>
      <w:r w:rsidRPr="00B04567">
        <w:tab/>
      </w:r>
      <w:r w:rsidRPr="002961AC">
        <w:rPr>
          <w:spacing w:val="2"/>
        </w:rPr>
        <w:t xml:space="preserve">Вопросы, вытекающие из работы органов Организации Объединенных </w:t>
      </w:r>
      <w:r>
        <w:br/>
      </w:r>
      <w:r>
        <w:tab/>
      </w:r>
      <w:r>
        <w:tab/>
      </w:r>
      <w:r w:rsidRPr="00B04567">
        <w:t>Наций или других организаций (пункт 2 повестки дня)</w:t>
      </w:r>
      <w:r w:rsidRPr="00B04567">
        <w:rPr>
          <w:webHidden/>
        </w:rPr>
        <w:tab/>
      </w:r>
      <w:r w:rsidRPr="00B04567">
        <w:rPr>
          <w:webHidden/>
        </w:rPr>
        <w:tab/>
        <w:t>3</w:t>
      </w:r>
      <w:r w:rsidR="00A14A95">
        <w:rPr>
          <w:webHidden/>
        </w:rPr>
        <w:t>–</w:t>
      </w:r>
      <w:r w:rsidRPr="00B04567">
        <w:rPr>
          <w:webHidden/>
        </w:rPr>
        <w:t>5</w:t>
      </w:r>
      <w:r w:rsidRPr="00B04567">
        <w:rPr>
          <w:webHidden/>
        </w:rPr>
        <w:tab/>
      </w:r>
      <w:r w:rsidR="00427278">
        <w:rPr>
          <w:webHidden/>
        </w:rPr>
        <w:t>5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04567">
        <w:tab/>
      </w:r>
      <w:r w:rsidRPr="00B04567">
        <w:rPr>
          <w:lang w:val="en-US"/>
        </w:rPr>
        <w:t>IV</w:t>
      </w:r>
      <w:r w:rsidRPr="00B04567">
        <w:t>.</w:t>
      </w:r>
      <w:r w:rsidRPr="00B04567">
        <w:tab/>
        <w:t xml:space="preserve">Применение Европейского соглашения о международной перевозке </w:t>
      </w:r>
      <w:r>
        <w:br/>
      </w:r>
      <w:r>
        <w:tab/>
      </w:r>
      <w:r>
        <w:tab/>
      </w:r>
      <w:r w:rsidRPr="00B04567">
        <w:t xml:space="preserve">опасных грузов по внутренним водным путям (ВОПОГ) </w:t>
      </w:r>
      <w:r>
        <w:br/>
      </w:r>
      <w:r>
        <w:tab/>
      </w:r>
      <w:r>
        <w:tab/>
      </w:r>
      <w:r w:rsidRPr="00B04567">
        <w:t>(пункт 3 повестки дня)</w:t>
      </w:r>
      <w:r w:rsidRPr="00B04567">
        <w:rPr>
          <w:webHidden/>
        </w:rPr>
        <w:tab/>
      </w:r>
      <w:r w:rsidRPr="00B04567">
        <w:rPr>
          <w:webHidden/>
        </w:rPr>
        <w:tab/>
        <w:t>6</w:t>
      </w:r>
      <w:r>
        <w:rPr>
          <w:webHidden/>
        </w:rPr>
        <w:t>–</w:t>
      </w:r>
      <w:r w:rsidRPr="00B04567">
        <w:rPr>
          <w:webHidden/>
        </w:rPr>
        <w:t>25</w:t>
      </w:r>
      <w:r w:rsidRPr="00B04567">
        <w:rPr>
          <w:webHidden/>
        </w:rPr>
        <w:tab/>
      </w:r>
      <w:r w:rsidR="00427278">
        <w:rPr>
          <w:webHidden/>
        </w:rPr>
        <w:t>6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rPr>
          <w:lang w:val="en-US"/>
        </w:rPr>
        <w:t>A</w:t>
      </w:r>
      <w:r w:rsidRPr="00B04567">
        <w:t>.</w:t>
      </w:r>
      <w:r w:rsidRPr="00B04567">
        <w:tab/>
        <w:t>Состояние ВОПОГ</w:t>
      </w:r>
      <w:r w:rsidRPr="00B04567">
        <w:rPr>
          <w:webHidden/>
        </w:rPr>
        <w:tab/>
      </w:r>
      <w:r w:rsidRPr="00B04567">
        <w:rPr>
          <w:webHidden/>
        </w:rPr>
        <w:tab/>
        <w:t>6</w:t>
      </w:r>
      <w:r>
        <w:rPr>
          <w:webHidden/>
        </w:rPr>
        <w:t>–</w:t>
      </w:r>
      <w:r w:rsidRPr="00B04567">
        <w:rPr>
          <w:webHidden/>
        </w:rPr>
        <w:t>7</w:t>
      </w:r>
      <w:r w:rsidRPr="00B04567">
        <w:rPr>
          <w:webHidden/>
        </w:rPr>
        <w:tab/>
      </w:r>
      <w:r w:rsidR="00427278">
        <w:rPr>
          <w:webHidden/>
        </w:rPr>
        <w:t>6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04567">
        <w:tab/>
      </w:r>
      <w:r w:rsidRPr="00B04567">
        <w:tab/>
      </w:r>
      <w:r w:rsidRPr="00B04567">
        <w:rPr>
          <w:lang w:val="en-US"/>
        </w:rPr>
        <w:t>B</w:t>
      </w:r>
      <w:r w:rsidRPr="00B04567">
        <w:t>.</w:t>
      </w:r>
      <w:r w:rsidRPr="00B04567">
        <w:tab/>
        <w:t xml:space="preserve">Специальные разрешения, отступления и эквивалентные </w:t>
      </w:r>
      <w:r>
        <w:br/>
      </w:r>
      <w:r>
        <w:tab/>
      </w:r>
      <w:r>
        <w:tab/>
      </w:r>
      <w:r>
        <w:tab/>
      </w:r>
      <w:r w:rsidRPr="00B04567">
        <w:t>аналоги</w:t>
      </w:r>
      <w:r w:rsidRPr="00B04567">
        <w:rPr>
          <w:webHidden/>
        </w:rPr>
        <w:tab/>
      </w:r>
      <w:r w:rsidRPr="00B04567">
        <w:rPr>
          <w:webHidden/>
        </w:rPr>
        <w:tab/>
        <w:t>8</w:t>
      </w:r>
      <w:r>
        <w:rPr>
          <w:webHidden/>
        </w:rPr>
        <w:t>–</w:t>
      </w:r>
      <w:r w:rsidRPr="00B04567">
        <w:rPr>
          <w:webHidden/>
        </w:rPr>
        <w:t>10</w:t>
      </w:r>
      <w:r w:rsidRPr="00B04567">
        <w:rPr>
          <w:webHidden/>
        </w:rPr>
        <w:tab/>
      </w:r>
      <w:r w:rsidR="00427278">
        <w:rPr>
          <w:webHidden/>
        </w:rPr>
        <w:t>6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04567">
        <w:tab/>
      </w:r>
      <w:r w:rsidRPr="00B04567">
        <w:tab/>
      </w:r>
      <w:r w:rsidRPr="00B04567">
        <w:tab/>
        <w:t>1.</w:t>
      </w:r>
      <w:r w:rsidRPr="00B04567">
        <w:tab/>
        <w:t xml:space="preserve">Заявка на предоставление временного отступления для </w:t>
      </w:r>
      <w:r>
        <w:br/>
      </w:r>
      <w:r>
        <w:tab/>
      </w:r>
      <w:r>
        <w:tab/>
      </w:r>
      <w:r>
        <w:tab/>
      </w:r>
      <w:r>
        <w:tab/>
      </w:r>
      <w:r w:rsidRPr="00B04567">
        <w:t xml:space="preserve">судна-толкача «DONAU» (06105358) в отношении </w:t>
      </w:r>
      <w:r>
        <w:br/>
      </w:r>
      <w:r>
        <w:tab/>
      </w:r>
      <w:r>
        <w:tab/>
      </w:r>
      <w:r>
        <w:tab/>
      </w:r>
      <w:r>
        <w:tab/>
      </w:r>
      <w:r w:rsidRPr="00B04567">
        <w:t xml:space="preserve">использования системы пожаротушения, генерирующей </w:t>
      </w:r>
      <w:r>
        <w:br/>
      </w:r>
      <w:r>
        <w:tab/>
      </w:r>
      <w:r>
        <w:tab/>
      </w:r>
      <w:r>
        <w:tab/>
      </w:r>
      <w:r>
        <w:tab/>
      </w:r>
      <w:r w:rsidRPr="00B04567">
        <w:t>сухой аэрозоль (FirePro)</w:t>
      </w:r>
      <w:r w:rsidRPr="00B04567">
        <w:rPr>
          <w:webHidden/>
        </w:rPr>
        <w:tab/>
      </w:r>
      <w:r w:rsidRPr="00B04567">
        <w:rPr>
          <w:webHidden/>
        </w:rPr>
        <w:tab/>
        <w:t>8</w:t>
      </w:r>
      <w:r>
        <w:rPr>
          <w:webHidden/>
        </w:rPr>
        <w:t>–</w:t>
      </w:r>
      <w:r w:rsidRPr="00B04567">
        <w:rPr>
          <w:webHidden/>
        </w:rPr>
        <w:t>9</w:t>
      </w:r>
      <w:r w:rsidRPr="00B04567">
        <w:rPr>
          <w:webHidden/>
        </w:rPr>
        <w:tab/>
      </w:r>
      <w:r w:rsidR="00427278">
        <w:rPr>
          <w:webHidden/>
        </w:rPr>
        <w:t>6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04567">
        <w:tab/>
      </w:r>
      <w:r w:rsidRPr="00B04567">
        <w:tab/>
      </w:r>
      <w:r w:rsidRPr="00B04567">
        <w:tab/>
        <w:t>2.</w:t>
      </w:r>
      <w:r w:rsidRPr="00B04567">
        <w:tab/>
      </w:r>
      <w:r w:rsidRPr="00214D39">
        <w:t xml:space="preserve">Специальное разрешение на перевозку </w:t>
      </w:r>
      <w:r w:rsidR="00214D39">
        <w:br/>
      </w:r>
      <w:r w:rsidR="00214D39">
        <w:tab/>
      </w:r>
      <w:r w:rsidR="00214D39">
        <w:tab/>
      </w:r>
      <w:r w:rsidR="00214D39">
        <w:tab/>
      </w:r>
      <w:r w:rsidR="00214D39">
        <w:tab/>
      </w:r>
      <w:r w:rsidRPr="00214D39">
        <w:t xml:space="preserve">танкерами № ООН 1148 СПИРТА ДИАЦЕТОНОВОГО </w:t>
      </w:r>
      <w:r w:rsidR="00214D39">
        <w:br/>
      </w:r>
      <w:r w:rsidR="00214D39">
        <w:tab/>
      </w:r>
      <w:r w:rsidR="00214D39">
        <w:tab/>
      </w:r>
      <w:r w:rsidR="00214D39">
        <w:tab/>
      </w:r>
      <w:r w:rsidR="00214D39">
        <w:tab/>
      </w:r>
      <w:r w:rsidRPr="00214D39">
        <w:t>из Бельгии в Нидерланды компанией «</w:t>
      </w:r>
      <w:r w:rsidRPr="00214D39">
        <w:rPr>
          <w:lang w:val="en-US"/>
        </w:rPr>
        <w:t>Monument</w:t>
      </w:r>
      <w:r w:rsidRPr="00214D39">
        <w:t xml:space="preserve"> </w:t>
      </w:r>
      <w:r w:rsidRPr="00214D39">
        <w:rPr>
          <w:lang w:val="en-US"/>
        </w:rPr>
        <w:t>Chemical</w:t>
      </w:r>
      <w:r w:rsidRPr="00214D39">
        <w:t xml:space="preserve"> </w:t>
      </w:r>
      <w:r w:rsidR="00214D39">
        <w:br/>
      </w:r>
      <w:r w:rsidR="00214D39">
        <w:tab/>
      </w:r>
      <w:r w:rsidR="00214D39">
        <w:tab/>
      </w:r>
      <w:r w:rsidR="00214D39">
        <w:tab/>
      </w:r>
      <w:r w:rsidR="00214D39">
        <w:tab/>
      </w:r>
      <w:r w:rsidRPr="00214D39">
        <w:rPr>
          <w:lang w:val="en-US"/>
        </w:rPr>
        <w:t>Bvba</w:t>
      </w:r>
      <w:r w:rsidRPr="00214D39">
        <w:t>»</w:t>
      </w:r>
      <w:r w:rsidRPr="00B04567">
        <w:rPr>
          <w:webHidden/>
        </w:rPr>
        <w:tab/>
      </w:r>
      <w:r w:rsidRPr="00B04567">
        <w:rPr>
          <w:webHidden/>
        </w:rPr>
        <w:tab/>
        <w:t>10</w:t>
      </w:r>
      <w:r w:rsidRPr="00B04567">
        <w:rPr>
          <w:webHidden/>
        </w:rPr>
        <w:tab/>
      </w:r>
      <w:r w:rsidR="00427278">
        <w:rPr>
          <w:webHidden/>
        </w:rPr>
        <w:t>7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rPr>
          <w:lang w:val="en-US"/>
        </w:rPr>
        <w:t>C</w:t>
      </w:r>
      <w:r w:rsidRPr="00B04567">
        <w:t>.</w:t>
      </w:r>
      <w:r w:rsidRPr="00B04567">
        <w:tab/>
        <w:t>Интерпретация Правил, прилагаемых к ВОПОГ</w:t>
      </w:r>
      <w:r w:rsidRPr="00B04567">
        <w:rPr>
          <w:webHidden/>
        </w:rPr>
        <w:tab/>
      </w:r>
      <w:r w:rsidRPr="00B04567">
        <w:rPr>
          <w:webHidden/>
        </w:rPr>
        <w:tab/>
        <w:t>11</w:t>
      </w:r>
      <w:r w:rsidR="007E649E">
        <w:rPr>
          <w:webHidden/>
        </w:rPr>
        <w:t>–</w:t>
      </w:r>
      <w:r w:rsidRPr="00B04567">
        <w:rPr>
          <w:webHidden/>
        </w:rPr>
        <w:t>19</w:t>
      </w:r>
      <w:r w:rsidRPr="00B04567">
        <w:rPr>
          <w:webHidden/>
        </w:rPr>
        <w:tab/>
      </w:r>
      <w:r w:rsidR="00427278">
        <w:rPr>
          <w:webHidden/>
        </w:rPr>
        <w:t>7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04567">
        <w:tab/>
      </w:r>
      <w:r w:rsidRPr="00B04567">
        <w:tab/>
      </w:r>
      <w:r w:rsidRPr="00B04567">
        <w:tab/>
        <w:t>1.</w:t>
      </w:r>
      <w:r w:rsidRPr="00B04567">
        <w:tab/>
        <w:t xml:space="preserve">Системы осушительных и балластных насосов по смыслу </w:t>
      </w:r>
      <w:r w:rsidR="007E649E">
        <w:br/>
      </w:r>
      <w:r w:rsidR="007E649E">
        <w:tab/>
      </w:r>
      <w:r w:rsidR="007E649E">
        <w:tab/>
      </w:r>
      <w:r w:rsidR="007E649E">
        <w:tab/>
      </w:r>
      <w:r w:rsidR="007E649E">
        <w:tab/>
      </w:r>
      <w:r w:rsidRPr="00B04567">
        <w:t>пункта 9.3.2.35.1 ВОПОГ</w:t>
      </w:r>
      <w:r w:rsidRPr="00B04567">
        <w:tab/>
      </w:r>
      <w:r w:rsidR="007E649E">
        <w:tab/>
      </w:r>
      <w:r w:rsidRPr="00B04567">
        <w:t>11</w:t>
      </w:r>
      <w:r w:rsidRPr="00B04567">
        <w:tab/>
      </w:r>
      <w:r w:rsidR="00427278">
        <w:t>7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04567">
        <w:tab/>
      </w:r>
      <w:r w:rsidRPr="00B04567">
        <w:tab/>
      </w:r>
      <w:r w:rsidRPr="00B04567">
        <w:tab/>
        <w:t>2.</w:t>
      </w:r>
      <w:r w:rsidRPr="00B04567">
        <w:tab/>
        <w:t xml:space="preserve">Системы пожаротушения по смыслу подраздела 7.2.4.40 </w:t>
      </w:r>
      <w:r w:rsidR="007E649E">
        <w:br/>
      </w:r>
      <w:r w:rsidR="007E649E">
        <w:tab/>
      </w:r>
      <w:r w:rsidR="007E649E">
        <w:tab/>
      </w:r>
      <w:r w:rsidR="007E649E">
        <w:tab/>
      </w:r>
      <w:r w:rsidR="007E649E">
        <w:tab/>
      </w:r>
      <w:r w:rsidRPr="00B04567">
        <w:t>ВОПОГ</w:t>
      </w:r>
      <w:r w:rsidRPr="00B04567">
        <w:tab/>
      </w:r>
      <w:r w:rsidRPr="00B04567">
        <w:tab/>
        <w:t>12</w:t>
      </w:r>
      <w:r w:rsidRPr="00B04567">
        <w:tab/>
      </w:r>
      <w:r w:rsidR="00427278">
        <w:t>7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04567">
        <w:tab/>
      </w:r>
      <w:r w:rsidRPr="00B04567">
        <w:tab/>
      </w:r>
      <w:r w:rsidRPr="00B04567">
        <w:tab/>
        <w:t>3.</w:t>
      </w:r>
      <w:r w:rsidRPr="00B04567">
        <w:tab/>
      </w:r>
      <w:r w:rsidRPr="002961AC">
        <w:rPr>
          <w:spacing w:val="2"/>
        </w:rPr>
        <w:t xml:space="preserve">Требования, касающиеся перевозки емкостей для остаточных </w:t>
      </w:r>
      <w:r w:rsidR="007E649E">
        <w:br/>
      </w:r>
      <w:r w:rsidR="007E649E">
        <w:tab/>
      </w:r>
      <w:r w:rsidR="007E649E">
        <w:tab/>
      </w:r>
      <w:r w:rsidR="007E649E">
        <w:tab/>
      </w:r>
      <w:r w:rsidR="007E649E">
        <w:tab/>
      </w:r>
      <w:r w:rsidRPr="00B04567">
        <w:t>продуктов</w:t>
      </w:r>
      <w:r w:rsidRPr="00B04567">
        <w:tab/>
      </w:r>
      <w:r w:rsidRPr="00B04567">
        <w:tab/>
        <w:t>13</w:t>
      </w:r>
      <w:r w:rsidRPr="00B04567">
        <w:tab/>
      </w:r>
      <w:r w:rsidR="00427278">
        <w:t>7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04567">
        <w:tab/>
      </w:r>
      <w:r w:rsidRPr="00B04567">
        <w:tab/>
      </w:r>
      <w:r w:rsidRPr="00B04567">
        <w:tab/>
        <w:t>4.</w:t>
      </w:r>
      <w:r w:rsidRPr="00B04567">
        <w:tab/>
        <w:t xml:space="preserve">Включение указания «17» в колонку 20 таблицы C </w:t>
      </w:r>
      <w:r w:rsidR="007E649E">
        <w:br/>
      </w:r>
      <w:r w:rsidR="007E649E">
        <w:tab/>
      </w:r>
      <w:r w:rsidR="007E649E">
        <w:tab/>
      </w:r>
      <w:r w:rsidR="007E649E">
        <w:tab/>
      </w:r>
      <w:r w:rsidR="007E649E">
        <w:tab/>
      </w:r>
      <w:r w:rsidRPr="00B04567">
        <w:t>для № ООН 3256 и 3257</w:t>
      </w:r>
      <w:r w:rsidRPr="00B04567">
        <w:tab/>
      </w:r>
      <w:r w:rsidRPr="00B04567">
        <w:tab/>
        <w:t>14</w:t>
      </w:r>
      <w:r w:rsidRPr="00B04567">
        <w:tab/>
      </w:r>
      <w:r w:rsidR="00427278">
        <w:t>8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04567">
        <w:tab/>
      </w:r>
      <w:r w:rsidRPr="00B04567">
        <w:tab/>
      </w:r>
      <w:r w:rsidRPr="00B04567">
        <w:tab/>
        <w:t>5.</w:t>
      </w:r>
      <w:r w:rsidRPr="00B04567">
        <w:tab/>
        <w:t xml:space="preserve">Пояснения в подразделе 3.2.3.1, касающиеся свойств КМР </w:t>
      </w:r>
      <w:r w:rsidR="007E649E">
        <w:br/>
      </w:r>
      <w:r w:rsidR="007E649E">
        <w:tab/>
      </w:r>
      <w:r w:rsidR="007E649E">
        <w:tab/>
      </w:r>
      <w:r w:rsidR="007E649E">
        <w:tab/>
      </w:r>
      <w:r w:rsidR="007E649E">
        <w:tab/>
      </w:r>
      <w:r w:rsidRPr="00B04567">
        <w:t>для веществ, указанных в таблице С</w:t>
      </w:r>
      <w:r w:rsidRPr="00B04567">
        <w:tab/>
      </w:r>
      <w:r w:rsidRPr="00B04567">
        <w:tab/>
        <w:t>15</w:t>
      </w:r>
      <w:r w:rsidR="007E649E">
        <w:t>–</w:t>
      </w:r>
      <w:r w:rsidRPr="00B04567">
        <w:t>16</w:t>
      </w:r>
      <w:r w:rsidRPr="00B04567">
        <w:tab/>
      </w:r>
      <w:r w:rsidR="00427278">
        <w:t>8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04567">
        <w:tab/>
      </w:r>
      <w:r w:rsidRPr="00B04567">
        <w:tab/>
      </w:r>
      <w:r w:rsidRPr="00B04567">
        <w:tab/>
        <w:t>6.</w:t>
      </w:r>
      <w:r w:rsidRPr="00B04567">
        <w:tab/>
        <w:t>Определение термина «баржа»</w:t>
      </w:r>
      <w:r w:rsidRPr="00B04567">
        <w:tab/>
      </w:r>
      <w:r w:rsidRPr="00B04567">
        <w:tab/>
        <w:t>17</w:t>
      </w:r>
      <w:r w:rsidRPr="00B04567">
        <w:tab/>
      </w:r>
      <w:r w:rsidR="00427278">
        <w:t>8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04567">
        <w:tab/>
      </w:r>
      <w:r w:rsidRPr="00B04567">
        <w:tab/>
      </w:r>
      <w:r w:rsidRPr="00B04567">
        <w:tab/>
        <w:t>7.</w:t>
      </w:r>
      <w:r w:rsidRPr="00B04567">
        <w:tab/>
        <w:t xml:space="preserve">Регулировка давления срабатывания быстродействующих </w:t>
      </w:r>
      <w:r w:rsidR="007E649E">
        <w:br/>
      </w:r>
      <w:r w:rsidR="007E649E">
        <w:tab/>
      </w:r>
      <w:r w:rsidR="007E649E">
        <w:tab/>
      </w:r>
      <w:r w:rsidR="007E649E">
        <w:tab/>
      </w:r>
      <w:r w:rsidR="007E649E">
        <w:tab/>
      </w:r>
      <w:r w:rsidRPr="00B04567">
        <w:t>выпускных клапанов</w:t>
      </w:r>
      <w:r w:rsidRPr="00B04567">
        <w:tab/>
      </w:r>
      <w:r w:rsidRPr="00B04567">
        <w:tab/>
        <w:t>18</w:t>
      </w:r>
      <w:r w:rsidRPr="00B04567">
        <w:tab/>
      </w:r>
      <w:r w:rsidR="00427278">
        <w:t>8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04567">
        <w:tab/>
      </w:r>
      <w:r w:rsidRPr="00B04567">
        <w:tab/>
      </w:r>
      <w:r w:rsidRPr="00B04567">
        <w:tab/>
        <w:t>8.</w:t>
      </w:r>
      <w:r w:rsidRPr="00B04567">
        <w:tab/>
        <w:t>Перечень обязательных проверок ВОПОГ (раздел 8.6.3)</w:t>
      </w:r>
      <w:r w:rsidRPr="00B04567">
        <w:tab/>
      </w:r>
      <w:r w:rsidRPr="00B04567">
        <w:tab/>
        <w:t>19</w:t>
      </w:r>
      <w:r w:rsidRPr="00B04567">
        <w:tab/>
      </w:r>
      <w:r w:rsidR="00427278">
        <w:t>8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rPr>
          <w:lang w:val="en-US"/>
        </w:rPr>
        <w:t>D</w:t>
      </w:r>
      <w:r w:rsidRPr="00B04567">
        <w:t>.</w:t>
      </w:r>
      <w:r w:rsidRPr="00B04567">
        <w:tab/>
        <w:t>Подготовка экспертов</w:t>
      </w:r>
      <w:r w:rsidRPr="00B04567">
        <w:rPr>
          <w:webHidden/>
        </w:rPr>
        <w:tab/>
      </w:r>
      <w:r w:rsidRPr="00B04567">
        <w:rPr>
          <w:webHidden/>
        </w:rPr>
        <w:tab/>
        <w:t>20</w:t>
      </w:r>
      <w:r w:rsidRPr="00B04567">
        <w:rPr>
          <w:webHidden/>
        </w:rPr>
        <w:tab/>
      </w:r>
      <w:r w:rsidR="00427278">
        <w:rPr>
          <w:webHidden/>
        </w:rPr>
        <w:t>9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rPr>
          <w:lang w:val="en-US"/>
        </w:rPr>
        <w:t>E</w:t>
      </w:r>
      <w:r w:rsidRPr="00B04567">
        <w:t>.</w:t>
      </w:r>
      <w:r w:rsidRPr="00B04567">
        <w:tab/>
        <w:t>Вопросы, касающиеся классификационных обществ</w:t>
      </w:r>
      <w:r w:rsidRPr="00B04567">
        <w:rPr>
          <w:webHidden/>
        </w:rPr>
        <w:tab/>
      </w:r>
      <w:r w:rsidRPr="00B04567">
        <w:rPr>
          <w:webHidden/>
        </w:rPr>
        <w:tab/>
        <w:t>21</w:t>
      </w:r>
      <w:r w:rsidR="007E649E">
        <w:rPr>
          <w:webHidden/>
        </w:rPr>
        <w:t>–</w:t>
      </w:r>
      <w:r w:rsidRPr="00B04567">
        <w:rPr>
          <w:webHidden/>
        </w:rPr>
        <w:t>25</w:t>
      </w:r>
      <w:r w:rsidRPr="00B04567">
        <w:rPr>
          <w:webHidden/>
        </w:rPr>
        <w:tab/>
      </w:r>
      <w:r w:rsidR="00427278">
        <w:rPr>
          <w:webHidden/>
        </w:rPr>
        <w:t>9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tab/>
        <w:t>1.</w:t>
      </w:r>
      <w:r w:rsidRPr="00B04567">
        <w:tab/>
        <w:t>Соответствие стандарту ISO 17020:2012</w:t>
      </w:r>
      <w:r w:rsidRPr="00B04567">
        <w:rPr>
          <w:webHidden/>
        </w:rPr>
        <w:tab/>
      </w:r>
      <w:r w:rsidRPr="00B04567">
        <w:rPr>
          <w:webHidden/>
        </w:rPr>
        <w:tab/>
        <w:t>21</w:t>
      </w:r>
      <w:r w:rsidRPr="00B04567">
        <w:rPr>
          <w:webHidden/>
        </w:rPr>
        <w:tab/>
      </w:r>
      <w:r w:rsidR="00427278">
        <w:rPr>
          <w:webHidden/>
        </w:rPr>
        <w:t>9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tab/>
        <w:t>2.</w:t>
      </w:r>
      <w:r w:rsidRPr="00B04567">
        <w:tab/>
        <w:t>Соответствие стандарту ISO 17020:2012</w:t>
      </w:r>
      <w:r w:rsidRPr="00B04567">
        <w:rPr>
          <w:webHidden/>
        </w:rPr>
        <w:tab/>
      </w:r>
      <w:r w:rsidRPr="00B04567">
        <w:rPr>
          <w:webHidden/>
        </w:rPr>
        <w:tab/>
        <w:t>22</w:t>
      </w:r>
      <w:r w:rsidRPr="00B04567">
        <w:rPr>
          <w:webHidden/>
        </w:rPr>
        <w:tab/>
      </w:r>
      <w:r w:rsidR="00427278">
        <w:rPr>
          <w:webHidden/>
        </w:rPr>
        <w:t>9</w:t>
      </w:r>
    </w:p>
    <w:p w:rsidR="00B04567" w:rsidRPr="00B04567" w:rsidRDefault="00B04567" w:rsidP="007E649E">
      <w:pPr>
        <w:keepNext/>
        <w:keepLines/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tab/>
        <w:t>3.</w:t>
      </w:r>
      <w:r w:rsidRPr="00B04567">
        <w:tab/>
        <w:t xml:space="preserve">Доклад об одиннадцатом совещании Рекомендованных </w:t>
      </w:r>
      <w:r w:rsidR="007E649E">
        <w:br/>
      </w:r>
      <w:r w:rsidR="007E649E">
        <w:tab/>
      </w:r>
      <w:r w:rsidR="007E649E">
        <w:tab/>
      </w:r>
      <w:r w:rsidR="007E649E">
        <w:tab/>
      </w:r>
      <w:r w:rsidR="007E649E">
        <w:tab/>
      </w:r>
      <w:r w:rsidRPr="00B04567">
        <w:t>классификационных обществ ВОПОГ</w:t>
      </w:r>
      <w:r w:rsidRPr="00B04567">
        <w:rPr>
          <w:webHidden/>
        </w:rPr>
        <w:tab/>
      </w:r>
      <w:r w:rsidRPr="00B04567">
        <w:rPr>
          <w:webHidden/>
        </w:rPr>
        <w:tab/>
        <w:t>23</w:t>
      </w:r>
      <w:r w:rsidRPr="00B04567">
        <w:rPr>
          <w:webHidden/>
        </w:rPr>
        <w:tab/>
      </w:r>
      <w:r w:rsidR="00427278">
        <w:rPr>
          <w:webHidden/>
        </w:rPr>
        <w:t>9</w:t>
      </w:r>
    </w:p>
    <w:p w:rsidR="00B04567" w:rsidRPr="00B04567" w:rsidRDefault="00B04567" w:rsidP="007E649E">
      <w:pPr>
        <w:keepNext/>
        <w:keepLines/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tab/>
        <w:t>4.</w:t>
      </w:r>
      <w:r w:rsidRPr="00B04567">
        <w:tab/>
        <w:t xml:space="preserve">Ссылки на ВОПОГ в Правилах класса классификационных </w:t>
      </w:r>
      <w:r w:rsidR="007E649E">
        <w:br/>
      </w:r>
      <w:r w:rsidR="007E649E">
        <w:tab/>
      </w:r>
      <w:r w:rsidR="007E649E">
        <w:tab/>
      </w:r>
      <w:r w:rsidR="007E649E">
        <w:tab/>
      </w:r>
      <w:r w:rsidR="007E649E">
        <w:tab/>
      </w:r>
      <w:r w:rsidRPr="00B04567">
        <w:t>обществ</w:t>
      </w:r>
      <w:r w:rsidRPr="00B04567">
        <w:rPr>
          <w:webHidden/>
        </w:rPr>
        <w:tab/>
      </w:r>
      <w:r w:rsidR="007E649E">
        <w:rPr>
          <w:webHidden/>
        </w:rPr>
        <w:tab/>
      </w:r>
      <w:r w:rsidRPr="00B04567">
        <w:rPr>
          <w:webHidden/>
        </w:rPr>
        <w:t>24</w:t>
      </w:r>
      <w:r w:rsidR="007E649E">
        <w:rPr>
          <w:webHidden/>
        </w:rPr>
        <w:t>–</w:t>
      </w:r>
      <w:r w:rsidRPr="00B04567">
        <w:rPr>
          <w:webHidden/>
        </w:rPr>
        <w:t>25</w:t>
      </w:r>
      <w:r w:rsidR="007E649E">
        <w:rPr>
          <w:webHidden/>
        </w:rPr>
        <w:tab/>
      </w:r>
      <w:r w:rsidR="00427278">
        <w:rPr>
          <w:webHidden/>
        </w:rPr>
        <w:t>10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rPr>
          <w:lang w:val="en-US"/>
        </w:rPr>
        <w:t>V</w:t>
      </w:r>
      <w:r w:rsidRPr="00B04567">
        <w:t>.</w:t>
      </w:r>
      <w:r w:rsidRPr="00B04567">
        <w:tab/>
        <w:t xml:space="preserve">Предложения о внесении поправок в Правила, прилагаемые </w:t>
      </w:r>
      <w:r w:rsidR="007E649E">
        <w:br/>
      </w:r>
      <w:r w:rsidR="007E649E">
        <w:tab/>
      </w:r>
      <w:r w:rsidR="007E649E">
        <w:tab/>
      </w:r>
      <w:r w:rsidRPr="00B04567">
        <w:t>к ВОПОГ (пункт 4 повестки дня)</w:t>
      </w:r>
      <w:r w:rsidRPr="00B04567">
        <w:tab/>
      </w:r>
      <w:r w:rsidR="007E649E">
        <w:tab/>
      </w:r>
      <w:r w:rsidRPr="00B04567">
        <w:t>26</w:t>
      </w:r>
      <w:r w:rsidR="007E649E">
        <w:t>–</w:t>
      </w:r>
      <w:r w:rsidRPr="00B04567">
        <w:t>44</w:t>
      </w:r>
      <w:r w:rsidRPr="00B04567">
        <w:rPr>
          <w:webHidden/>
        </w:rPr>
        <w:tab/>
      </w:r>
      <w:r w:rsidR="00427278">
        <w:rPr>
          <w:webHidden/>
        </w:rPr>
        <w:t>10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rPr>
          <w:lang w:val="en-US"/>
        </w:rPr>
        <w:t>A</w:t>
      </w:r>
      <w:r w:rsidRPr="00B04567">
        <w:t>.</w:t>
      </w:r>
      <w:r w:rsidRPr="00B04567">
        <w:tab/>
        <w:t>Работа Совместного совещания МПОГ/ДОПОГ/ВОПОГ</w:t>
      </w:r>
      <w:r w:rsidRPr="00B04567">
        <w:rPr>
          <w:webHidden/>
        </w:rPr>
        <w:tab/>
      </w:r>
      <w:r w:rsidRPr="00B04567">
        <w:rPr>
          <w:webHidden/>
        </w:rPr>
        <w:tab/>
        <w:t>26</w:t>
      </w:r>
      <w:r w:rsidR="007E649E">
        <w:rPr>
          <w:webHidden/>
        </w:rPr>
        <w:t>–</w:t>
      </w:r>
      <w:r w:rsidRPr="00B04567">
        <w:rPr>
          <w:webHidden/>
        </w:rPr>
        <w:t>27</w:t>
      </w:r>
      <w:r w:rsidRPr="00B04567">
        <w:rPr>
          <w:webHidden/>
        </w:rPr>
        <w:tab/>
      </w:r>
      <w:r w:rsidR="00427278">
        <w:rPr>
          <w:webHidden/>
        </w:rPr>
        <w:t>10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tab/>
        <w:t>1.</w:t>
      </w:r>
      <w:r w:rsidRPr="00B04567">
        <w:tab/>
        <w:t>Новые поправки</w:t>
      </w:r>
      <w:r w:rsidRPr="00B04567">
        <w:rPr>
          <w:webHidden/>
        </w:rPr>
        <w:tab/>
      </w:r>
      <w:r w:rsidRPr="00B04567">
        <w:rPr>
          <w:webHidden/>
        </w:rPr>
        <w:tab/>
        <w:t>26</w:t>
      </w:r>
      <w:r w:rsidRPr="00B04567">
        <w:rPr>
          <w:webHidden/>
        </w:rPr>
        <w:tab/>
      </w:r>
      <w:r w:rsidR="00427278">
        <w:rPr>
          <w:webHidden/>
        </w:rPr>
        <w:t>10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rPr>
          <w:webHidden/>
        </w:rPr>
        <w:tab/>
      </w:r>
      <w:r w:rsidRPr="00B04567">
        <w:rPr>
          <w:webHidden/>
        </w:rPr>
        <w:tab/>
      </w:r>
      <w:r w:rsidRPr="00B04567">
        <w:rPr>
          <w:webHidden/>
        </w:rPr>
        <w:tab/>
        <w:t>2.</w:t>
      </w:r>
      <w:r w:rsidRPr="00B04567">
        <w:rPr>
          <w:webHidden/>
        </w:rPr>
        <w:tab/>
      </w:r>
      <w:r w:rsidRPr="00B04567">
        <w:t>Исправления к ранее принятым поправкам (ECE/ADN/36)</w:t>
      </w:r>
      <w:r w:rsidRPr="00B04567">
        <w:rPr>
          <w:webHidden/>
        </w:rPr>
        <w:tab/>
      </w:r>
      <w:r w:rsidRPr="00B04567">
        <w:rPr>
          <w:webHidden/>
        </w:rPr>
        <w:tab/>
        <w:t>27</w:t>
      </w:r>
      <w:r w:rsidRPr="00B04567">
        <w:rPr>
          <w:webHidden/>
        </w:rPr>
        <w:tab/>
      </w:r>
      <w:r w:rsidR="00427278">
        <w:rPr>
          <w:webHidden/>
        </w:rPr>
        <w:t>10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rPr>
          <w:lang w:val="en-US"/>
        </w:rPr>
        <w:t>B</w:t>
      </w:r>
      <w:r w:rsidRPr="00B04567">
        <w:t>.</w:t>
      </w:r>
      <w:r w:rsidRPr="00B04567">
        <w:tab/>
        <w:t>Другие предлагаемые поправки</w:t>
      </w:r>
      <w:r w:rsidRPr="00B04567">
        <w:rPr>
          <w:webHidden/>
        </w:rPr>
        <w:tab/>
      </w:r>
      <w:r w:rsidRPr="00B04567">
        <w:rPr>
          <w:webHidden/>
        </w:rPr>
        <w:tab/>
        <w:t>28</w:t>
      </w:r>
      <w:r w:rsidR="007E649E">
        <w:rPr>
          <w:webHidden/>
        </w:rPr>
        <w:t>–</w:t>
      </w:r>
      <w:r w:rsidRPr="00B04567">
        <w:rPr>
          <w:webHidden/>
        </w:rPr>
        <w:t>44</w:t>
      </w:r>
      <w:r w:rsidRPr="00B04567">
        <w:rPr>
          <w:webHidden/>
        </w:rPr>
        <w:tab/>
      </w:r>
      <w:r w:rsidR="00427278">
        <w:rPr>
          <w:webHidden/>
        </w:rPr>
        <w:t>10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tab/>
        <w:t>1.</w:t>
      </w:r>
      <w:r w:rsidRPr="00B04567">
        <w:tab/>
        <w:t xml:space="preserve">Обновление нормативной ссылки в подпункте с) </w:t>
      </w:r>
      <w:r w:rsidR="007E649E">
        <w:br/>
      </w:r>
      <w:r w:rsidR="007E649E">
        <w:tab/>
      </w:r>
      <w:r w:rsidR="007E649E">
        <w:tab/>
      </w:r>
      <w:r w:rsidR="007E649E">
        <w:tab/>
      </w:r>
      <w:r w:rsidR="007E649E">
        <w:tab/>
      </w:r>
      <w:r w:rsidRPr="00B04567">
        <w:t>пункта 9.3.2.21.5</w:t>
      </w:r>
      <w:r w:rsidRPr="00B04567">
        <w:rPr>
          <w:webHidden/>
        </w:rPr>
        <w:tab/>
      </w:r>
      <w:r w:rsidRPr="00B04567">
        <w:rPr>
          <w:webHidden/>
        </w:rPr>
        <w:tab/>
        <w:t>28</w:t>
      </w:r>
      <w:r w:rsidRPr="00B04567">
        <w:rPr>
          <w:webHidden/>
        </w:rPr>
        <w:tab/>
      </w:r>
      <w:r w:rsidR="00427278">
        <w:rPr>
          <w:webHidden/>
        </w:rPr>
        <w:t>10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tab/>
        <w:t>2.</w:t>
      </w:r>
      <w:r w:rsidRPr="00B04567">
        <w:tab/>
        <w:t>Наименование и описание № ООН 3264 в таблице C</w:t>
      </w:r>
      <w:r w:rsidRPr="00B04567">
        <w:rPr>
          <w:webHidden/>
        </w:rPr>
        <w:tab/>
      </w:r>
      <w:r w:rsidRPr="00B04567">
        <w:rPr>
          <w:webHidden/>
        </w:rPr>
        <w:tab/>
        <w:t>29</w:t>
      </w:r>
      <w:r w:rsidRPr="00B04567">
        <w:rPr>
          <w:webHidden/>
        </w:rPr>
        <w:tab/>
      </w:r>
      <w:r w:rsidR="00427278">
        <w:rPr>
          <w:webHidden/>
        </w:rPr>
        <w:t>11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tab/>
        <w:t>3.</w:t>
      </w:r>
      <w:r w:rsidRPr="00B04567">
        <w:tab/>
        <w:t>Пункты 7.1.4.1.1 и 7.1.4.1.2</w:t>
      </w:r>
      <w:r w:rsidRPr="00B04567">
        <w:rPr>
          <w:webHidden/>
        </w:rPr>
        <w:tab/>
      </w:r>
      <w:r w:rsidRPr="00B04567">
        <w:rPr>
          <w:webHidden/>
        </w:rPr>
        <w:tab/>
        <w:t>30</w:t>
      </w:r>
      <w:r w:rsidRPr="00B04567">
        <w:rPr>
          <w:webHidden/>
        </w:rPr>
        <w:tab/>
      </w:r>
      <w:r w:rsidR="00427278">
        <w:rPr>
          <w:webHidden/>
        </w:rPr>
        <w:t>11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tab/>
        <w:t>4.</w:t>
      </w:r>
      <w:r w:rsidRPr="00B04567">
        <w:tab/>
        <w:t xml:space="preserve">Разработка брошюр по остойчивости и программ </w:t>
      </w:r>
      <w:r w:rsidR="007E649E">
        <w:br/>
      </w:r>
      <w:r w:rsidR="007E649E">
        <w:tab/>
      </w:r>
      <w:r w:rsidR="007E649E">
        <w:tab/>
      </w:r>
      <w:r w:rsidR="007E649E">
        <w:tab/>
      </w:r>
      <w:r w:rsidR="007E649E">
        <w:tab/>
      </w:r>
      <w:r w:rsidRPr="00B04567">
        <w:t>обеспечения остойчивости</w:t>
      </w:r>
      <w:r w:rsidRPr="00B04567">
        <w:rPr>
          <w:webHidden/>
        </w:rPr>
        <w:tab/>
      </w:r>
      <w:r w:rsidRPr="00B04567">
        <w:rPr>
          <w:webHidden/>
        </w:rPr>
        <w:tab/>
        <w:t>31</w:t>
      </w:r>
      <w:r w:rsidR="007E649E">
        <w:rPr>
          <w:webHidden/>
        </w:rPr>
        <w:t>–</w:t>
      </w:r>
      <w:r w:rsidRPr="00B04567">
        <w:rPr>
          <w:webHidden/>
        </w:rPr>
        <w:t>32</w:t>
      </w:r>
      <w:r w:rsidRPr="00B04567">
        <w:rPr>
          <w:webHidden/>
        </w:rPr>
        <w:tab/>
      </w:r>
      <w:r w:rsidR="00427278">
        <w:rPr>
          <w:webHidden/>
        </w:rPr>
        <w:t>11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tab/>
        <w:t>5.</w:t>
      </w:r>
      <w:r w:rsidRPr="00B04567">
        <w:tab/>
        <w:t>Конструкционные материалы</w:t>
      </w:r>
      <w:r w:rsidRPr="00B04567">
        <w:rPr>
          <w:webHidden/>
        </w:rPr>
        <w:tab/>
      </w:r>
      <w:r w:rsidRPr="00B04567">
        <w:rPr>
          <w:webHidden/>
        </w:rPr>
        <w:tab/>
        <w:t>33</w:t>
      </w:r>
      <w:r w:rsidRPr="00B04567">
        <w:rPr>
          <w:webHidden/>
        </w:rPr>
        <w:tab/>
      </w:r>
      <w:r w:rsidR="00427278">
        <w:rPr>
          <w:webHidden/>
        </w:rPr>
        <w:t>11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tab/>
        <w:t>6.</w:t>
      </w:r>
      <w:r w:rsidRPr="00B04567">
        <w:tab/>
        <w:t>Душевая и умывальник</w:t>
      </w:r>
      <w:r w:rsidRPr="00B04567">
        <w:rPr>
          <w:webHidden/>
        </w:rPr>
        <w:tab/>
      </w:r>
      <w:r w:rsidRPr="00B04567">
        <w:rPr>
          <w:webHidden/>
        </w:rPr>
        <w:tab/>
        <w:t>34</w:t>
      </w:r>
      <w:r w:rsidRPr="00B04567">
        <w:rPr>
          <w:webHidden/>
        </w:rPr>
        <w:tab/>
      </w:r>
      <w:r w:rsidR="00427278">
        <w:rPr>
          <w:webHidden/>
        </w:rPr>
        <w:t>12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tab/>
        <w:t>7.</w:t>
      </w:r>
      <w:r w:rsidRPr="00B04567">
        <w:tab/>
        <w:t>Пункт 7.2.4.25.5</w:t>
      </w:r>
      <w:r w:rsidRPr="00B04567">
        <w:rPr>
          <w:webHidden/>
        </w:rPr>
        <w:tab/>
      </w:r>
      <w:r w:rsidRPr="00B04567">
        <w:rPr>
          <w:webHidden/>
        </w:rPr>
        <w:tab/>
        <w:t>35</w:t>
      </w:r>
      <w:r w:rsidRPr="00B04567">
        <w:rPr>
          <w:webHidden/>
        </w:rPr>
        <w:tab/>
      </w:r>
      <w:r w:rsidR="00427278">
        <w:rPr>
          <w:webHidden/>
        </w:rPr>
        <w:t>12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tab/>
        <w:t>8.</w:t>
      </w:r>
      <w:r w:rsidRPr="00B04567">
        <w:tab/>
        <w:t xml:space="preserve">Поправки к таблице С в результате классификации </w:t>
      </w:r>
      <w:r w:rsidR="007E649E">
        <w:br/>
      </w:r>
      <w:r w:rsidR="007E649E">
        <w:tab/>
      </w:r>
      <w:r w:rsidR="007E649E">
        <w:tab/>
      </w:r>
      <w:r w:rsidR="007E649E">
        <w:tab/>
      </w:r>
      <w:r w:rsidR="007E649E">
        <w:tab/>
      </w:r>
      <w:r w:rsidRPr="00B04567">
        <w:t xml:space="preserve">некоторых веществ (опасность для водной среды) </w:t>
      </w:r>
      <w:r w:rsidR="007E649E">
        <w:br/>
      </w:r>
      <w:r w:rsidR="007E649E">
        <w:tab/>
      </w:r>
      <w:r w:rsidR="007E649E">
        <w:tab/>
      </w:r>
      <w:r w:rsidR="007E649E">
        <w:tab/>
      </w:r>
      <w:r w:rsidR="007E649E">
        <w:tab/>
      </w:r>
      <w:r w:rsidRPr="00B04567">
        <w:t>в соответствии с Регламентом ЕС № 286/2011</w:t>
      </w:r>
      <w:r w:rsidRPr="00B04567">
        <w:rPr>
          <w:webHidden/>
        </w:rPr>
        <w:tab/>
      </w:r>
      <w:r w:rsidRPr="00B04567">
        <w:rPr>
          <w:webHidden/>
        </w:rPr>
        <w:tab/>
        <w:t>36</w:t>
      </w:r>
      <w:r w:rsidRPr="00B04567">
        <w:rPr>
          <w:webHidden/>
        </w:rPr>
        <w:tab/>
      </w:r>
      <w:r w:rsidR="00427278">
        <w:rPr>
          <w:webHidden/>
        </w:rPr>
        <w:t>12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tab/>
        <w:t>9.</w:t>
      </w:r>
      <w:r w:rsidRPr="00B04567">
        <w:tab/>
        <w:t>Установки для дегазации</w:t>
      </w:r>
      <w:r w:rsidRPr="00B04567">
        <w:rPr>
          <w:webHidden/>
        </w:rPr>
        <w:tab/>
      </w:r>
      <w:r w:rsidRPr="00B04567">
        <w:rPr>
          <w:webHidden/>
        </w:rPr>
        <w:tab/>
        <w:t>37</w:t>
      </w:r>
      <w:r w:rsidRPr="00B04567">
        <w:rPr>
          <w:webHidden/>
        </w:rPr>
        <w:tab/>
      </w:r>
      <w:r w:rsidR="00427278">
        <w:rPr>
          <w:webHidden/>
        </w:rPr>
        <w:t>12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tab/>
        <w:t>10.</w:t>
      </w:r>
      <w:r w:rsidRPr="00B04567">
        <w:tab/>
        <w:t>Исправления к пункту 2.2.43.1.8</w:t>
      </w:r>
      <w:r w:rsidRPr="00B04567">
        <w:rPr>
          <w:webHidden/>
        </w:rPr>
        <w:tab/>
      </w:r>
      <w:r w:rsidRPr="00B04567">
        <w:rPr>
          <w:webHidden/>
        </w:rPr>
        <w:tab/>
        <w:t>38</w:t>
      </w:r>
      <w:r w:rsidRPr="00B04567">
        <w:rPr>
          <w:webHidden/>
        </w:rPr>
        <w:tab/>
      </w:r>
      <w:r w:rsidR="00427278">
        <w:rPr>
          <w:webHidden/>
        </w:rPr>
        <w:t>12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tab/>
        <w:t>11.</w:t>
      </w:r>
      <w:r w:rsidRPr="00B04567">
        <w:tab/>
        <w:t xml:space="preserve">Исправления к документу </w:t>
      </w:r>
      <w:r w:rsidRPr="00B04567">
        <w:rPr>
          <w:lang w:val="fr-FR"/>
        </w:rPr>
        <w:t>ECE</w:t>
      </w:r>
      <w:r w:rsidRPr="00B04567">
        <w:t>/</w:t>
      </w:r>
      <w:r w:rsidRPr="00B04567">
        <w:rPr>
          <w:lang w:val="fr-FR"/>
        </w:rPr>
        <w:t>ADN</w:t>
      </w:r>
      <w:r w:rsidRPr="00B04567">
        <w:t>/36 на немецком языке</w:t>
      </w:r>
      <w:r w:rsidRPr="00B04567">
        <w:rPr>
          <w:webHidden/>
        </w:rPr>
        <w:tab/>
      </w:r>
      <w:r w:rsidRPr="00B04567">
        <w:rPr>
          <w:webHidden/>
        </w:rPr>
        <w:tab/>
        <w:t>39</w:t>
      </w:r>
      <w:r w:rsidRPr="00B04567">
        <w:rPr>
          <w:webHidden/>
        </w:rPr>
        <w:tab/>
      </w:r>
      <w:r w:rsidR="00427278">
        <w:rPr>
          <w:webHidden/>
        </w:rPr>
        <w:t>12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tab/>
        <w:t>12.</w:t>
      </w:r>
      <w:r w:rsidRPr="00B04567">
        <w:tab/>
        <w:t>Поддоны для сбора пролившейся жидкости</w:t>
      </w:r>
      <w:r w:rsidRPr="00B04567">
        <w:rPr>
          <w:webHidden/>
        </w:rPr>
        <w:tab/>
      </w:r>
      <w:r w:rsidRPr="00B04567">
        <w:rPr>
          <w:webHidden/>
        </w:rPr>
        <w:tab/>
        <w:t>40</w:t>
      </w:r>
      <w:r w:rsidRPr="00B04567">
        <w:rPr>
          <w:webHidden/>
        </w:rPr>
        <w:tab/>
      </w:r>
      <w:r w:rsidR="00B21F61">
        <w:rPr>
          <w:webHidden/>
        </w:rPr>
        <w:t>13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tab/>
        <w:t>13.</w:t>
      </w:r>
      <w:r w:rsidRPr="00B04567">
        <w:tab/>
        <w:t xml:space="preserve">Применение стандартов, касающихся предотвращения </w:t>
      </w:r>
      <w:r w:rsidR="007E649E">
        <w:br/>
      </w:r>
      <w:r w:rsidR="007E649E">
        <w:tab/>
      </w:r>
      <w:r w:rsidR="007E649E">
        <w:tab/>
      </w:r>
      <w:r w:rsidR="007E649E">
        <w:tab/>
      </w:r>
      <w:r w:rsidR="007E649E">
        <w:tab/>
      </w:r>
      <w:r w:rsidRPr="00B04567">
        <w:t>взрывов во</w:t>
      </w:r>
      <w:r w:rsidRPr="00B04567">
        <w:rPr>
          <w:lang w:val="en-US"/>
        </w:rPr>
        <w:t> </w:t>
      </w:r>
      <w:r w:rsidRPr="00B04567">
        <w:t xml:space="preserve">взрывоопасной атмосфере в отношении </w:t>
      </w:r>
      <w:r w:rsidR="007E649E">
        <w:br/>
      </w:r>
      <w:r w:rsidR="007E649E">
        <w:tab/>
      </w:r>
      <w:r w:rsidR="007E649E">
        <w:tab/>
      </w:r>
      <w:r w:rsidR="007E649E">
        <w:tab/>
      </w:r>
      <w:r w:rsidR="007E649E">
        <w:tab/>
      </w:r>
      <w:r w:rsidRPr="00B04567">
        <w:t>неэлектрических устройств</w:t>
      </w:r>
      <w:r w:rsidRPr="00B04567">
        <w:rPr>
          <w:webHidden/>
        </w:rPr>
        <w:tab/>
      </w:r>
      <w:r w:rsidRPr="00B04567">
        <w:rPr>
          <w:webHidden/>
        </w:rPr>
        <w:tab/>
        <w:t>41</w:t>
      </w:r>
      <w:r w:rsidR="007E649E">
        <w:rPr>
          <w:webHidden/>
        </w:rPr>
        <w:t>–</w:t>
      </w:r>
      <w:r w:rsidRPr="00B04567">
        <w:rPr>
          <w:webHidden/>
        </w:rPr>
        <w:t>44</w:t>
      </w:r>
      <w:r w:rsidRPr="00B04567">
        <w:rPr>
          <w:webHidden/>
        </w:rPr>
        <w:tab/>
      </w:r>
      <w:r w:rsidR="00B21F61">
        <w:rPr>
          <w:webHidden/>
        </w:rPr>
        <w:t>13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rPr>
          <w:lang w:val="en-US"/>
        </w:rPr>
        <w:t>VI</w:t>
      </w:r>
      <w:r w:rsidRPr="00B04567">
        <w:t>.</w:t>
      </w:r>
      <w:r w:rsidRPr="00B04567">
        <w:tab/>
        <w:t>Доклады неофициальных рабочих групп (пункт 5 повестки дня)</w:t>
      </w:r>
      <w:r w:rsidRPr="00B04567">
        <w:rPr>
          <w:webHidden/>
        </w:rPr>
        <w:tab/>
      </w:r>
      <w:r w:rsidRPr="00B04567">
        <w:rPr>
          <w:webHidden/>
        </w:rPr>
        <w:tab/>
        <w:t>45</w:t>
      </w:r>
      <w:r w:rsidR="007E649E">
        <w:rPr>
          <w:webHidden/>
        </w:rPr>
        <w:t>–</w:t>
      </w:r>
      <w:r w:rsidRPr="00B04567">
        <w:rPr>
          <w:webHidden/>
        </w:rPr>
        <w:t>61</w:t>
      </w:r>
      <w:r w:rsidRPr="00B04567">
        <w:rPr>
          <w:webHidden/>
        </w:rPr>
        <w:tab/>
      </w:r>
      <w:r w:rsidR="00B21F61">
        <w:rPr>
          <w:webHidden/>
        </w:rPr>
        <w:t>14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rPr>
          <w:lang w:val="en-US"/>
        </w:rPr>
        <w:t>A</w:t>
      </w:r>
      <w:r w:rsidRPr="00B04567">
        <w:t>.</w:t>
      </w:r>
      <w:r w:rsidRPr="00B04567">
        <w:tab/>
        <w:t xml:space="preserve">Неофициальная рабочая группа по защите против взрывов </w:t>
      </w:r>
      <w:r w:rsidR="007E649E">
        <w:br/>
      </w:r>
      <w:r w:rsidR="007E649E">
        <w:tab/>
      </w:r>
      <w:r w:rsidR="007E649E">
        <w:tab/>
      </w:r>
      <w:r w:rsidR="007E649E">
        <w:tab/>
      </w:r>
      <w:r w:rsidRPr="00B04567">
        <w:t>на танкерах</w:t>
      </w:r>
      <w:r w:rsidRPr="00B04567">
        <w:rPr>
          <w:webHidden/>
        </w:rPr>
        <w:tab/>
      </w:r>
      <w:r w:rsidRPr="00B04567">
        <w:rPr>
          <w:webHidden/>
        </w:rPr>
        <w:tab/>
        <w:t>45</w:t>
      </w:r>
      <w:r w:rsidR="007E649E">
        <w:rPr>
          <w:webHidden/>
        </w:rPr>
        <w:t>–</w:t>
      </w:r>
      <w:r w:rsidRPr="00B04567">
        <w:rPr>
          <w:webHidden/>
        </w:rPr>
        <w:t>50</w:t>
      </w:r>
      <w:r w:rsidRPr="00B04567">
        <w:rPr>
          <w:webHidden/>
        </w:rPr>
        <w:tab/>
      </w:r>
      <w:r w:rsidR="00B21F61">
        <w:rPr>
          <w:webHidden/>
        </w:rPr>
        <w:t>14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04567">
        <w:tab/>
      </w:r>
      <w:r w:rsidRPr="00B04567">
        <w:tab/>
      </w:r>
      <w:r w:rsidRPr="00B04567">
        <w:rPr>
          <w:lang w:val="en-US"/>
        </w:rPr>
        <w:t>B</w:t>
      </w:r>
      <w:r w:rsidRPr="00B04567">
        <w:t>.</w:t>
      </w:r>
      <w:r w:rsidRPr="00B04567">
        <w:tab/>
        <w:t>Доклад неофициальной рабочей группы по сжиженному</w:t>
      </w:r>
      <w:r w:rsidR="007E649E">
        <w:t xml:space="preserve"> </w:t>
      </w:r>
      <w:r w:rsidR="007E649E">
        <w:br/>
      </w:r>
      <w:r w:rsidR="007E649E">
        <w:tab/>
      </w:r>
      <w:r w:rsidR="007E649E">
        <w:tab/>
      </w:r>
      <w:r w:rsidR="007E649E">
        <w:tab/>
      </w:r>
      <w:r w:rsidRPr="00B04567">
        <w:t>природному газу (СПГ)</w:t>
      </w:r>
      <w:r w:rsidRPr="00B04567">
        <w:tab/>
      </w:r>
      <w:r w:rsidRPr="00B04567">
        <w:tab/>
        <w:t>51</w:t>
      </w:r>
      <w:r w:rsidR="007E649E">
        <w:t>–</w:t>
      </w:r>
      <w:r w:rsidRPr="00B04567">
        <w:t>52</w:t>
      </w:r>
      <w:r w:rsidRPr="00B04567">
        <w:tab/>
      </w:r>
      <w:r w:rsidR="00B21F61">
        <w:t>15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tab/>
      </w:r>
      <w:r w:rsidRPr="00B04567">
        <w:rPr>
          <w:lang w:val="en-US"/>
        </w:rPr>
        <w:t>C</w:t>
      </w:r>
      <w:r w:rsidRPr="00B04567">
        <w:t>.</w:t>
      </w:r>
      <w:r w:rsidRPr="00B04567">
        <w:tab/>
        <w:t>Неофициальная рабочая группа по дегазации грузовых танков</w:t>
      </w:r>
      <w:r w:rsidRPr="00B04567">
        <w:rPr>
          <w:webHidden/>
        </w:rPr>
        <w:tab/>
      </w:r>
      <w:r w:rsidRPr="00B04567">
        <w:rPr>
          <w:webHidden/>
        </w:rPr>
        <w:tab/>
        <w:t>53</w:t>
      </w:r>
      <w:r w:rsidR="007E649E">
        <w:rPr>
          <w:webHidden/>
        </w:rPr>
        <w:t>–</w:t>
      </w:r>
      <w:r w:rsidRPr="00B04567">
        <w:rPr>
          <w:webHidden/>
        </w:rPr>
        <w:t>61</w:t>
      </w:r>
      <w:r w:rsidRPr="00B04567">
        <w:rPr>
          <w:webHidden/>
        </w:rPr>
        <w:tab/>
      </w:r>
      <w:r w:rsidR="00B21F61">
        <w:rPr>
          <w:webHidden/>
        </w:rPr>
        <w:t>15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rPr>
          <w:lang w:val="en-US"/>
        </w:rPr>
        <w:t>VII</w:t>
      </w:r>
      <w:r w:rsidRPr="00B04567">
        <w:t>.</w:t>
      </w:r>
      <w:r w:rsidRPr="00B04567">
        <w:tab/>
        <w:t>Программа работы и расписание совещаний (пункт 6 повестки дня)</w:t>
      </w:r>
      <w:r w:rsidRPr="00B04567">
        <w:rPr>
          <w:webHidden/>
        </w:rPr>
        <w:tab/>
      </w:r>
      <w:r w:rsidRPr="00B04567">
        <w:rPr>
          <w:webHidden/>
        </w:rPr>
        <w:tab/>
        <w:t>62</w:t>
      </w:r>
      <w:r w:rsidR="007E649E">
        <w:rPr>
          <w:webHidden/>
        </w:rPr>
        <w:t>–</w:t>
      </w:r>
      <w:r w:rsidRPr="00B04567">
        <w:rPr>
          <w:webHidden/>
        </w:rPr>
        <w:t>63</w:t>
      </w:r>
      <w:r w:rsidRPr="00B04567">
        <w:rPr>
          <w:webHidden/>
        </w:rPr>
        <w:tab/>
      </w:r>
      <w:r w:rsidR="00B21F61">
        <w:rPr>
          <w:webHidden/>
        </w:rPr>
        <w:t>16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rPr>
          <w:lang w:val="en-US"/>
        </w:rPr>
        <w:t>VIII</w:t>
      </w:r>
      <w:r w:rsidRPr="00B04567">
        <w:t xml:space="preserve">. </w:t>
      </w:r>
      <w:r w:rsidRPr="00B04567">
        <w:tab/>
        <w:t>Прочие вопросы (пункт 7 повестки дня)</w:t>
      </w:r>
      <w:r w:rsidRPr="00B04567">
        <w:rPr>
          <w:webHidden/>
        </w:rPr>
        <w:tab/>
      </w:r>
      <w:r w:rsidRPr="00B04567">
        <w:rPr>
          <w:webHidden/>
        </w:rPr>
        <w:tab/>
        <w:t>64</w:t>
      </w:r>
      <w:r w:rsidRPr="00B04567">
        <w:rPr>
          <w:webHidden/>
        </w:rPr>
        <w:tab/>
      </w:r>
      <w:r w:rsidR="00B21F61">
        <w:rPr>
          <w:webHidden/>
        </w:rPr>
        <w:t>17</w:t>
      </w:r>
    </w:p>
    <w:p w:rsidR="00B04567" w:rsidRPr="00B04567" w:rsidRDefault="00B04567" w:rsidP="00A14A95">
      <w:pPr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04567">
        <w:tab/>
      </w:r>
      <w:r w:rsidRPr="00B04567">
        <w:tab/>
        <w:t>КОВВП</w:t>
      </w:r>
      <w:r w:rsidRPr="00B04567">
        <w:rPr>
          <w:webHidden/>
        </w:rPr>
        <w:tab/>
      </w:r>
      <w:r w:rsidRPr="00B04567">
        <w:rPr>
          <w:webHidden/>
        </w:rPr>
        <w:tab/>
        <w:t>64</w:t>
      </w:r>
      <w:r w:rsidRPr="00B04567">
        <w:rPr>
          <w:webHidden/>
        </w:rPr>
        <w:tab/>
      </w:r>
      <w:r w:rsidR="00B21F61">
        <w:rPr>
          <w:webHidden/>
        </w:rPr>
        <w:t>17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webHidden/>
        </w:rPr>
      </w:pPr>
      <w:r w:rsidRPr="00B04567">
        <w:tab/>
      </w:r>
      <w:r w:rsidRPr="00B04567">
        <w:rPr>
          <w:lang w:val="en-US"/>
        </w:rPr>
        <w:t>IX</w:t>
      </w:r>
      <w:r w:rsidRPr="00B04567">
        <w:t>.</w:t>
      </w:r>
      <w:r w:rsidRPr="00B04567">
        <w:tab/>
        <w:t>Утверждение доклада (пункт 8 повестки дня)</w:t>
      </w:r>
      <w:r w:rsidRPr="00B04567">
        <w:rPr>
          <w:webHidden/>
        </w:rPr>
        <w:tab/>
      </w:r>
      <w:r w:rsidRPr="00B04567">
        <w:rPr>
          <w:webHidden/>
        </w:rPr>
        <w:tab/>
        <w:t>65</w:t>
      </w:r>
      <w:r w:rsidRPr="00B04567">
        <w:rPr>
          <w:webHidden/>
        </w:rPr>
        <w:tab/>
      </w:r>
      <w:r w:rsidR="00B21F61">
        <w:rPr>
          <w:webHidden/>
        </w:rPr>
        <w:t>17</w:t>
      </w:r>
    </w:p>
    <w:p w:rsidR="00B04567" w:rsidRPr="00B04567" w:rsidRDefault="00B04567" w:rsidP="00B045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04567">
        <w:t>Приложения</w:t>
      </w:r>
    </w:p>
    <w:p w:rsidR="00B04567" w:rsidRPr="00B04567" w:rsidRDefault="00B04567" w:rsidP="00474D07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/>
      </w:pPr>
      <w:r w:rsidRPr="00B04567">
        <w:tab/>
      </w:r>
      <w:r w:rsidRPr="00B04567">
        <w:rPr>
          <w:lang w:val="en-US"/>
        </w:rPr>
        <w:t>I</w:t>
      </w:r>
      <w:r w:rsidRPr="00B04567">
        <w:t>.</w:t>
      </w:r>
      <w:r w:rsidRPr="00B04567">
        <w:tab/>
        <w:t xml:space="preserve">Проекты поправок к Правилам, прилагаемым к ВОПОГ, для вступления в силу </w:t>
      </w:r>
      <w:r w:rsidR="00474D07">
        <w:br/>
      </w:r>
      <w:r w:rsidR="00474D07">
        <w:tab/>
      </w:r>
      <w:r w:rsidR="00474D07">
        <w:tab/>
      </w:r>
      <w:r w:rsidRPr="00B04567">
        <w:t>1 января 2017 года</w:t>
      </w:r>
      <w:r w:rsidRPr="00B04567">
        <w:tab/>
      </w:r>
      <w:r w:rsidRPr="00B04567">
        <w:tab/>
      </w:r>
      <w:r w:rsidR="00B21F61">
        <w:t>18</w:t>
      </w:r>
    </w:p>
    <w:p w:rsidR="00B04567" w:rsidRPr="00B04567" w:rsidRDefault="00B04567" w:rsidP="00474D07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/>
      </w:pPr>
      <w:r w:rsidRPr="00B04567">
        <w:tab/>
      </w:r>
      <w:r w:rsidRPr="00B04567">
        <w:rPr>
          <w:lang w:val="en-US"/>
        </w:rPr>
        <w:t>II</w:t>
      </w:r>
      <w:r w:rsidRPr="00B04567">
        <w:t>.</w:t>
      </w:r>
      <w:r w:rsidRPr="00B04567">
        <w:tab/>
        <w:t xml:space="preserve">Предлагаемые исправления к поправкам к Правилам, прилагаемым к ВОПОГ, </w:t>
      </w:r>
      <w:r w:rsidR="00474D07">
        <w:br/>
      </w:r>
      <w:r w:rsidR="00474D07">
        <w:tab/>
      </w:r>
      <w:r w:rsidR="00474D07">
        <w:tab/>
      </w:r>
      <w:r w:rsidRPr="00B04567">
        <w:t>для вступления в силу 1 января 2017 года</w:t>
      </w:r>
      <w:r w:rsidRPr="00B04567">
        <w:tab/>
      </w:r>
      <w:r w:rsidRPr="00B04567">
        <w:tab/>
      </w:r>
      <w:r w:rsidR="00B21F61">
        <w:t>19</w:t>
      </w:r>
    </w:p>
    <w:p w:rsidR="00B04567" w:rsidRPr="00B04567" w:rsidRDefault="00B04567" w:rsidP="00474D07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/>
      </w:pPr>
      <w:r w:rsidRPr="00B04567">
        <w:tab/>
      </w:r>
      <w:r w:rsidRPr="00B04567">
        <w:rPr>
          <w:lang w:val="en-US"/>
        </w:rPr>
        <w:t>III</w:t>
      </w:r>
      <w:r w:rsidRPr="00B04567">
        <w:t>.</w:t>
      </w:r>
      <w:r w:rsidRPr="00B04567">
        <w:tab/>
        <w:t xml:space="preserve">Проекты поправок к Правилам, прилагаемым к ВОПОГ, для вступления в силу </w:t>
      </w:r>
      <w:r w:rsidR="00474D07">
        <w:br/>
      </w:r>
      <w:r w:rsidR="00474D07">
        <w:tab/>
      </w:r>
      <w:r w:rsidR="00474D07">
        <w:tab/>
      </w:r>
      <w:r w:rsidRPr="00B04567">
        <w:t>1 января 2019 года</w:t>
      </w:r>
      <w:r w:rsidRPr="00B04567">
        <w:tab/>
      </w:r>
      <w:r w:rsidRPr="00B04567">
        <w:tab/>
      </w:r>
      <w:r w:rsidR="00B21F61">
        <w:t>20</w:t>
      </w:r>
    </w:p>
    <w:p w:rsidR="00B04567" w:rsidRPr="00B04567" w:rsidRDefault="00B04567" w:rsidP="00474D07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/>
      </w:pPr>
      <w:r w:rsidRPr="00B04567">
        <w:tab/>
      </w:r>
      <w:r w:rsidRPr="00B04567">
        <w:rPr>
          <w:lang w:val="en-US"/>
        </w:rPr>
        <w:t>IV</w:t>
      </w:r>
      <w:r w:rsidRPr="00B04567">
        <w:t>.</w:t>
      </w:r>
      <w:r w:rsidRPr="00B04567">
        <w:tab/>
        <w:t>Предлагаемые исправления к Правилам, прилагаемым к ВОПОГ</w:t>
      </w:r>
      <w:r w:rsidRPr="00B04567">
        <w:tab/>
      </w:r>
      <w:r w:rsidRPr="00B04567">
        <w:tab/>
      </w:r>
      <w:r w:rsidR="00B21F61">
        <w:t>21</w:t>
      </w:r>
    </w:p>
    <w:p w:rsidR="00957F63" w:rsidRPr="00EB161C" w:rsidRDefault="00957F63">
      <w:pPr>
        <w:spacing w:line="240" w:lineRule="auto"/>
      </w:pPr>
      <w:r w:rsidRPr="00EB161C">
        <w:br w:type="page"/>
      </w:r>
    </w:p>
    <w:p w:rsidR="003127E0" w:rsidRPr="003127E0" w:rsidRDefault="003127E0" w:rsidP="003127E0">
      <w:pPr>
        <w:pStyle w:val="HChGR"/>
      </w:pPr>
      <w:r w:rsidRPr="003127E0">
        <w:tab/>
        <w:t>I.</w:t>
      </w:r>
      <w:r w:rsidRPr="003127E0">
        <w:tab/>
        <w:t>Участники</w:t>
      </w:r>
    </w:p>
    <w:p w:rsidR="003127E0" w:rsidRPr="003127E0" w:rsidRDefault="003127E0" w:rsidP="003127E0">
      <w:pPr>
        <w:pStyle w:val="SingleTxtGR"/>
      </w:pPr>
      <w:r w:rsidRPr="003127E0">
        <w:t>1.</w:t>
      </w:r>
      <w:r w:rsidRPr="003127E0">
        <w:tab/>
        <w:t xml:space="preserve">Совместное совещание экспертов по Правилам, прилагаемым к Европейскому соглашению о международной перевозке опасных грузов по внутренним водным путям (ВОПОГ) (Комитет по вопросам безопасности ВОПОГ), провело свою двадцать девятую сессию в Женеве 22–26 августа 2016 года под руководством Председателя г-на Х. Райна (Германия) и заместителя Председателя </w:t>
      </w:r>
      <w:r w:rsidR="00474D07">
        <w:br/>
      </w:r>
      <w:r w:rsidRPr="003127E0">
        <w:t>г-на Б. Биркльхубера (Австрия). В работе сессии приняли участие представители следующих стран: Австрии, Бельгии, Болгарии, Германии, Люксембурга, Нидерландов, Российской Федерации, Румынии, Сербии, Словакии, Украины, Франции, Хорватии и Швейцарии. Были представлены следующие межправительственные организации: Центральная комиссия судоходства по Рейну (ЦКСР), Дунайская комиссия (ДК) и Европейский союз. Были также представлены следующие неправительственные организации: Международный комитет по предотвращению производственных аварий на речном транспорте (СИПА), Европейский совет химической промышленности (ЕСФХП), Европейская ассоциация оптовых поставщиков нефтепродуктов (ЕАОН), Европейский союз речного и прибрежного транспорта (ЕСРПТ), ФьюэлзЕуроп, Европейская организация судоводителей (ЕОС), Рекомендованные классификационные общества ВОПОГ и Европейский союз речного судоходства (ЕСРС).</w:t>
      </w:r>
    </w:p>
    <w:p w:rsidR="003127E0" w:rsidRPr="003127E0" w:rsidRDefault="003127E0" w:rsidP="003127E0">
      <w:pPr>
        <w:pStyle w:val="HChGR"/>
      </w:pPr>
      <w:r w:rsidRPr="003127E0">
        <w:tab/>
        <w:t>II.</w:t>
      </w:r>
      <w:r w:rsidRPr="003127E0">
        <w:tab/>
        <w:t>Утверждение повестки дня (пункт 1 повестки дня)</w:t>
      </w:r>
    </w:p>
    <w:p w:rsidR="00F77D5F" w:rsidRPr="00AB3F08" w:rsidRDefault="00F77D5F" w:rsidP="00F77D5F">
      <w:pPr>
        <w:pStyle w:val="SingleTxtGR"/>
      </w:pPr>
      <w:r w:rsidRPr="00AB3F08">
        <w:rPr>
          <w:i/>
        </w:rPr>
        <w:t>Документы</w:t>
      </w:r>
      <w:r w:rsidRPr="00AB3F08">
        <w:t>:</w:t>
      </w:r>
      <w:r w:rsidRPr="00AB3F08">
        <w:tab/>
      </w:r>
      <w:r w:rsidRPr="00AB3F08">
        <w:tab/>
      </w:r>
      <w:r w:rsidRPr="00AB3F08">
        <w:tab/>
      </w:r>
      <w:r w:rsidRPr="00AB3F08">
        <w:tab/>
        <w:t>ECE/TRANS/WP.15/AC.2/59 и Add.1</w:t>
      </w:r>
    </w:p>
    <w:p w:rsidR="00F77D5F" w:rsidRPr="00AB3F08" w:rsidRDefault="00F77D5F" w:rsidP="00F77D5F">
      <w:pPr>
        <w:pStyle w:val="SingleTxtGR"/>
      </w:pPr>
      <w:r w:rsidRPr="00AB3F08">
        <w:rPr>
          <w:i/>
        </w:rPr>
        <w:t>Неофициальный документ</w:t>
      </w:r>
      <w:r w:rsidRPr="00AB3F08">
        <w:t>:</w:t>
      </w:r>
      <w:r w:rsidRPr="00AB3F08">
        <w:tab/>
        <w:t>INF.1 (секретариат)</w:t>
      </w:r>
    </w:p>
    <w:p w:rsidR="00F77D5F" w:rsidRPr="00AB3F08" w:rsidRDefault="00F77D5F" w:rsidP="00F77D5F">
      <w:pPr>
        <w:pStyle w:val="SingleTxtGR"/>
      </w:pPr>
      <w:r w:rsidRPr="00AB3F08">
        <w:t>2.</w:t>
      </w:r>
      <w:r w:rsidRPr="00AB3F08">
        <w:tab/>
        <w:t>Комитет по вопросам безопасности утвердил подготовленную секретариатом повестку дня, измененную в соответс</w:t>
      </w:r>
      <w:r>
        <w:t>твии с неофициальным документом</w:t>
      </w:r>
      <w:r>
        <w:rPr>
          <w:lang w:val="en-US"/>
        </w:rPr>
        <w:t> </w:t>
      </w:r>
      <w:r w:rsidRPr="00AB3F08">
        <w:t>INF.1 с целью учета неофициальных документов INF.1–INF.</w:t>
      </w:r>
      <w:r>
        <w:t>30.</w:t>
      </w:r>
    </w:p>
    <w:p w:rsidR="00F77D5F" w:rsidRPr="00AB3F08" w:rsidRDefault="00F77D5F" w:rsidP="00F77D5F">
      <w:pPr>
        <w:pStyle w:val="HChGR"/>
      </w:pPr>
      <w:r>
        <w:tab/>
      </w:r>
      <w:r w:rsidRPr="00AB3F08">
        <w:t>III.</w:t>
      </w:r>
      <w:r w:rsidRPr="00AB3F08">
        <w:tab/>
        <w:t>Вопросы, вытекающие из работы органов Организации Объединенных Наций или других организаций (пункт 2 повестки дня)</w:t>
      </w:r>
    </w:p>
    <w:p w:rsidR="00F77D5F" w:rsidRPr="00AB3F08" w:rsidRDefault="00F77D5F" w:rsidP="00F77D5F">
      <w:pPr>
        <w:pStyle w:val="SingleTxtGR"/>
      </w:pPr>
      <w:r w:rsidRPr="00AB3F08">
        <w:t>3.</w:t>
      </w:r>
      <w:r w:rsidRPr="00AB3F08">
        <w:tab/>
        <w:t>Комитет по вопросам безопасности принял к сведению, что перечень основных решений, принятых Комитетом по внутреннему транспорту на его семьдесят восьмой сессии, размещен на веб-сайте ЕЭК ООН и что доклад до сих пор имеется только на английском языке под у</w:t>
      </w:r>
      <w:r w:rsidR="00C93ABC">
        <w:t>с</w:t>
      </w:r>
      <w:r w:rsidRPr="00AB3F08">
        <w:t>ловным обозначением</w:t>
      </w:r>
      <w:r w:rsidR="00C93ABC">
        <w:t> </w:t>
      </w:r>
      <w:r w:rsidRPr="00AB3F08">
        <w:t>ECE/TRANS/254 и Add.1.</w:t>
      </w:r>
    </w:p>
    <w:p w:rsidR="00F77D5F" w:rsidRPr="00AB3F08" w:rsidRDefault="00F77D5F" w:rsidP="00F77D5F">
      <w:pPr>
        <w:pStyle w:val="SingleTxtGR"/>
      </w:pPr>
      <w:r w:rsidRPr="00AB3F08">
        <w:t>4.</w:t>
      </w:r>
      <w:r w:rsidRPr="00AB3F08">
        <w:tab/>
        <w:t>Директор Отдела устойчивого транспорта г-жа Эва Мольнар проинформировала членов Комитета о подготовке к семьдесят девятой сессии КВТ, в ходе которой будет проведен сегмент на уровне министров, посвященный 70-й годовщине создания Комитета, в связи с чем предполагается определить стратегию на период до 2030 года. Всем вспомогательным органам предлагается принять участие в этой подготовительной работе, и с этой целью в начале сентября 2016 года делегатам будет разослан вопросник.</w:t>
      </w:r>
    </w:p>
    <w:p w:rsidR="00F77D5F" w:rsidRPr="00AB3F08" w:rsidRDefault="00F77D5F" w:rsidP="00F77D5F">
      <w:pPr>
        <w:pStyle w:val="SingleTxtGR"/>
      </w:pPr>
      <w:r w:rsidRPr="00AB3F08">
        <w:t>5.</w:t>
      </w:r>
      <w:r w:rsidRPr="00AB3F08">
        <w:tab/>
        <w:t xml:space="preserve">Сотрудник секретариата поблагодарил членов Комитета по вопросам </w:t>
      </w:r>
      <w:r w:rsidR="00C93ABC">
        <w:br/>
      </w:r>
      <w:r w:rsidRPr="00AB3F08">
        <w:t>безопасности, которые ответили на вопросник, касающийся оценки глобальных и региональных последствий использовани</w:t>
      </w:r>
      <w:r>
        <w:t>я правил ЕЭК ООН и Рекомендаций</w:t>
      </w:r>
      <w:r>
        <w:rPr>
          <w:lang w:val="en-US"/>
        </w:rPr>
        <w:t> </w:t>
      </w:r>
      <w:r w:rsidRPr="00AB3F08">
        <w:t>ООН по перевозке опасных грузов. Данные, содержащиеся в ответах на указанный вопросник, и их анализ секретариатом опубликованы в неофициальном документе INF.25. Доклад об оценке, подготовленный консультантом, а</w:t>
      </w:r>
      <w:r w:rsidR="00950655">
        <w:t> </w:t>
      </w:r>
      <w:r w:rsidRPr="00AB3F08">
        <w:t xml:space="preserve">также ответ секретариата размещены на веб-сайте ЕЭК ООН по следующему адресу: </w:t>
      </w:r>
      <w:hyperlink r:id="rId9" w:history="1">
        <w:r w:rsidRPr="00F7673B">
          <w:t>www.unece.org/info/open-unece/evaluation.html</w:t>
        </w:r>
      </w:hyperlink>
      <w:r w:rsidRPr="00AB3F08">
        <w:t>.</w:t>
      </w:r>
    </w:p>
    <w:p w:rsidR="00F77D5F" w:rsidRPr="00AB3F08" w:rsidRDefault="00F77D5F" w:rsidP="00F77D5F">
      <w:pPr>
        <w:pStyle w:val="HChGR"/>
      </w:pPr>
      <w:r>
        <w:tab/>
      </w:r>
      <w:r w:rsidRPr="00AB3F08">
        <w:t>IV.</w:t>
      </w:r>
      <w:r w:rsidRPr="00AB3F08">
        <w:tab/>
        <w:t>Приме</w:t>
      </w:r>
      <w:r>
        <w:t>нение Европейского соглашения о</w:t>
      </w:r>
      <w:r>
        <w:rPr>
          <w:lang w:val="en-US"/>
        </w:rPr>
        <w:t> </w:t>
      </w:r>
      <w:r w:rsidRPr="00AB3F08">
        <w:t>международной перевоз</w:t>
      </w:r>
      <w:r>
        <w:t>ке опасных грузов по</w:t>
      </w:r>
      <w:r>
        <w:rPr>
          <w:lang w:val="en-US"/>
        </w:rPr>
        <w:t> </w:t>
      </w:r>
      <w:r w:rsidRPr="00AB3F08">
        <w:t xml:space="preserve">внутренним водным путям (ВОПОГ) </w:t>
      </w:r>
      <w:r w:rsidR="00950655">
        <w:br/>
      </w:r>
      <w:r w:rsidRPr="00AB3F08">
        <w:t>(пункт 3 повестки дня)</w:t>
      </w:r>
    </w:p>
    <w:p w:rsidR="00F77D5F" w:rsidRPr="00AB3F08" w:rsidRDefault="00F77D5F" w:rsidP="00F77D5F">
      <w:pPr>
        <w:pStyle w:val="H1GR"/>
      </w:pPr>
      <w:r w:rsidRPr="00AB3F08">
        <w:tab/>
        <w:t>А.</w:t>
      </w:r>
      <w:r w:rsidRPr="00AB3F08">
        <w:tab/>
        <w:t>Состояние ВОПОГ</w:t>
      </w:r>
    </w:p>
    <w:p w:rsidR="00F77D5F" w:rsidRPr="00AB3F08" w:rsidRDefault="00F77D5F" w:rsidP="00F77D5F">
      <w:pPr>
        <w:pStyle w:val="SingleTxtGR"/>
      </w:pPr>
      <w:r w:rsidRPr="00AB3F08">
        <w:t>6.</w:t>
      </w:r>
      <w:r w:rsidRPr="00AB3F08">
        <w:tab/>
        <w:t>Комитет по вопросам безопасности отметил, что к Соглашению не присоединились новые Договаривающиеся стороны и их число по-прежнему составляет 18.</w:t>
      </w:r>
    </w:p>
    <w:p w:rsidR="00F77D5F" w:rsidRPr="00AB3F08" w:rsidRDefault="00F77D5F" w:rsidP="00F77D5F">
      <w:pPr>
        <w:pStyle w:val="SingleTxtGR"/>
      </w:pPr>
      <w:r w:rsidRPr="00AB3F08">
        <w:t>7.</w:t>
      </w:r>
      <w:r w:rsidRPr="00AB3F08">
        <w:tab/>
        <w:t>Предложения о поправках к прилагаемым Правилам, принятые Административным комитетом на его последней сессии (ECE/ADN/36), были сообщены Договаривающимся сторонам 1 июля 2016 года в уведомлении</w:t>
      </w:r>
      <w:r>
        <w:t xml:space="preserve"> депозитария</w:t>
      </w:r>
      <w:r>
        <w:rPr>
          <w:lang w:val="en-US"/>
        </w:rPr>
        <w:t> </w:t>
      </w:r>
      <w:r w:rsidRPr="00AB3F08">
        <w:t>C.N.444.2016.TREATIES-XI.D.6 для принятия. Если до 1 октября 2016 года не будет представлено достаточное число возражений, эти поправки будут считаться принятыми для вступления в силу 1 января 2017 года.</w:t>
      </w:r>
    </w:p>
    <w:p w:rsidR="00F77D5F" w:rsidRPr="00AB3F08" w:rsidRDefault="00F77D5F" w:rsidP="00F77D5F">
      <w:pPr>
        <w:pStyle w:val="H1GR"/>
      </w:pPr>
      <w:r w:rsidRPr="00AB3F08">
        <w:tab/>
        <w:t>В.</w:t>
      </w:r>
      <w:r w:rsidRPr="00AB3F08">
        <w:tab/>
        <w:t>Специальные разрешения, отступления и эквивалентные аналоги</w:t>
      </w:r>
    </w:p>
    <w:p w:rsidR="00F77D5F" w:rsidRPr="00AB3F08" w:rsidRDefault="00F77D5F" w:rsidP="00F77D5F">
      <w:pPr>
        <w:pStyle w:val="H23GR"/>
      </w:pPr>
      <w:r w:rsidRPr="00AB3F08">
        <w:tab/>
        <w:t>1.</w:t>
      </w:r>
      <w:r w:rsidRPr="00AB3F08">
        <w:tab/>
        <w:t>Заявка на предоставление временного отступления для судна-толкача «DONAU» (06105358) в отношении использования системы пожаротушения, генерирующей сухой аэрозоль (FirePro)</w:t>
      </w:r>
    </w:p>
    <w:p w:rsidR="00F77D5F" w:rsidRDefault="00F77D5F" w:rsidP="00F77D5F">
      <w:pPr>
        <w:pStyle w:val="SingleTxtGR"/>
      </w:pPr>
      <w:r w:rsidRPr="00AB3F08">
        <w:rPr>
          <w:i/>
        </w:rPr>
        <w:t>Документ</w:t>
      </w:r>
      <w:r w:rsidRPr="00AB3F08">
        <w:t xml:space="preserve">: </w:t>
      </w:r>
      <w:r w:rsidRPr="00AB3F08">
        <w:tab/>
      </w:r>
      <w:r w:rsidRPr="00AB3F08">
        <w:tab/>
      </w:r>
      <w:r>
        <w:tab/>
      </w:r>
      <w:r>
        <w:tab/>
      </w:r>
      <w:r w:rsidRPr="00AB3F08">
        <w:t>ECE/TRANS/WP.15/AC.2/2016/48 (Бельгия)</w:t>
      </w:r>
    </w:p>
    <w:p w:rsidR="00F77D5F" w:rsidRPr="00AB3F08" w:rsidRDefault="00F77D5F" w:rsidP="00F77D5F">
      <w:pPr>
        <w:pStyle w:val="SingleTxtGR"/>
      </w:pPr>
      <w:r w:rsidRPr="00A57513">
        <w:rPr>
          <w:i/>
          <w:iCs/>
        </w:rPr>
        <w:t>Неофициальный документ</w:t>
      </w:r>
      <w:r w:rsidRPr="00A57513">
        <w:t>:</w:t>
      </w:r>
      <w:r>
        <w:tab/>
      </w:r>
      <w:r w:rsidRPr="00A57513">
        <w:t>INF.30 (Бельгия)</w:t>
      </w:r>
    </w:p>
    <w:p w:rsidR="00F77D5F" w:rsidRPr="00AB3F08" w:rsidRDefault="00F77D5F" w:rsidP="00F77D5F">
      <w:pPr>
        <w:pStyle w:val="SingleTxtGR"/>
      </w:pPr>
      <w:r w:rsidRPr="00AB3F08">
        <w:t>8.</w:t>
      </w:r>
      <w:r w:rsidRPr="00AB3F08">
        <w:tab/>
        <w:t xml:space="preserve">Комитет по вопросам безопасности принял к сведению просьбу Бельгии разрешить компетентному органу Бельгии допустить использование на борту судна-толкача «DONAU» системы пожаротушения, генерирующей сухой аэрозоль, на тех же основаниях, что и основания, приведенные Нидерландами в отношении танкера «Chemgas 851» в ходе последней сессии. Комитет по вопросам безопасности не высказал в этой связи каких-либо принципиальных возражений, однако предложил представителю Бельгии передать техническую документацию, аналогичную той, которая содержится в </w:t>
      </w:r>
      <w:r>
        <w:t>неофициальном документе</w:t>
      </w:r>
      <w:r>
        <w:rPr>
          <w:lang w:val="en-US"/>
        </w:rPr>
        <w:t> </w:t>
      </w:r>
      <w:r w:rsidRPr="00AB3F08">
        <w:t>INF.3, представленном Нидерландами на предыдущей сессии.</w:t>
      </w:r>
      <w:r>
        <w:t xml:space="preserve"> </w:t>
      </w:r>
      <w:r w:rsidRPr="00747868">
        <w:t xml:space="preserve">Представитель Бельгии </w:t>
      </w:r>
      <w:r>
        <w:t>предоставил в распоряжение участников</w:t>
      </w:r>
      <w:r w:rsidRPr="00747868">
        <w:t xml:space="preserve"> соответствующ</w:t>
      </w:r>
      <w:r>
        <w:t>ую</w:t>
      </w:r>
      <w:r w:rsidRPr="00747868">
        <w:t xml:space="preserve"> документаци</w:t>
      </w:r>
      <w:r>
        <w:t>ю</w:t>
      </w:r>
      <w:r w:rsidRPr="00747868">
        <w:t>, запрошенн</w:t>
      </w:r>
      <w:r>
        <w:t>ую</w:t>
      </w:r>
      <w:r w:rsidRPr="00747868">
        <w:t xml:space="preserve"> в ходе сессии</w:t>
      </w:r>
      <w:r>
        <w:t>,</w:t>
      </w:r>
      <w:r w:rsidRPr="00747868">
        <w:t xml:space="preserve"> в качестве неофициального документа</w:t>
      </w:r>
      <w:r w:rsidR="00CA1824">
        <w:t> </w:t>
      </w:r>
      <w:r w:rsidRPr="00AB3F08">
        <w:t>INF.</w:t>
      </w:r>
      <w:r w:rsidRPr="00747868">
        <w:t>30.</w:t>
      </w:r>
    </w:p>
    <w:p w:rsidR="00F77D5F" w:rsidRPr="00AB3F08" w:rsidRDefault="00F77D5F" w:rsidP="00F77D5F">
      <w:pPr>
        <w:pStyle w:val="SingleTxtGR"/>
      </w:pPr>
      <w:r w:rsidRPr="00AB3F08">
        <w:t>9.</w:t>
      </w:r>
      <w:r w:rsidRPr="00AB3F08">
        <w:tab/>
        <w:t>Представителям Бельгии и Нидерландов было также предложено подготовить предложение о поправках к Правилам, прилагаемым к ВОПОГ, с тем чтобы разрешить использование системы пожаротушения данного типа. Было бы также желательным скоординировать усилия с органами, компетентными в области технических предложений, применимых к судам в целом, в частности с ЦКСР.</w:t>
      </w:r>
      <w:r>
        <w:t xml:space="preserve"> </w:t>
      </w:r>
      <w:r w:rsidRPr="00C9642C">
        <w:t xml:space="preserve">В этой связи представитель ЦКСР заявил, что Европейский комитет по разработке стандартов в области </w:t>
      </w:r>
      <w:r w:rsidRPr="00845B6B">
        <w:t xml:space="preserve">внутреннего судоходства (КЕСНИ) </w:t>
      </w:r>
      <w:r w:rsidRPr="00C9642C">
        <w:t xml:space="preserve">и </w:t>
      </w:r>
      <w:r w:rsidRPr="00845B6B">
        <w:t xml:space="preserve">Комитет по правилам освидетельствования </w:t>
      </w:r>
      <w:r w:rsidRPr="00C9642C">
        <w:t>ЦКСР обсу</w:t>
      </w:r>
      <w:r>
        <w:t>дят</w:t>
      </w:r>
      <w:r w:rsidRPr="00C9642C">
        <w:t xml:space="preserve"> систем</w:t>
      </w:r>
      <w:r>
        <w:t>у</w:t>
      </w:r>
      <w:r w:rsidRPr="00C9642C">
        <w:t xml:space="preserve"> пожаротушения </w:t>
      </w:r>
      <w:r w:rsidRPr="00E922B2">
        <w:t>FirePro</w:t>
      </w:r>
      <w:r>
        <w:t>,</w:t>
      </w:r>
      <w:r w:rsidRPr="00E922B2">
        <w:t xml:space="preserve"> </w:t>
      </w:r>
      <w:r w:rsidRPr="00C9642C">
        <w:t>описанн</w:t>
      </w:r>
      <w:r>
        <w:t>ую</w:t>
      </w:r>
      <w:r w:rsidRPr="00C9642C">
        <w:t xml:space="preserve"> в неофициальном документе INF.30</w:t>
      </w:r>
      <w:r>
        <w:t>,</w:t>
      </w:r>
      <w:r w:rsidRPr="00C9642C">
        <w:t xml:space="preserve"> на их следующих сессиях и что делегаци</w:t>
      </w:r>
      <w:r>
        <w:t>я</w:t>
      </w:r>
      <w:r w:rsidRPr="00C9642C">
        <w:t xml:space="preserve"> Нидерландов </w:t>
      </w:r>
      <w:r>
        <w:t xml:space="preserve">составит проект </w:t>
      </w:r>
      <w:r w:rsidRPr="00C9642C">
        <w:t>предложени</w:t>
      </w:r>
      <w:r>
        <w:t>я</w:t>
      </w:r>
      <w:r w:rsidRPr="00C9642C">
        <w:t>.</w:t>
      </w:r>
    </w:p>
    <w:p w:rsidR="00F77D5F" w:rsidRPr="00AB3F08" w:rsidRDefault="00F77D5F" w:rsidP="00F77D5F">
      <w:pPr>
        <w:pStyle w:val="H23GR"/>
      </w:pPr>
      <w:r w:rsidRPr="00AB3F08">
        <w:tab/>
        <w:t>2.</w:t>
      </w:r>
      <w:r w:rsidRPr="00AB3F08">
        <w:tab/>
        <w:t xml:space="preserve">Специальное разрешение на перевозку танкерами № ООН 1148 </w:t>
      </w:r>
      <w:r w:rsidR="00CA1824">
        <w:br/>
      </w:r>
      <w:r w:rsidRPr="00AB3F08">
        <w:t xml:space="preserve">СПИРТА ДИАЦЕТОНОВОГО из Бельгии в Нидерланды компанией </w:t>
      </w:r>
      <w:r w:rsidR="00950655">
        <w:br/>
      </w:r>
      <w:r w:rsidRPr="00AB3F08">
        <w:t>«Monument Chemical Bvba»</w:t>
      </w:r>
    </w:p>
    <w:p w:rsidR="00F77D5F" w:rsidRPr="00AB3F08" w:rsidRDefault="00F77D5F" w:rsidP="00F77D5F">
      <w:pPr>
        <w:pStyle w:val="SingleTxtGR"/>
      </w:pPr>
      <w:r w:rsidRPr="00AB3F08">
        <w:rPr>
          <w:i/>
        </w:rPr>
        <w:t>Неофициальный документ</w:t>
      </w:r>
      <w:r w:rsidRPr="00AB3F08">
        <w:t xml:space="preserve">: </w:t>
      </w:r>
      <w:r w:rsidRPr="00AB3F08">
        <w:tab/>
      </w:r>
      <w:r w:rsidRPr="00AB3F08">
        <w:tab/>
        <w:t>INF.19/Rev.1 (Бельгия)</w:t>
      </w:r>
    </w:p>
    <w:p w:rsidR="00F77D5F" w:rsidRPr="00AB3F08" w:rsidRDefault="00F77D5F" w:rsidP="00F77D5F">
      <w:pPr>
        <w:pStyle w:val="SingleTxtGR"/>
      </w:pPr>
      <w:r w:rsidRPr="00AB3F08">
        <w:t>10.</w:t>
      </w:r>
      <w:r w:rsidRPr="00AB3F08">
        <w:tab/>
        <w:t>Комитет по вопросам безопасности счел, что данная заявка должна быть передана на рассмотрение рабочей группе по веществам.</w:t>
      </w:r>
    </w:p>
    <w:p w:rsidR="00F77D5F" w:rsidRPr="00681B9E" w:rsidRDefault="00F77D5F" w:rsidP="00F77D5F">
      <w:pPr>
        <w:pStyle w:val="H1GR"/>
      </w:pPr>
      <w:r>
        <w:tab/>
      </w:r>
      <w:r w:rsidRPr="00681B9E">
        <w:t>C.</w:t>
      </w:r>
      <w:r w:rsidRPr="00681B9E">
        <w:tab/>
        <w:t>Интерпретация Правил, прилагаемых к ВОПОГ</w:t>
      </w:r>
    </w:p>
    <w:p w:rsidR="00F77D5F" w:rsidRPr="00681B9E" w:rsidRDefault="00F77D5F" w:rsidP="00F77D5F">
      <w:pPr>
        <w:pStyle w:val="H23GR"/>
      </w:pPr>
      <w:r w:rsidRPr="00681B9E">
        <w:tab/>
        <w:t>1.</w:t>
      </w:r>
      <w:r w:rsidRPr="00681B9E">
        <w:tab/>
        <w:t>Системы осушительных и балластных насосов по смыслу пункта 9.3.2.35.1 ВОПОГ</w:t>
      </w:r>
    </w:p>
    <w:p w:rsidR="00F77D5F" w:rsidRPr="00654A17" w:rsidRDefault="00F77D5F" w:rsidP="00F77D5F">
      <w:pPr>
        <w:pStyle w:val="SingleTxtGR"/>
        <w:rPr>
          <w:lang w:val="en-GB"/>
        </w:rPr>
      </w:pPr>
      <w:r w:rsidRPr="00681B9E">
        <w:rPr>
          <w:i/>
        </w:rPr>
        <w:t>Документ</w:t>
      </w:r>
      <w:r w:rsidRPr="00654A17">
        <w:rPr>
          <w:lang w:val="en-GB"/>
        </w:rPr>
        <w:t xml:space="preserve">: </w:t>
      </w:r>
      <w:r w:rsidRPr="00654A17">
        <w:rPr>
          <w:lang w:val="en-GB"/>
        </w:rPr>
        <w:tab/>
      </w:r>
      <w:r w:rsidRPr="00654A17">
        <w:rPr>
          <w:lang w:val="en-GB"/>
        </w:rPr>
        <w:tab/>
      </w:r>
      <w:r w:rsidR="00F46FDF" w:rsidRPr="00654A17">
        <w:rPr>
          <w:lang w:val="en-GB"/>
        </w:rPr>
        <w:tab/>
      </w:r>
      <w:r w:rsidR="00F46FDF" w:rsidRPr="00654A17">
        <w:rPr>
          <w:lang w:val="en-GB"/>
        </w:rPr>
        <w:tab/>
      </w:r>
      <w:r w:rsidRPr="00654A17">
        <w:rPr>
          <w:lang w:val="en-GB"/>
        </w:rPr>
        <w:t>ECE/TRANS/WP.15/AC.2/2016/32 (</w:t>
      </w:r>
      <w:r w:rsidRPr="00681B9E">
        <w:t>ЦКСР</w:t>
      </w:r>
      <w:r w:rsidRPr="00654A17">
        <w:rPr>
          <w:lang w:val="en-GB"/>
        </w:rPr>
        <w:t>)</w:t>
      </w:r>
    </w:p>
    <w:p w:rsidR="00F77D5F" w:rsidRPr="00681B9E" w:rsidRDefault="00F77D5F" w:rsidP="00F77D5F">
      <w:pPr>
        <w:pStyle w:val="SingleTxtGR"/>
      </w:pPr>
      <w:r w:rsidRPr="00681B9E">
        <w:t>11.</w:t>
      </w:r>
      <w:r w:rsidRPr="00681B9E">
        <w:tab/>
        <w:t xml:space="preserve">Комитет по вопросам безопасности счел, что в случае применения второго абзаца пункта 9.3.2.35.1 эжекторы должны находиться в пределах грузового пространства. Были приняты поправки к пунктам 9.3.2.35.1 и 9.3.3.35.1, с тем чтобы уточнить эту интерпретацию (см. приложение </w:t>
      </w:r>
      <w:r>
        <w:rPr>
          <w:lang w:val="en-US"/>
        </w:rPr>
        <w:t>III</w:t>
      </w:r>
      <w:r w:rsidRPr="00681B9E">
        <w:t>).</w:t>
      </w:r>
    </w:p>
    <w:p w:rsidR="00F77D5F" w:rsidRPr="00681B9E" w:rsidRDefault="00F77D5F" w:rsidP="00F77D5F">
      <w:pPr>
        <w:pStyle w:val="H23GR"/>
      </w:pPr>
      <w:r w:rsidRPr="00681B9E">
        <w:tab/>
        <w:t>2.</w:t>
      </w:r>
      <w:r w:rsidRPr="00681B9E">
        <w:tab/>
        <w:t>Системы пожаротушения по смыслу подраздела 7.2.4.40 ВОПОГ</w:t>
      </w:r>
    </w:p>
    <w:p w:rsidR="00F77D5F" w:rsidRPr="00654A17" w:rsidRDefault="00F77D5F" w:rsidP="00F77D5F">
      <w:pPr>
        <w:pStyle w:val="SingleTxtGR"/>
        <w:rPr>
          <w:lang w:val="en-GB"/>
        </w:rPr>
      </w:pPr>
      <w:r w:rsidRPr="00681B9E">
        <w:rPr>
          <w:i/>
        </w:rPr>
        <w:t>Документ</w:t>
      </w:r>
      <w:r w:rsidRPr="00654A17">
        <w:rPr>
          <w:lang w:val="en-GB"/>
        </w:rPr>
        <w:t xml:space="preserve">: </w:t>
      </w:r>
      <w:r w:rsidRPr="00654A17">
        <w:rPr>
          <w:lang w:val="en-GB"/>
        </w:rPr>
        <w:tab/>
      </w:r>
      <w:r w:rsidRPr="00654A17">
        <w:rPr>
          <w:lang w:val="en-GB"/>
        </w:rPr>
        <w:tab/>
      </w:r>
      <w:r w:rsidR="00F46FDF" w:rsidRPr="00654A17">
        <w:rPr>
          <w:lang w:val="en-GB"/>
        </w:rPr>
        <w:tab/>
      </w:r>
      <w:r w:rsidR="00F46FDF" w:rsidRPr="00654A17">
        <w:rPr>
          <w:lang w:val="en-GB"/>
        </w:rPr>
        <w:tab/>
      </w:r>
      <w:r w:rsidRPr="00654A17">
        <w:rPr>
          <w:lang w:val="en-GB"/>
        </w:rPr>
        <w:t>ECE/TRANS/WP.15/AC.2/2016/33 (</w:t>
      </w:r>
      <w:r w:rsidRPr="00681B9E">
        <w:t>ЦКСР</w:t>
      </w:r>
      <w:r w:rsidRPr="00654A17">
        <w:rPr>
          <w:lang w:val="en-GB"/>
        </w:rPr>
        <w:t>)</w:t>
      </w:r>
    </w:p>
    <w:p w:rsidR="00F77D5F" w:rsidRPr="00681B9E" w:rsidRDefault="00F77D5F" w:rsidP="00F77D5F">
      <w:pPr>
        <w:pStyle w:val="SingleTxtGR"/>
      </w:pPr>
      <w:r w:rsidRPr="00681B9E">
        <w:t>12.</w:t>
      </w:r>
      <w:r w:rsidRPr="00681B9E">
        <w:tab/>
        <w:t>Комитет по вопросам безопасности счел, что система пожаротушения находится в оперативной готовности при соблюдении следующих условий:</w:t>
      </w:r>
    </w:p>
    <w:p w:rsidR="00F77D5F" w:rsidRPr="00681B9E" w:rsidRDefault="00F77D5F" w:rsidP="00F77D5F">
      <w:pPr>
        <w:pStyle w:val="SingleTxtGR"/>
      </w:pPr>
      <w:r w:rsidRPr="00253398">
        <w:tab/>
      </w:r>
      <w:r w:rsidRPr="00681B9E">
        <w:t>a)</w:t>
      </w:r>
      <w:r w:rsidRPr="00681B9E">
        <w:tab/>
        <w:t>рукава в сборе подсоединены;</w:t>
      </w:r>
    </w:p>
    <w:p w:rsidR="00F77D5F" w:rsidRPr="00681B9E" w:rsidRDefault="00F77D5F" w:rsidP="00F77D5F">
      <w:pPr>
        <w:pStyle w:val="SingleTxtGR"/>
      </w:pPr>
      <w:r w:rsidRPr="00253398">
        <w:tab/>
      </w:r>
      <w:r w:rsidRPr="00681B9E">
        <w:t>b)</w:t>
      </w:r>
      <w:r w:rsidRPr="00681B9E">
        <w:tab/>
        <w:t>рукава в сборе проведены на борту судна;</w:t>
      </w:r>
    </w:p>
    <w:p w:rsidR="00F77D5F" w:rsidRPr="00681B9E" w:rsidRDefault="00F77D5F" w:rsidP="00F77D5F">
      <w:pPr>
        <w:pStyle w:val="SingleTxtGR"/>
      </w:pPr>
      <w:r w:rsidRPr="00253398">
        <w:tab/>
      </w:r>
      <w:r w:rsidRPr="00681B9E">
        <w:t>c)</w:t>
      </w:r>
      <w:r w:rsidRPr="00681B9E">
        <w:tab/>
        <w:t>водометно-распыляющие стволы подсоединены к рукавам в сборе;</w:t>
      </w:r>
    </w:p>
    <w:p w:rsidR="00F77D5F" w:rsidRPr="00681B9E" w:rsidRDefault="00F77D5F" w:rsidP="00F77D5F">
      <w:pPr>
        <w:pStyle w:val="SingleTxtGR"/>
      </w:pPr>
      <w:r w:rsidRPr="00253398">
        <w:tab/>
      </w:r>
      <w:r w:rsidRPr="00681B9E">
        <w:t>d)</w:t>
      </w:r>
      <w:r w:rsidRPr="00681B9E">
        <w:tab/>
        <w:t xml:space="preserve">вентили открыты или закрыты по усмотрению судоводителя или </w:t>
      </w:r>
      <w:r>
        <w:t xml:space="preserve">находящегося </w:t>
      </w:r>
      <w:r w:rsidRPr="006A1ABF">
        <w:t>на борту судна</w:t>
      </w:r>
      <w:r w:rsidRPr="004B6208">
        <w:t xml:space="preserve"> </w:t>
      </w:r>
      <w:r w:rsidRPr="006A1ABF">
        <w:t>эксперт</w:t>
      </w:r>
      <w:r>
        <w:t>а</w:t>
      </w:r>
      <w:r w:rsidRPr="006A1ABF">
        <w:t xml:space="preserve"> </w:t>
      </w:r>
      <w:r w:rsidRPr="00681B9E">
        <w:t>с учетом погодных условий или условий безопасности; и</w:t>
      </w:r>
    </w:p>
    <w:p w:rsidR="00F77D5F" w:rsidRPr="00681B9E" w:rsidRDefault="00F77D5F" w:rsidP="00F77D5F">
      <w:pPr>
        <w:pStyle w:val="SingleTxtGR"/>
      </w:pPr>
      <w:r w:rsidRPr="00253398">
        <w:tab/>
      </w:r>
      <w:r w:rsidRPr="00681B9E">
        <w:t>e)</w:t>
      </w:r>
      <w:r w:rsidRPr="00681B9E">
        <w:tab/>
        <w:t>элементы управления системы могут быть приведены в действие в любой момент.</w:t>
      </w:r>
    </w:p>
    <w:p w:rsidR="00F77D5F" w:rsidRPr="00681B9E" w:rsidRDefault="00F77D5F" w:rsidP="00F77D5F">
      <w:pPr>
        <w:pStyle w:val="H23GR"/>
      </w:pPr>
      <w:r w:rsidRPr="00681B9E">
        <w:tab/>
        <w:t>3.</w:t>
      </w:r>
      <w:r w:rsidRPr="00681B9E">
        <w:tab/>
        <w:t>Требования, касающиеся перевозки емкостей для остаточных продуктов</w:t>
      </w:r>
    </w:p>
    <w:p w:rsidR="00F77D5F" w:rsidRPr="00681B9E" w:rsidRDefault="00F77D5F" w:rsidP="00F77D5F">
      <w:pPr>
        <w:pStyle w:val="SingleTxtGR"/>
      </w:pPr>
      <w:r w:rsidRPr="00681B9E">
        <w:rPr>
          <w:i/>
        </w:rPr>
        <w:t>Документ</w:t>
      </w:r>
      <w:r w:rsidRPr="00681B9E">
        <w:t xml:space="preserve">: </w:t>
      </w:r>
      <w:r w:rsidRPr="00681B9E">
        <w:tab/>
      </w:r>
      <w:r w:rsidRPr="00681B9E">
        <w:tab/>
      </w:r>
      <w:r w:rsidR="00F46FDF">
        <w:tab/>
      </w:r>
      <w:r w:rsidR="00F46FDF">
        <w:tab/>
      </w:r>
      <w:r w:rsidRPr="00681B9E">
        <w:t>ECE/TRANS/WP.15/AC.2/2016/34 (Германия)</w:t>
      </w:r>
    </w:p>
    <w:p w:rsidR="00F77D5F" w:rsidRPr="00681B9E" w:rsidRDefault="00F77D5F" w:rsidP="00F77D5F">
      <w:pPr>
        <w:pStyle w:val="SingleTxtGR"/>
      </w:pPr>
      <w:r w:rsidRPr="00681B9E">
        <w:t>13.</w:t>
      </w:r>
      <w:r w:rsidRPr="00681B9E">
        <w:tab/>
        <w:t>Комитет по вопросам безопасности счел, что вопрос о том, какие требования предъявляются к емкостям для остаточных продуктов и сосудам для отстоев, является весьма сложным и требует дальнейшего рассмотрения и тщательного изучения на следующей сессии.</w:t>
      </w:r>
    </w:p>
    <w:p w:rsidR="00F77D5F" w:rsidRPr="00681B9E" w:rsidRDefault="00F77D5F" w:rsidP="00F77D5F">
      <w:pPr>
        <w:pStyle w:val="H23GR"/>
      </w:pPr>
      <w:r w:rsidRPr="00681B9E">
        <w:tab/>
        <w:t>4.</w:t>
      </w:r>
      <w:r w:rsidRPr="00681B9E">
        <w:tab/>
        <w:t>Включение указания «17» в колонку 20 таблицы C для № ООН 3256 и 3257</w:t>
      </w:r>
    </w:p>
    <w:p w:rsidR="00F77D5F" w:rsidRPr="00681B9E" w:rsidRDefault="00F77D5F" w:rsidP="00950655">
      <w:pPr>
        <w:pStyle w:val="SingleTxtGR"/>
        <w:keepNext/>
        <w:keepLines/>
      </w:pPr>
      <w:r w:rsidRPr="00681B9E">
        <w:rPr>
          <w:i/>
        </w:rPr>
        <w:t>Документ</w:t>
      </w:r>
      <w:r w:rsidRPr="00681B9E">
        <w:t xml:space="preserve">: </w:t>
      </w:r>
      <w:r w:rsidRPr="00681B9E">
        <w:tab/>
      </w:r>
      <w:r w:rsidRPr="00681B9E">
        <w:tab/>
      </w:r>
      <w:r w:rsidR="00F46FDF">
        <w:tab/>
      </w:r>
      <w:r w:rsidR="00F46FDF">
        <w:tab/>
      </w:r>
      <w:r w:rsidRPr="00681B9E">
        <w:t>ECE/TRANS/WP.15/AC.2/2016/35 (Германия)</w:t>
      </w:r>
    </w:p>
    <w:p w:rsidR="00F77D5F" w:rsidRPr="00681B9E" w:rsidRDefault="00F77D5F" w:rsidP="00950655">
      <w:pPr>
        <w:pStyle w:val="SingleTxtGR"/>
        <w:keepNext/>
        <w:keepLines/>
      </w:pPr>
      <w:r w:rsidRPr="00681B9E">
        <w:t>14.</w:t>
      </w:r>
      <w:r w:rsidRPr="00681B9E">
        <w:tab/>
        <w:t>Комитет по вопросам безопасности просил неофициальную рабочую группу по веществам рассмотреть поднятый вопрос.</w:t>
      </w:r>
    </w:p>
    <w:p w:rsidR="00F77D5F" w:rsidRPr="00681B9E" w:rsidRDefault="00F77D5F" w:rsidP="00F77D5F">
      <w:pPr>
        <w:pStyle w:val="H23GR"/>
      </w:pPr>
      <w:r w:rsidRPr="00681B9E">
        <w:tab/>
        <w:t>5.</w:t>
      </w:r>
      <w:r w:rsidRPr="00681B9E">
        <w:tab/>
        <w:t>Пояснения в подразделе 3.2.3.1, касающиеся свойств КМР для веществ, указанных в таблице С</w:t>
      </w:r>
    </w:p>
    <w:p w:rsidR="00F77D5F" w:rsidRPr="00681B9E" w:rsidRDefault="00F77D5F" w:rsidP="00F77D5F">
      <w:pPr>
        <w:pStyle w:val="SingleTxtGR"/>
      </w:pPr>
      <w:r w:rsidRPr="00681B9E">
        <w:rPr>
          <w:i/>
        </w:rPr>
        <w:t>Документ</w:t>
      </w:r>
      <w:r w:rsidRPr="00681B9E">
        <w:t xml:space="preserve">: </w:t>
      </w:r>
      <w:r w:rsidRPr="00681B9E">
        <w:tab/>
      </w:r>
      <w:r w:rsidRPr="00681B9E">
        <w:tab/>
      </w:r>
      <w:r w:rsidR="00F46FDF">
        <w:tab/>
      </w:r>
      <w:r w:rsidR="00F46FDF">
        <w:tab/>
      </w:r>
      <w:r w:rsidRPr="00681B9E">
        <w:t>ECE/TRANS/WP.15/AC.2/2016/36 (Германия)</w:t>
      </w:r>
    </w:p>
    <w:p w:rsidR="00F77D5F" w:rsidRPr="00681B9E" w:rsidRDefault="00F77D5F" w:rsidP="00F77D5F">
      <w:pPr>
        <w:pStyle w:val="SingleTxtGR"/>
      </w:pPr>
      <w:r w:rsidRPr="00681B9E">
        <w:t>15.</w:t>
      </w:r>
      <w:r w:rsidRPr="00681B9E">
        <w:tab/>
        <w:t>Комитет по вопросам безопасности счел, что к свойствам КМР, которые должны приниматься во внимание при перевозке в танкерах, относятся только свойства классов 1А и 1В СГС. Вещества и смеси со свойствами КМР, касающимися только класса 2, не затрагиваются. Предложение с целью уточнить текст в этом отношении должно быть представлено на следующей сессии.</w:t>
      </w:r>
    </w:p>
    <w:p w:rsidR="00F77D5F" w:rsidRPr="00681B9E" w:rsidRDefault="00F77D5F" w:rsidP="00F77D5F">
      <w:pPr>
        <w:pStyle w:val="SingleTxtGR"/>
      </w:pPr>
      <w:r w:rsidRPr="00681B9E">
        <w:t>16.</w:t>
      </w:r>
      <w:r w:rsidRPr="00681B9E">
        <w:tab/>
        <w:t>Кроме того, Комитет по вопросам безопасности просил неофициальную рабочую группу по веществам исследовать причины того, почему закрытые грузовые танки необходимы для № ООН 2935 и 2947, а также рассмотреть вопрос о том, не было бы желательно предусмотреть закрытые грузовые танки для № ООН 3256.</w:t>
      </w:r>
    </w:p>
    <w:p w:rsidR="00F77D5F" w:rsidRPr="00681B9E" w:rsidRDefault="00F77D5F" w:rsidP="00F77D5F">
      <w:pPr>
        <w:pStyle w:val="H23GR"/>
      </w:pPr>
      <w:r w:rsidRPr="00681B9E">
        <w:tab/>
        <w:t>6.</w:t>
      </w:r>
      <w:r w:rsidRPr="00681B9E">
        <w:tab/>
        <w:t>Определение термина «баржа»</w:t>
      </w:r>
    </w:p>
    <w:p w:rsidR="00F77D5F" w:rsidRPr="00681B9E" w:rsidRDefault="00F77D5F" w:rsidP="00F46FDF">
      <w:pPr>
        <w:pStyle w:val="SingleTxtGR"/>
        <w:ind w:left="3969" w:hanging="2835"/>
        <w:jc w:val="left"/>
      </w:pPr>
      <w:r w:rsidRPr="00681B9E">
        <w:rPr>
          <w:i/>
        </w:rPr>
        <w:t>Документ</w:t>
      </w:r>
      <w:r w:rsidRPr="00681B9E">
        <w:t xml:space="preserve">: </w:t>
      </w:r>
      <w:r w:rsidRPr="00681B9E">
        <w:tab/>
      </w:r>
      <w:r w:rsidRPr="00681B9E">
        <w:tab/>
      </w:r>
      <w:r>
        <w:tab/>
      </w:r>
      <w:r w:rsidR="00F46FDF">
        <w:tab/>
      </w:r>
      <w:r w:rsidRPr="00681B9E">
        <w:t xml:space="preserve">ECE/TRANS/WP.15/AC.2/2016/47 </w:t>
      </w:r>
      <w:r w:rsidR="00F46FDF">
        <w:br/>
      </w:r>
      <w:r w:rsidRPr="00681B9E">
        <w:t xml:space="preserve">(Рекомендованные классификационные </w:t>
      </w:r>
      <w:r w:rsidR="00F46FDF">
        <w:br/>
      </w:r>
      <w:r w:rsidRPr="00681B9E">
        <w:t>общества ВОПОГ)</w:t>
      </w:r>
    </w:p>
    <w:p w:rsidR="00F77D5F" w:rsidRPr="00681B9E" w:rsidRDefault="00F77D5F" w:rsidP="00F77D5F">
      <w:pPr>
        <w:pStyle w:val="SingleTxtGR"/>
      </w:pPr>
      <w:r w:rsidRPr="00681B9E">
        <w:rPr>
          <w:i/>
        </w:rPr>
        <w:t>Неофициальный документ</w:t>
      </w:r>
      <w:r w:rsidRPr="00681B9E">
        <w:t xml:space="preserve">: </w:t>
      </w:r>
      <w:r w:rsidRPr="00681B9E">
        <w:tab/>
      </w:r>
      <w:r w:rsidRPr="00681B9E">
        <w:tab/>
        <w:t>INF.6 (ЦКСР)</w:t>
      </w:r>
    </w:p>
    <w:p w:rsidR="00F77D5F" w:rsidRPr="00681B9E" w:rsidRDefault="00F77D5F" w:rsidP="00F77D5F">
      <w:pPr>
        <w:pStyle w:val="SingleTxtGR"/>
      </w:pPr>
      <w:r w:rsidRPr="00681B9E">
        <w:t>17.</w:t>
      </w:r>
      <w:r w:rsidRPr="00681B9E">
        <w:tab/>
        <w:t>Некоторые делегации высказали мнение, что предложение Рекомендованных классификационных обществ ВОПОГ отвечает потребностям, о которых сообщалось в ходе последней сессии. Комитет по вопросам безопасности отметил, что стандарт ЕС-ТТСВП содержит более подробные определения для различных типов барж и что может быть желательным согласовать соответству</w:t>
      </w:r>
      <w:r>
        <w:t>ющую терминологию. Вместе с тем</w:t>
      </w:r>
      <w:r w:rsidRPr="00681B9E">
        <w:t xml:space="preserve"> введение новых определений будет иметь смысл только в том случае, если в Правилах, прилагаемых к ВОПОГ, будут предусмотрены конкретные требования для каждого типа барж. Представителю ЦКСР было предложено подготовить официальное предложение для следующей сессии с учетом прошедшего обсуждения.</w:t>
      </w:r>
    </w:p>
    <w:p w:rsidR="00F77D5F" w:rsidRPr="00681B9E" w:rsidRDefault="00F77D5F" w:rsidP="00F77D5F">
      <w:pPr>
        <w:pStyle w:val="H23GR"/>
      </w:pPr>
      <w:r w:rsidRPr="00681B9E">
        <w:tab/>
        <w:t>7.</w:t>
      </w:r>
      <w:r w:rsidRPr="00681B9E">
        <w:tab/>
        <w:t>Регулировка давления срабатывания быстродействующих выпускных клапанов</w:t>
      </w:r>
    </w:p>
    <w:p w:rsidR="00F77D5F" w:rsidRPr="00681B9E" w:rsidRDefault="00F77D5F" w:rsidP="00F77D5F">
      <w:pPr>
        <w:pStyle w:val="SingleTxtGR"/>
      </w:pPr>
      <w:r w:rsidRPr="00681B9E">
        <w:rPr>
          <w:i/>
        </w:rPr>
        <w:t>Неофициальный документ</w:t>
      </w:r>
      <w:r w:rsidRPr="00681B9E">
        <w:t xml:space="preserve">: </w:t>
      </w:r>
      <w:r w:rsidRPr="00681B9E">
        <w:tab/>
      </w:r>
      <w:r w:rsidRPr="00681B9E">
        <w:tab/>
        <w:t>INF.4 (ЦКСР)</w:t>
      </w:r>
    </w:p>
    <w:p w:rsidR="00F77D5F" w:rsidRPr="00681B9E" w:rsidRDefault="00F77D5F" w:rsidP="00F77D5F">
      <w:pPr>
        <w:pStyle w:val="SingleTxtGR"/>
      </w:pPr>
      <w:r w:rsidRPr="00681B9E">
        <w:t>18.</w:t>
      </w:r>
      <w:r w:rsidRPr="00681B9E">
        <w:tab/>
      </w:r>
      <w:r>
        <w:t xml:space="preserve">Комитет по вопросам безопасности </w:t>
      </w:r>
      <w:r w:rsidRPr="00681B9E">
        <w:t>счел, что нет оснований для внесения изменений в текст Правил, прилагаемых к ВОПОГ, и что ЦКСР должна внести исправления в дополнение к приложению 1 резолюции 2009-II-20 Комиссии.</w:t>
      </w:r>
    </w:p>
    <w:p w:rsidR="00F77D5F" w:rsidRPr="00681B9E" w:rsidRDefault="00F77D5F" w:rsidP="00F77D5F">
      <w:pPr>
        <w:pStyle w:val="H23GR"/>
      </w:pPr>
      <w:r w:rsidRPr="00681B9E">
        <w:tab/>
        <w:t>8.</w:t>
      </w:r>
      <w:r w:rsidRPr="00681B9E">
        <w:tab/>
        <w:t>Перечень обязательных проверок ВОПОГ (раздел 8.6.3)</w:t>
      </w:r>
    </w:p>
    <w:p w:rsidR="00F77D5F" w:rsidRPr="00681B9E" w:rsidRDefault="00F77D5F" w:rsidP="00F77D5F">
      <w:pPr>
        <w:pStyle w:val="SingleTxtGR"/>
      </w:pPr>
      <w:r w:rsidRPr="00681B9E">
        <w:rPr>
          <w:i/>
        </w:rPr>
        <w:t>Неофициальный документ</w:t>
      </w:r>
      <w:r w:rsidRPr="00681B9E">
        <w:t xml:space="preserve">: </w:t>
      </w:r>
      <w:r w:rsidRPr="00681B9E">
        <w:tab/>
      </w:r>
      <w:r w:rsidRPr="00681B9E">
        <w:tab/>
        <w:t>INF.7 (Германия)</w:t>
      </w:r>
    </w:p>
    <w:p w:rsidR="00F77D5F" w:rsidRPr="00681B9E" w:rsidRDefault="00F77D5F" w:rsidP="00F77D5F">
      <w:pPr>
        <w:pStyle w:val="SingleTxtGR"/>
      </w:pPr>
      <w:r w:rsidRPr="00681B9E">
        <w:t>19.</w:t>
      </w:r>
      <w:r w:rsidRPr="00681B9E">
        <w:tab/>
        <w:t>Комитет по вопросам безопасности счел, что необходимо внести исправления в первый абзац пункта 14 перечня обязательных проверок в разделе 8.6.3 и исключить второй абзац, поскольку эксплуатация приборов для приготовления пищи или охлаждения, в которых используется жидкое, г</w:t>
      </w:r>
      <w:r w:rsidR="007B2CF4">
        <w:t>азообразное или твердое топливо</w:t>
      </w:r>
      <w:r w:rsidRPr="00681B9E">
        <w:t xml:space="preserve"> и работающих на сжиженном газе приборов для домашнего пользования больше</w:t>
      </w:r>
      <w:r w:rsidR="007B2CF4">
        <w:t>,</w:t>
      </w:r>
      <w:r w:rsidRPr="00681B9E">
        <w:t xml:space="preserve"> не допускается, а переходный период, в течение которого разрешалось продолжать их эксплуатацию, истек 31 декабря 2015 года. С учетом того, что это исправление повлечет замену используемых в настоящее время перечней обязательных проверок, Комитет по вопросам безопасности согласился, по просьбе ЕСХП, предусмотреть для него переходную меру до 30 июня 2017 года и, таким образом, включить его в список поправок для вступления в силу с 1 января 2017 года в качестве ранее пропущенного исправления.</w:t>
      </w:r>
    </w:p>
    <w:p w:rsidR="00F77D5F" w:rsidRPr="00681B9E" w:rsidRDefault="00F77D5F" w:rsidP="00F77D5F">
      <w:pPr>
        <w:pStyle w:val="H1GR"/>
      </w:pPr>
      <w:r w:rsidRPr="00681B9E">
        <w:tab/>
        <w:t>D.</w:t>
      </w:r>
      <w:r w:rsidRPr="00681B9E">
        <w:tab/>
        <w:t>Подготовка экспертов</w:t>
      </w:r>
    </w:p>
    <w:p w:rsidR="00F77D5F" w:rsidRPr="00681B9E" w:rsidRDefault="00F77D5F" w:rsidP="00F77D5F">
      <w:pPr>
        <w:pStyle w:val="SingleTxtGR"/>
      </w:pPr>
      <w:r w:rsidRPr="00681B9E">
        <w:rPr>
          <w:i/>
        </w:rPr>
        <w:t>Неофициальный документ</w:t>
      </w:r>
      <w:r w:rsidRPr="00681B9E">
        <w:t xml:space="preserve">: </w:t>
      </w:r>
      <w:r w:rsidRPr="00681B9E">
        <w:tab/>
      </w:r>
      <w:r w:rsidRPr="00681B9E">
        <w:tab/>
        <w:t>INF.5 (ЦКСР)</w:t>
      </w:r>
    </w:p>
    <w:p w:rsidR="00F77D5F" w:rsidRPr="00681B9E" w:rsidRDefault="00F77D5F" w:rsidP="00F77D5F">
      <w:pPr>
        <w:pStyle w:val="SingleTxtGR"/>
      </w:pPr>
      <w:r w:rsidRPr="00681B9E">
        <w:t>20.</w:t>
      </w:r>
      <w:r w:rsidRPr="00681B9E">
        <w:tab/>
        <w:t>Комитет по вопросам безопасности с удовлетворением принял к сведению доклад неофициальной рабочей группы и предложил различным соответствующим субъектам использовать его по мере необходимости.</w:t>
      </w:r>
    </w:p>
    <w:p w:rsidR="00F77D5F" w:rsidRPr="00681B9E" w:rsidRDefault="00F77D5F" w:rsidP="00F77D5F">
      <w:pPr>
        <w:pStyle w:val="H1GR"/>
      </w:pPr>
      <w:r w:rsidRPr="00681B9E">
        <w:tab/>
        <w:t>E.</w:t>
      </w:r>
      <w:r w:rsidRPr="00681B9E">
        <w:tab/>
        <w:t>Вопросы, касающиеся классификационных обществ</w:t>
      </w:r>
    </w:p>
    <w:p w:rsidR="00F77D5F" w:rsidRPr="00681B9E" w:rsidRDefault="00F77D5F" w:rsidP="00F77D5F">
      <w:pPr>
        <w:pStyle w:val="H23GR"/>
      </w:pPr>
      <w:r w:rsidRPr="00681B9E">
        <w:tab/>
        <w:t>1.</w:t>
      </w:r>
      <w:r w:rsidRPr="00681B9E">
        <w:tab/>
        <w:t>Соответствие стандарту ISO 17020:2012</w:t>
      </w:r>
    </w:p>
    <w:p w:rsidR="00F77D5F" w:rsidRPr="00681B9E" w:rsidRDefault="00F77D5F" w:rsidP="00F77D5F">
      <w:pPr>
        <w:pStyle w:val="SingleTxtGR"/>
      </w:pPr>
      <w:r w:rsidRPr="00681B9E">
        <w:rPr>
          <w:i/>
        </w:rPr>
        <w:t>Неофициальный документ</w:t>
      </w:r>
      <w:r w:rsidRPr="00681B9E">
        <w:t xml:space="preserve">: </w:t>
      </w:r>
      <w:r w:rsidRPr="00681B9E">
        <w:tab/>
      </w:r>
      <w:r w:rsidRPr="00681B9E">
        <w:tab/>
        <w:t>INF.2 (</w:t>
      </w:r>
      <w:r>
        <w:t>Бюро «</w:t>
      </w:r>
      <w:r w:rsidRPr="00681B9E">
        <w:t>Веритас</w:t>
      </w:r>
      <w:r>
        <w:t>»</w:t>
      </w:r>
      <w:r w:rsidRPr="00681B9E">
        <w:t>)</w:t>
      </w:r>
    </w:p>
    <w:p w:rsidR="00F77D5F" w:rsidRPr="00681B9E" w:rsidRDefault="00F77D5F" w:rsidP="00F77D5F">
      <w:pPr>
        <w:pStyle w:val="SingleTxtGR"/>
      </w:pPr>
      <w:r w:rsidRPr="00681B9E">
        <w:t>21.</w:t>
      </w:r>
      <w:r w:rsidRPr="00681B9E">
        <w:tab/>
        <w:t>Комитет по воп</w:t>
      </w:r>
      <w:r w:rsidR="007B2CF4">
        <w:t>росам безопасности отметил, что</w:t>
      </w:r>
      <w:r w:rsidRPr="00681B9E">
        <w:t xml:space="preserve"> с учетом представлен</w:t>
      </w:r>
      <w:r w:rsidR="007B2CF4">
        <w:t>ной информации</w:t>
      </w:r>
      <w:r>
        <w:t xml:space="preserve"> органом Бюро «</w:t>
      </w:r>
      <w:r w:rsidRPr="00681B9E">
        <w:t>Веритас</w:t>
      </w:r>
      <w:r>
        <w:t>»</w:t>
      </w:r>
      <w:r w:rsidRPr="00681B9E">
        <w:t>, уполномоченным осуществлять функции, предусмотренные для классификационных обществ в ВОПОГ, является дирекция по внутренним водным путям (ДВП) дочерней компании по морскому судоходс</w:t>
      </w:r>
      <w:r>
        <w:t>тву Бельгии и Люксембурга Бюро «</w:t>
      </w:r>
      <w:r w:rsidRPr="00681B9E">
        <w:t>Веритас</w:t>
      </w:r>
      <w:r>
        <w:t>»</w:t>
      </w:r>
      <w:r w:rsidRPr="00681B9E">
        <w:t>, базирующейся в Антверпене (Бельгия).</w:t>
      </w:r>
    </w:p>
    <w:p w:rsidR="00F77D5F" w:rsidRPr="00681B9E" w:rsidRDefault="00F77D5F" w:rsidP="00F77D5F">
      <w:pPr>
        <w:pStyle w:val="H23GR"/>
      </w:pPr>
      <w:r w:rsidRPr="00681B9E">
        <w:tab/>
        <w:t>2.</w:t>
      </w:r>
      <w:r w:rsidRPr="00681B9E">
        <w:tab/>
        <w:t>Соответствие стандарту ISO 17020:2012</w:t>
      </w:r>
    </w:p>
    <w:p w:rsidR="00F77D5F" w:rsidRPr="00681B9E" w:rsidRDefault="00F77D5F" w:rsidP="00F77D5F">
      <w:pPr>
        <w:pStyle w:val="SingleTxtGR"/>
      </w:pPr>
      <w:r w:rsidRPr="00681B9E">
        <w:rPr>
          <w:i/>
        </w:rPr>
        <w:t>Неофициальный документ</w:t>
      </w:r>
      <w:r w:rsidRPr="00681B9E">
        <w:t xml:space="preserve">: </w:t>
      </w:r>
      <w:r w:rsidRPr="00681B9E">
        <w:tab/>
      </w:r>
      <w:r w:rsidRPr="00681B9E">
        <w:tab/>
        <w:t>INF.3 (Регистр судоходства Ллойда)</w:t>
      </w:r>
    </w:p>
    <w:p w:rsidR="00F77D5F" w:rsidRPr="00681B9E" w:rsidRDefault="00F77D5F" w:rsidP="00F77D5F">
      <w:pPr>
        <w:pStyle w:val="SingleTxtGR"/>
      </w:pPr>
      <w:r w:rsidRPr="00681B9E">
        <w:t>22.</w:t>
      </w:r>
      <w:r w:rsidRPr="00681B9E">
        <w:tab/>
        <w:t>Комитет по вопросам безопасности отметил, что органом Регистра судоходства Ллойда, уполномоченным осуществлять функции, предусмотренные для классификационных обществ в ВОПОГ, является его центральное бюро в Лондоне.</w:t>
      </w:r>
    </w:p>
    <w:p w:rsidR="00F77D5F" w:rsidRPr="00681B9E" w:rsidRDefault="00F77D5F" w:rsidP="00F77D5F">
      <w:pPr>
        <w:pStyle w:val="H23GR"/>
      </w:pPr>
      <w:r w:rsidRPr="00681B9E">
        <w:tab/>
        <w:t>3.</w:t>
      </w:r>
      <w:r w:rsidRPr="00681B9E">
        <w:tab/>
        <w:t>Доклад об одиннадцатом совещании Рекомендованных классификационных обществ ВОПОГ</w:t>
      </w:r>
    </w:p>
    <w:p w:rsidR="00F77D5F" w:rsidRPr="00681B9E" w:rsidRDefault="00F77D5F" w:rsidP="00950655">
      <w:pPr>
        <w:pStyle w:val="SingleTxtGR"/>
        <w:ind w:left="3969" w:hanging="2835"/>
      </w:pPr>
      <w:r w:rsidRPr="00681B9E">
        <w:rPr>
          <w:i/>
        </w:rPr>
        <w:t>Неофициальный документ</w:t>
      </w:r>
      <w:r w:rsidRPr="00681B9E">
        <w:t xml:space="preserve">: </w:t>
      </w:r>
      <w:r w:rsidRPr="00681B9E">
        <w:tab/>
      </w:r>
      <w:r w:rsidRPr="00681B9E">
        <w:tab/>
        <w:t>INF.26 (Рекомендованные классификационные общества ВОПОГ)</w:t>
      </w:r>
    </w:p>
    <w:p w:rsidR="00F77D5F" w:rsidRPr="00681B9E" w:rsidRDefault="00F77D5F" w:rsidP="00F77D5F">
      <w:pPr>
        <w:pStyle w:val="SingleTxtGR"/>
      </w:pPr>
      <w:r w:rsidRPr="00681B9E">
        <w:t>23.</w:t>
      </w:r>
      <w:r w:rsidRPr="00681B9E">
        <w:tab/>
        <w:t>Комитет по вопросам безопасности с интересом принял доклад к сведению. Документы для дальнейшей деятельности были представлены отдельно в рамках соответствующих пунктов повестки дня.</w:t>
      </w:r>
    </w:p>
    <w:p w:rsidR="00F77D5F" w:rsidRPr="00681B9E" w:rsidRDefault="00F77D5F" w:rsidP="00F77D5F">
      <w:pPr>
        <w:pStyle w:val="H23GR"/>
      </w:pPr>
      <w:r w:rsidRPr="00681B9E">
        <w:tab/>
        <w:t>4.</w:t>
      </w:r>
      <w:r w:rsidRPr="00681B9E">
        <w:tab/>
        <w:t>Ссылки на ВОПОГ в Правилах класса классификационных обществ</w:t>
      </w:r>
    </w:p>
    <w:p w:rsidR="00F77D5F" w:rsidRPr="00681B9E" w:rsidRDefault="00F77D5F" w:rsidP="00950655">
      <w:pPr>
        <w:pStyle w:val="SingleTxtGR"/>
        <w:keepNext/>
        <w:keepLines/>
        <w:ind w:left="3969" w:hanging="2835"/>
      </w:pPr>
      <w:r w:rsidRPr="00681B9E">
        <w:rPr>
          <w:i/>
        </w:rPr>
        <w:t>Неофициальный документ</w:t>
      </w:r>
      <w:r w:rsidRPr="00681B9E">
        <w:t xml:space="preserve">: </w:t>
      </w:r>
      <w:r w:rsidRPr="00681B9E">
        <w:tab/>
      </w:r>
      <w:r w:rsidRPr="00681B9E">
        <w:tab/>
        <w:t>INF.14 (Рекомендованные классификационные общества ВОПОГ)</w:t>
      </w:r>
    </w:p>
    <w:p w:rsidR="00F77D5F" w:rsidRPr="00681B9E" w:rsidRDefault="00F77D5F" w:rsidP="00950655">
      <w:pPr>
        <w:pStyle w:val="SingleTxtGR"/>
        <w:keepNext/>
        <w:keepLines/>
      </w:pPr>
      <w:r w:rsidRPr="00681B9E">
        <w:t>24.</w:t>
      </w:r>
      <w:r w:rsidRPr="00681B9E">
        <w:tab/>
      </w:r>
      <w:r>
        <w:t xml:space="preserve">Комитет по вопросам безопасности </w:t>
      </w:r>
      <w:r w:rsidRPr="00681B9E">
        <w:t>поблагодарил Рекомендованные классификационные общества ВОПОГ за рассмотрение его просьбы подготовить документ, устанавливающий соответствие между требованиями Правил, прилагаемых к ВОПОГ, и их правилами класса.</w:t>
      </w:r>
    </w:p>
    <w:p w:rsidR="00F77D5F" w:rsidRDefault="00F77D5F" w:rsidP="00F77D5F">
      <w:pPr>
        <w:pStyle w:val="SingleTxtGR"/>
      </w:pPr>
      <w:r w:rsidRPr="00681B9E">
        <w:t>25.</w:t>
      </w:r>
      <w:r w:rsidRPr="00681B9E">
        <w:tab/>
        <w:t>Представитель Российской Федерации отметил, что в связи с изменениями законодательного характера в его стране правила морского регистра и речного регистра подлежат пересмотру и что в ближайшее время таблица должна быть соответствующим образом видоизменена.</w:t>
      </w:r>
    </w:p>
    <w:p w:rsidR="00F77D5F" w:rsidRPr="00E5644E" w:rsidRDefault="00F77D5F" w:rsidP="00F77D5F">
      <w:pPr>
        <w:pStyle w:val="HChGR"/>
      </w:pPr>
      <w:r>
        <w:tab/>
      </w:r>
      <w:r w:rsidRPr="00E5644E">
        <w:t>V.</w:t>
      </w:r>
      <w:r w:rsidRPr="00E5644E">
        <w:tab/>
        <w:t>Предложения о внесении поправок в Правила, прилагаемые к ВОПОГ (пункт 4 повестки дня)</w:t>
      </w:r>
    </w:p>
    <w:p w:rsidR="00F77D5F" w:rsidRPr="00E5644E" w:rsidRDefault="00F77D5F" w:rsidP="00F77D5F">
      <w:pPr>
        <w:pStyle w:val="H1GR"/>
      </w:pPr>
      <w:r>
        <w:tab/>
        <w:t>A.</w:t>
      </w:r>
      <w:r w:rsidRPr="00E5644E">
        <w:tab/>
        <w:t>Работа Совместного совещания МПОГ/ДОПОГ/ВОПОГ</w:t>
      </w:r>
    </w:p>
    <w:p w:rsidR="00F77D5F" w:rsidRPr="00E5644E" w:rsidRDefault="00F77D5F" w:rsidP="00F77D5F">
      <w:pPr>
        <w:pStyle w:val="H23GR"/>
      </w:pPr>
      <w:r w:rsidRPr="00E5644E">
        <w:tab/>
        <w:t>1.</w:t>
      </w:r>
      <w:r w:rsidRPr="00E5644E">
        <w:tab/>
        <w:t>Новые поправки</w:t>
      </w:r>
    </w:p>
    <w:p w:rsidR="00F77D5F" w:rsidRPr="00E5644E" w:rsidRDefault="00F77D5F" w:rsidP="00F77D5F">
      <w:pPr>
        <w:pStyle w:val="SingleTxtGR"/>
      </w:pPr>
      <w:r w:rsidRPr="00EE3F1C">
        <w:rPr>
          <w:i/>
        </w:rPr>
        <w:t>Документ</w:t>
      </w:r>
      <w:r>
        <w:t>:</w:t>
      </w:r>
      <w:r>
        <w:tab/>
      </w:r>
      <w:r>
        <w:tab/>
      </w:r>
      <w:r w:rsidR="00812767">
        <w:tab/>
      </w:r>
      <w:r w:rsidR="00812767">
        <w:tab/>
      </w:r>
      <w:r w:rsidRPr="00E5644E">
        <w:t>ECE/TRANS/WP.15/AC.2/2016/28 (секретариат)</w:t>
      </w:r>
    </w:p>
    <w:p w:rsidR="00F77D5F" w:rsidRPr="00E5644E" w:rsidRDefault="00F77D5F" w:rsidP="00F77D5F">
      <w:pPr>
        <w:pStyle w:val="SingleTxtGR"/>
      </w:pPr>
      <w:r w:rsidRPr="00EE3F1C">
        <w:rPr>
          <w:i/>
        </w:rPr>
        <w:t>Неофициальный документ</w:t>
      </w:r>
      <w:r w:rsidRPr="00E5644E">
        <w:t xml:space="preserve">: </w:t>
      </w:r>
      <w:r w:rsidRPr="00E5644E">
        <w:tab/>
      </w:r>
      <w:r w:rsidRPr="00E5644E">
        <w:tab/>
        <w:t>INF.23 (секретариат)</w:t>
      </w:r>
    </w:p>
    <w:p w:rsidR="00F77D5F" w:rsidRPr="00E5644E" w:rsidRDefault="00F77D5F" w:rsidP="00F77D5F">
      <w:pPr>
        <w:pStyle w:val="SingleTxtGR"/>
      </w:pPr>
      <w:r w:rsidRPr="00E5644E">
        <w:t>26.</w:t>
      </w:r>
      <w:r w:rsidRPr="00E5644E">
        <w:tab/>
        <w:t>Комитет по вопросам безопасности принял с некоторыми изменениями поправки, признанные необходимыми для согласования с поправками к МПОГ и ДОПОГ, которые должны вступить в силу 1 января 2017 года (см. прило</w:t>
      </w:r>
      <w:r>
        <w:t>-</w:t>
      </w:r>
      <w:r w:rsidRPr="00E5644E">
        <w:t>жение</w:t>
      </w:r>
      <w:r>
        <w:t xml:space="preserve"> </w:t>
      </w:r>
      <w:r>
        <w:rPr>
          <w:lang w:val="en-US"/>
        </w:rPr>
        <w:t>I</w:t>
      </w:r>
      <w:r w:rsidRPr="00E5644E">
        <w:t>).</w:t>
      </w:r>
    </w:p>
    <w:p w:rsidR="00F77D5F" w:rsidRPr="00E5644E" w:rsidRDefault="00F77D5F" w:rsidP="00F77D5F">
      <w:pPr>
        <w:pStyle w:val="H23GR"/>
      </w:pPr>
      <w:r w:rsidRPr="00E5644E">
        <w:tab/>
        <w:t>2.</w:t>
      </w:r>
      <w:r w:rsidRPr="00E5644E">
        <w:tab/>
        <w:t>Исправления к ранее принятым поправкам (ECE/ADN/36)</w:t>
      </w:r>
    </w:p>
    <w:p w:rsidR="00F77D5F" w:rsidRPr="00E5644E" w:rsidRDefault="00F77D5F" w:rsidP="00F77D5F">
      <w:pPr>
        <w:pStyle w:val="SingleTxtGR"/>
        <w:keepNext/>
        <w:keepLines/>
      </w:pPr>
      <w:r w:rsidRPr="00EE3F1C">
        <w:rPr>
          <w:i/>
        </w:rPr>
        <w:t>Документ</w:t>
      </w:r>
      <w:r>
        <w:t>:</w:t>
      </w:r>
      <w:r w:rsidRPr="00E5644E">
        <w:tab/>
      </w:r>
      <w:r w:rsidRPr="00E5644E">
        <w:tab/>
      </w:r>
      <w:r w:rsidR="00812767">
        <w:tab/>
      </w:r>
      <w:r w:rsidR="00812767">
        <w:tab/>
      </w:r>
      <w:r w:rsidRPr="00E5644E">
        <w:t>ECE/TRANS/WP.15/AC.2/2016/31 (секретариат)</w:t>
      </w:r>
    </w:p>
    <w:p w:rsidR="00F77D5F" w:rsidRPr="00E5644E" w:rsidRDefault="00F77D5F" w:rsidP="00F77D5F">
      <w:pPr>
        <w:pStyle w:val="SingleTxtGR"/>
        <w:keepNext/>
        <w:keepLines/>
      </w:pPr>
      <w:r w:rsidRPr="00EE3F1C">
        <w:rPr>
          <w:i/>
        </w:rPr>
        <w:t>Неофициальный документ</w:t>
      </w:r>
      <w:r w:rsidRPr="00E5644E">
        <w:t xml:space="preserve">: </w:t>
      </w:r>
      <w:r w:rsidRPr="00E5644E">
        <w:tab/>
      </w:r>
      <w:r w:rsidRPr="00E5644E">
        <w:tab/>
        <w:t>INF.24 (секретариат)</w:t>
      </w:r>
    </w:p>
    <w:p w:rsidR="00F77D5F" w:rsidRPr="00E5644E" w:rsidRDefault="00F77D5F" w:rsidP="00F77D5F">
      <w:pPr>
        <w:pStyle w:val="SingleTxtGR"/>
        <w:keepNext/>
        <w:keepLines/>
      </w:pPr>
      <w:r w:rsidRPr="00E5644E">
        <w:t>27.</w:t>
      </w:r>
      <w:r w:rsidRPr="00E5644E">
        <w:tab/>
        <w:t xml:space="preserve">Комитет по вопросам безопасности принял ряд предложенных исправлений к документу ECE/ADN/36 (см. ECE/ADN/36/Corr.1), связанных с ошибками или пропусками в сопутствующих поправках (см. приложение </w:t>
      </w:r>
      <w:r>
        <w:rPr>
          <w:lang w:val="en-US"/>
        </w:rPr>
        <w:t>II</w:t>
      </w:r>
      <w:r w:rsidRPr="00E5644E">
        <w:t>). Он счел, что эти ошибки или пропуски необходимо исправить с вступлением в силу соответствующих поправок, и предложил Административному комитету обратиться с просьбой о применении процедуры внесения исправлений с того момента, когда поправки будут сочтены принятыми (в принципе 1 октября 2016 года).</w:t>
      </w:r>
    </w:p>
    <w:p w:rsidR="00F77D5F" w:rsidRPr="00E5644E" w:rsidRDefault="00F77D5F" w:rsidP="00F77D5F">
      <w:pPr>
        <w:pStyle w:val="H1GR"/>
      </w:pPr>
      <w:r w:rsidRPr="00E5644E">
        <w:tab/>
        <w:t>B.</w:t>
      </w:r>
      <w:r w:rsidRPr="00E5644E">
        <w:tab/>
        <w:t>Другие предлагаемые поправки</w:t>
      </w:r>
    </w:p>
    <w:p w:rsidR="00F77D5F" w:rsidRPr="00E5644E" w:rsidRDefault="00F77D5F" w:rsidP="00F77D5F">
      <w:pPr>
        <w:pStyle w:val="H23GR"/>
      </w:pPr>
      <w:r w:rsidRPr="00E5644E">
        <w:tab/>
        <w:t>1.</w:t>
      </w:r>
      <w:r w:rsidRPr="00E5644E">
        <w:tab/>
        <w:t>Обновление нормативной ссылки в подпункте с) пункта 9.3.2.21.5</w:t>
      </w:r>
    </w:p>
    <w:p w:rsidR="00F77D5F" w:rsidRPr="00654A17" w:rsidRDefault="00F77D5F" w:rsidP="00F77D5F">
      <w:pPr>
        <w:pStyle w:val="SingleTxtGR"/>
        <w:keepNext/>
        <w:keepLines/>
        <w:rPr>
          <w:lang w:val="en-GB"/>
        </w:rPr>
      </w:pPr>
      <w:r w:rsidRPr="002A17EC">
        <w:rPr>
          <w:i/>
        </w:rPr>
        <w:t>Документ</w:t>
      </w:r>
      <w:r w:rsidRPr="00654A17">
        <w:rPr>
          <w:lang w:val="en-GB"/>
        </w:rPr>
        <w:t>:</w:t>
      </w:r>
      <w:r w:rsidRPr="00654A17">
        <w:rPr>
          <w:lang w:val="en-GB"/>
        </w:rPr>
        <w:tab/>
      </w:r>
      <w:r w:rsidRPr="00654A17">
        <w:rPr>
          <w:lang w:val="en-GB"/>
        </w:rPr>
        <w:tab/>
      </w:r>
      <w:r w:rsidR="00812767" w:rsidRPr="00654A17">
        <w:rPr>
          <w:lang w:val="en-GB"/>
        </w:rPr>
        <w:tab/>
      </w:r>
      <w:r w:rsidR="00812767" w:rsidRPr="00654A17">
        <w:rPr>
          <w:lang w:val="en-GB"/>
        </w:rPr>
        <w:tab/>
      </w:r>
      <w:r w:rsidRPr="00654A17">
        <w:rPr>
          <w:lang w:val="en-GB"/>
        </w:rPr>
        <w:t>ECE/TRANS/WP.15/AC.2/2016/29 (</w:t>
      </w:r>
      <w:r w:rsidRPr="00E5644E">
        <w:t>ЦКСР</w:t>
      </w:r>
      <w:r w:rsidRPr="00654A17">
        <w:rPr>
          <w:lang w:val="en-GB"/>
        </w:rPr>
        <w:t>)</w:t>
      </w:r>
    </w:p>
    <w:p w:rsidR="00F77D5F" w:rsidRPr="00E5644E" w:rsidRDefault="00F77D5F" w:rsidP="00F77D5F">
      <w:pPr>
        <w:pStyle w:val="SingleTxtGR"/>
      </w:pPr>
      <w:r w:rsidRPr="00E5644E">
        <w:t>28.</w:t>
      </w:r>
      <w:r w:rsidRPr="00E5644E">
        <w:tab/>
        <w:t>Комитет по вопросам безопасности отметил, что ссылка на стандарт EN</w:t>
      </w:r>
      <w:r>
        <w:t> </w:t>
      </w:r>
      <w:r w:rsidRPr="00E5644E">
        <w:t>12827:1996 в подпункте с) пункта 9.3.2.21.5 была заменена ссылкой на обновленный стандарт EN 12827:1999 в варианте ВОПОГ 2015 года. Эта поправка должна сопровождаться сопутствующей поправкой к подпункту с) пунк</w:t>
      </w:r>
      <w:r>
        <w:t>та </w:t>
      </w:r>
      <w:r w:rsidRPr="00E5644E">
        <w:t xml:space="preserve">9.3.3.21.5, которая была исключена. В силу этого Комитет по вопросам </w:t>
      </w:r>
      <w:r w:rsidRPr="00A262C6">
        <w:br/>
      </w:r>
      <w:r w:rsidRPr="00E5644E">
        <w:t xml:space="preserve">безопасности рекомендовал Административному комитету исправить это упущение путем включения предложенной поправки в дополнительный перечень поправок для вступления в силу 1 января 2017 года, с тем чтобы обеспечить гармонизацию и согласованность (см. приложение </w:t>
      </w:r>
      <w:r>
        <w:rPr>
          <w:lang w:val="en-US"/>
        </w:rPr>
        <w:t>I</w:t>
      </w:r>
      <w:r w:rsidRPr="00E5644E">
        <w:t>).</w:t>
      </w:r>
    </w:p>
    <w:p w:rsidR="00F77D5F" w:rsidRPr="00E5644E" w:rsidRDefault="00F77D5F" w:rsidP="00F77D5F">
      <w:pPr>
        <w:pStyle w:val="H23GR"/>
      </w:pPr>
      <w:r w:rsidRPr="00E5644E">
        <w:tab/>
        <w:t>2.</w:t>
      </w:r>
      <w:r w:rsidRPr="00E5644E">
        <w:tab/>
        <w:t>Наименование и описание № ООН 3264 в таблице C</w:t>
      </w:r>
    </w:p>
    <w:p w:rsidR="00F77D5F" w:rsidRPr="00E5644E" w:rsidRDefault="00F77D5F" w:rsidP="00F77D5F">
      <w:pPr>
        <w:pStyle w:val="SingleTxtGR"/>
        <w:keepNext/>
        <w:keepLines/>
      </w:pPr>
      <w:r w:rsidRPr="002A17EC">
        <w:rPr>
          <w:i/>
        </w:rPr>
        <w:t>Документ</w:t>
      </w:r>
      <w:r w:rsidRPr="00E5644E">
        <w:t xml:space="preserve">: </w:t>
      </w:r>
      <w:r w:rsidRPr="00E5644E">
        <w:tab/>
      </w:r>
      <w:r w:rsidRPr="00E5644E">
        <w:tab/>
      </w:r>
      <w:r w:rsidR="00812767">
        <w:tab/>
      </w:r>
      <w:r w:rsidR="00812767">
        <w:tab/>
      </w:r>
      <w:r w:rsidRPr="00E5644E">
        <w:t>ECE/TRANS/WP.15/AC.2/2016/37 (Германия)</w:t>
      </w:r>
    </w:p>
    <w:p w:rsidR="00F77D5F" w:rsidRPr="00E5644E" w:rsidRDefault="00F77D5F" w:rsidP="00F77D5F">
      <w:pPr>
        <w:pStyle w:val="SingleTxtGR"/>
      </w:pPr>
      <w:r w:rsidRPr="00E5644E">
        <w:t>29.</w:t>
      </w:r>
      <w:r w:rsidRPr="00E5644E">
        <w:tab/>
        <w:t xml:space="preserve">Комитет по вопросам безопасности подтвердил, что наименование и </w:t>
      </w:r>
      <w:r w:rsidR="00626362">
        <w:br/>
      </w:r>
      <w:r w:rsidRPr="00E5644E">
        <w:t xml:space="preserve">описание, предусмотренные для </w:t>
      </w:r>
      <w:r w:rsidR="00812767">
        <w:t>четвертой</w:t>
      </w:r>
      <w:r w:rsidRPr="00E5644E">
        <w:t xml:space="preserve">, </w:t>
      </w:r>
      <w:r w:rsidR="00812767">
        <w:t>пятой</w:t>
      </w:r>
      <w:r w:rsidRPr="00E5644E">
        <w:t xml:space="preserve"> и </w:t>
      </w:r>
      <w:r w:rsidR="00812767">
        <w:t>шестой</w:t>
      </w:r>
      <w:r w:rsidRPr="00E5644E">
        <w:t xml:space="preserve"> позиций </w:t>
      </w:r>
      <w:r w:rsidR="00626362">
        <w:br/>
      </w:r>
      <w:r w:rsidRPr="00E5644E">
        <w:t xml:space="preserve">для № ООН 3264, должны быть исправлены для приведения их в соответствие с вариантом на немецком языке, который содержит ссылку на водные растворы фосфорной кислоты и азотной кислоты, а не на водные растворы лимонной кислоты и фосфорной кислоты (см. приложение </w:t>
      </w:r>
      <w:r>
        <w:rPr>
          <w:lang w:val="en-US"/>
        </w:rPr>
        <w:t>IV</w:t>
      </w:r>
      <w:r w:rsidRPr="00E5644E">
        <w:t>). Эти наименование и описание в первоначальном варианте Соглашения были приведены правильно. Впоследствии они были видоизменены, по всей вероятности в результате типографической ошибки.</w:t>
      </w:r>
    </w:p>
    <w:p w:rsidR="00F77D5F" w:rsidRPr="00E5644E" w:rsidRDefault="00F77D5F" w:rsidP="00F77D5F">
      <w:pPr>
        <w:pStyle w:val="H23GR"/>
      </w:pPr>
      <w:r w:rsidRPr="00E5644E">
        <w:tab/>
        <w:t>3.</w:t>
      </w:r>
      <w:r w:rsidRPr="00E5644E">
        <w:tab/>
        <w:t>Пункты 7.1.4.1.1 и 7.1.4.1.2</w:t>
      </w:r>
    </w:p>
    <w:p w:rsidR="00F77D5F" w:rsidRPr="00E5644E" w:rsidRDefault="00F77D5F" w:rsidP="00812767">
      <w:pPr>
        <w:pStyle w:val="SingleTxtGR"/>
        <w:keepNext/>
        <w:keepLines/>
        <w:ind w:left="3969" w:hanging="2835"/>
      </w:pPr>
      <w:r w:rsidRPr="002A17EC">
        <w:rPr>
          <w:i/>
        </w:rPr>
        <w:t>Документ</w:t>
      </w:r>
      <w:r w:rsidRPr="00E5644E">
        <w:t xml:space="preserve">: </w:t>
      </w:r>
      <w:r w:rsidRPr="00E5644E">
        <w:tab/>
      </w:r>
      <w:r w:rsidRPr="00E5644E">
        <w:tab/>
      </w:r>
      <w:r w:rsidR="00812767">
        <w:tab/>
      </w:r>
      <w:r w:rsidR="00812767">
        <w:tab/>
      </w:r>
      <w:r w:rsidRPr="00E5644E">
        <w:t xml:space="preserve">ECE/TRANS/WP.15/AC.2/2016/39 </w:t>
      </w:r>
      <w:r w:rsidR="00812767">
        <w:br/>
      </w:r>
      <w:r w:rsidRPr="00E5644E">
        <w:t>(ЕСРС, ЕСРПТ и EOС)</w:t>
      </w:r>
    </w:p>
    <w:p w:rsidR="00F77D5F" w:rsidRPr="00E5644E" w:rsidRDefault="00F77D5F" w:rsidP="00F77D5F">
      <w:pPr>
        <w:pStyle w:val="SingleTxtGR"/>
      </w:pPr>
      <w:r w:rsidRPr="00E5644E">
        <w:t>30.</w:t>
      </w:r>
      <w:r w:rsidRPr="00E5644E">
        <w:tab/>
        <w:t>Было сочтено предпочтительным провести первоначальное обсуждение предлагаемых изменений в рамках неофициальной рабочей группы, которая будет создана авторами. Представители Германии, Австрии и Нидерландов сообщили о том, что они хотели бы принять в нем участие.</w:t>
      </w:r>
    </w:p>
    <w:p w:rsidR="00F77D5F" w:rsidRPr="00E5644E" w:rsidRDefault="00F77D5F" w:rsidP="00F77D5F">
      <w:pPr>
        <w:pStyle w:val="H23GR"/>
      </w:pPr>
      <w:r w:rsidRPr="00E5644E">
        <w:tab/>
        <w:t>4.</w:t>
      </w:r>
      <w:r w:rsidRPr="00E5644E">
        <w:tab/>
        <w:t>Разработка брошюр по остойчивости и программ обеспечения остойчивости</w:t>
      </w:r>
    </w:p>
    <w:p w:rsidR="00F77D5F" w:rsidRPr="00E5644E" w:rsidRDefault="00F77D5F" w:rsidP="00812767">
      <w:pPr>
        <w:pStyle w:val="SingleTxtGR"/>
        <w:keepNext/>
        <w:keepLines/>
        <w:ind w:left="3969" w:hanging="2835"/>
      </w:pPr>
      <w:r w:rsidRPr="002A17EC">
        <w:rPr>
          <w:i/>
        </w:rPr>
        <w:t>Документ</w:t>
      </w:r>
      <w:r w:rsidRPr="00E5644E">
        <w:t xml:space="preserve">: </w:t>
      </w:r>
      <w:r w:rsidRPr="00E5644E">
        <w:tab/>
      </w:r>
      <w:r w:rsidRPr="00E5644E">
        <w:tab/>
      </w:r>
      <w:r w:rsidR="00812767">
        <w:tab/>
      </w:r>
      <w:r w:rsidR="00812767">
        <w:tab/>
      </w:r>
      <w:r w:rsidR="00812767">
        <w:tab/>
      </w:r>
      <w:r w:rsidRPr="00E5644E">
        <w:t xml:space="preserve">ECE/TRANS/WP.15/AC.2/2016/40 </w:t>
      </w:r>
      <w:r w:rsidR="00812767">
        <w:br/>
      </w:r>
      <w:r w:rsidRPr="00E5644E">
        <w:t>(ЕСРС, ЕСРПТ и EOС)</w:t>
      </w:r>
    </w:p>
    <w:p w:rsidR="00F77D5F" w:rsidRPr="00E5644E" w:rsidRDefault="00F77D5F" w:rsidP="00F77D5F">
      <w:pPr>
        <w:pStyle w:val="SingleTxtGR"/>
        <w:keepNext/>
        <w:keepLines/>
      </w:pPr>
      <w:r w:rsidRPr="00E5644E">
        <w:t>31.</w:t>
      </w:r>
      <w:r w:rsidRPr="00E5644E">
        <w:tab/>
        <w:t>Этот документ не обсуждался, поскольку решение было найдено на основе нового многостороннего соглашения М 016, предназначенного заменить соглашения M 014 и M 015.</w:t>
      </w:r>
    </w:p>
    <w:p w:rsidR="00F77D5F" w:rsidRPr="00E5644E" w:rsidRDefault="00F77D5F" w:rsidP="00F77D5F">
      <w:pPr>
        <w:pStyle w:val="SingleTxtGR"/>
      </w:pPr>
      <w:r w:rsidRPr="00E5644E">
        <w:t>32.</w:t>
      </w:r>
      <w:r w:rsidRPr="00E5644E">
        <w:tab/>
        <w:t>Сотрудник секретариата указал, что Договаривающиеся стороны, желающие отменить прежние многосторонние соглашения (например, соглашения</w:t>
      </w:r>
      <w:r>
        <w:t> </w:t>
      </w:r>
      <w:r w:rsidRPr="00E5644E">
        <w:t>M</w:t>
      </w:r>
      <w:r>
        <w:t> </w:t>
      </w:r>
      <w:r w:rsidRPr="00E5644E">
        <w:t>014 и M 015), должны направить официальное уведомление, т.е. официальное письмо за подписью органа, компетентного подписывать многосторонние соглашения.</w:t>
      </w:r>
    </w:p>
    <w:p w:rsidR="00F77D5F" w:rsidRPr="00E5644E" w:rsidRDefault="00F77D5F" w:rsidP="00F77D5F">
      <w:pPr>
        <w:pStyle w:val="H23GR"/>
      </w:pPr>
      <w:r w:rsidRPr="00E5644E">
        <w:tab/>
        <w:t>5.</w:t>
      </w:r>
      <w:r w:rsidRPr="00E5644E">
        <w:tab/>
        <w:t>Конструкционные материалы</w:t>
      </w:r>
    </w:p>
    <w:p w:rsidR="00F77D5F" w:rsidRPr="00E5644E" w:rsidRDefault="00F77D5F" w:rsidP="00B54C8A">
      <w:pPr>
        <w:pStyle w:val="SingleTxtGR"/>
        <w:keepNext/>
        <w:keepLines/>
        <w:ind w:left="3969" w:hanging="2835"/>
      </w:pPr>
      <w:r w:rsidRPr="001762D9">
        <w:rPr>
          <w:i/>
        </w:rPr>
        <w:t>Документ</w:t>
      </w:r>
      <w:r>
        <w:t>:</w:t>
      </w:r>
      <w:r w:rsidRPr="00E5644E">
        <w:tab/>
      </w:r>
      <w:r w:rsidRPr="00E5644E">
        <w:tab/>
      </w:r>
      <w:r w:rsidR="00B54C8A">
        <w:tab/>
      </w:r>
      <w:r w:rsidR="00B54C8A">
        <w:tab/>
      </w:r>
      <w:r w:rsidR="00B54C8A">
        <w:tab/>
      </w:r>
      <w:r w:rsidRPr="00E5644E">
        <w:t xml:space="preserve">ECE/TRANS/WP.15/AC.2/2016/41 </w:t>
      </w:r>
      <w:r w:rsidR="00B54C8A">
        <w:br/>
      </w:r>
      <w:r w:rsidRPr="00E5644E">
        <w:t>(ЕСРС, ЕСРПТ и EOС)</w:t>
      </w:r>
    </w:p>
    <w:p w:rsidR="00F77D5F" w:rsidRPr="00E5644E" w:rsidRDefault="00F77D5F" w:rsidP="00F77D5F">
      <w:pPr>
        <w:pStyle w:val="SingleTxtGR"/>
      </w:pPr>
      <w:r w:rsidRPr="00E5644E">
        <w:t>33.</w:t>
      </w:r>
      <w:r w:rsidRPr="00E5644E">
        <w:tab/>
        <w:t>Комитет по вопросам безопасности в целом поддержал эти предложения, однако авторам было предложено представить новый документ на следующей сессии с учетом высказанных замечаний.</w:t>
      </w:r>
    </w:p>
    <w:p w:rsidR="00F77D5F" w:rsidRPr="00E5644E" w:rsidRDefault="00F77D5F" w:rsidP="00F77D5F">
      <w:pPr>
        <w:pStyle w:val="H23GR"/>
      </w:pPr>
      <w:r w:rsidRPr="00E5644E">
        <w:tab/>
        <w:t>6.</w:t>
      </w:r>
      <w:r w:rsidRPr="00E5644E">
        <w:tab/>
        <w:t>Душевая и умывальник</w:t>
      </w:r>
    </w:p>
    <w:p w:rsidR="00F77D5F" w:rsidRPr="00E5644E" w:rsidRDefault="00F77D5F" w:rsidP="00B54C8A">
      <w:pPr>
        <w:pStyle w:val="SingleTxtGR"/>
        <w:keepNext/>
        <w:keepLines/>
        <w:ind w:left="3969" w:hanging="2835"/>
        <w:jc w:val="left"/>
      </w:pPr>
      <w:r w:rsidRPr="001762D9">
        <w:rPr>
          <w:i/>
        </w:rPr>
        <w:t>Документ</w:t>
      </w:r>
      <w:r>
        <w:t>:</w:t>
      </w:r>
      <w:r w:rsidRPr="00E5644E">
        <w:tab/>
      </w:r>
      <w:r w:rsidRPr="00E5644E">
        <w:tab/>
      </w:r>
      <w:r w:rsidR="00B54C8A">
        <w:tab/>
      </w:r>
      <w:r w:rsidR="00B54C8A">
        <w:tab/>
      </w:r>
      <w:r w:rsidRPr="00B7466D">
        <w:rPr>
          <w:spacing w:val="2"/>
        </w:rPr>
        <w:t>ECE/TRANS/WP.15/AC.2/2016/43</w:t>
      </w:r>
      <w:r w:rsidRPr="00B54C8A">
        <w:rPr>
          <w:spacing w:val="0"/>
        </w:rPr>
        <w:t xml:space="preserve"> </w:t>
      </w:r>
      <w:r w:rsidR="00B54C8A">
        <w:rPr>
          <w:spacing w:val="0"/>
        </w:rPr>
        <w:br/>
      </w:r>
      <w:r w:rsidRPr="00B54C8A">
        <w:rPr>
          <w:spacing w:val="0"/>
        </w:rPr>
        <w:t xml:space="preserve">(Рекомендованные </w:t>
      </w:r>
      <w:r w:rsidRPr="00E5644E">
        <w:t>классификационные общества ВОПОГ)</w:t>
      </w:r>
    </w:p>
    <w:p w:rsidR="00F77D5F" w:rsidRPr="00E5644E" w:rsidRDefault="00F77D5F" w:rsidP="00F77D5F">
      <w:pPr>
        <w:pStyle w:val="SingleTxtGR"/>
      </w:pPr>
      <w:r w:rsidRPr="00E5644E">
        <w:t>34.</w:t>
      </w:r>
      <w:r w:rsidRPr="00E5644E">
        <w:tab/>
        <w:t>Новое предложение должно быть представлено на следующей сессии с</w:t>
      </w:r>
      <w:r w:rsidR="00626362">
        <w:t> </w:t>
      </w:r>
      <w:r w:rsidRPr="00E5644E">
        <w:t>учетом состоявшихся обсуждений.</w:t>
      </w:r>
    </w:p>
    <w:p w:rsidR="00F77D5F" w:rsidRPr="00E5644E" w:rsidRDefault="00F77D5F" w:rsidP="00F77D5F">
      <w:pPr>
        <w:pStyle w:val="H23GR"/>
      </w:pPr>
      <w:r w:rsidRPr="00E5644E">
        <w:tab/>
        <w:t>7.</w:t>
      </w:r>
      <w:r w:rsidRPr="00E5644E">
        <w:tab/>
        <w:t>Пункт 7.2.4.25.5</w:t>
      </w:r>
    </w:p>
    <w:p w:rsidR="00F77D5F" w:rsidRPr="00E5644E" w:rsidRDefault="00F77D5F" w:rsidP="00B54C8A">
      <w:pPr>
        <w:pStyle w:val="SingleTxtGR"/>
        <w:keepNext/>
        <w:keepLines/>
        <w:ind w:left="3969" w:hanging="2835"/>
      </w:pPr>
      <w:r w:rsidRPr="001762D9">
        <w:rPr>
          <w:i/>
        </w:rPr>
        <w:t>Документ</w:t>
      </w:r>
      <w:r>
        <w:t>:</w:t>
      </w:r>
      <w:r w:rsidRPr="00E5644E">
        <w:tab/>
      </w:r>
      <w:r w:rsidRPr="00E5644E">
        <w:tab/>
      </w:r>
      <w:r w:rsidR="00B54C8A">
        <w:tab/>
      </w:r>
      <w:r w:rsidR="00B54C8A">
        <w:tab/>
      </w:r>
      <w:r w:rsidRPr="00E5644E">
        <w:t xml:space="preserve">ECE/TRANS/WP.15/AC.2/2016/44 </w:t>
      </w:r>
      <w:r w:rsidR="00B54C8A">
        <w:br/>
      </w:r>
      <w:r w:rsidRPr="00E5644E">
        <w:t>(Франция и Нидерланды)</w:t>
      </w:r>
    </w:p>
    <w:p w:rsidR="00F77D5F" w:rsidRPr="00E5644E" w:rsidRDefault="00F77D5F" w:rsidP="00F77D5F">
      <w:pPr>
        <w:pStyle w:val="SingleTxtGR"/>
      </w:pPr>
      <w:r w:rsidRPr="001762D9">
        <w:rPr>
          <w:i/>
        </w:rPr>
        <w:t>Неофициальный документ</w:t>
      </w:r>
      <w:r w:rsidRPr="00E5644E">
        <w:t xml:space="preserve">: </w:t>
      </w:r>
      <w:r w:rsidRPr="00E5644E">
        <w:tab/>
      </w:r>
      <w:r w:rsidRPr="00E5644E">
        <w:tab/>
        <w:t>INF.11 (Нидерланды)</w:t>
      </w:r>
    </w:p>
    <w:p w:rsidR="00F77D5F" w:rsidRPr="00E5644E" w:rsidRDefault="00F77D5F" w:rsidP="00F77D5F">
      <w:pPr>
        <w:pStyle w:val="SingleTxtGR"/>
      </w:pPr>
      <w:r w:rsidRPr="00E5644E">
        <w:t>35.</w:t>
      </w:r>
      <w:r w:rsidRPr="00E5644E">
        <w:tab/>
        <w:t xml:space="preserve">Комитет по вопросам безопасности предложил Франции, Нидерландам и ЕСФХП обсудить свои разногласия в течение межсессионного периода, с тем чтобы этот вопрос можно было бы дополнительно обсудить на следующей </w:t>
      </w:r>
      <w:r w:rsidR="00626362">
        <w:br/>
      </w:r>
      <w:r w:rsidRPr="00E5644E">
        <w:t>сессии.</w:t>
      </w:r>
    </w:p>
    <w:p w:rsidR="00F77D5F" w:rsidRPr="00E5644E" w:rsidRDefault="00F77D5F" w:rsidP="00F77D5F">
      <w:pPr>
        <w:pStyle w:val="H23GR"/>
      </w:pPr>
      <w:r w:rsidRPr="00E5644E">
        <w:tab/>
        <w:t>8.</w:t>
      </w:r>
      <w:r w:rsidRPr="00E5644E">
        <w:tab/>
        <w:t>Поправки к таблице С в результате классификации некоторых веществ (опасность для водной среды) в соответствии с Регламентом ЕС № 286/2011</w:t>
      </w:r>
    </w:p>
    <w:p w:rsidR="00F77D5F" w:rsidRPr="00E5644E" w:rsidRDefault="00F77D5F" w:rsidP="00F77D5F">
      <w:pPr>
        <w:pStyle w:val="SingleTxtGR"/>
        <w:keepNext/>
        <w:keepLines/>
      </w:pPr>
      <w:r w:rsidRPr="001762D9">
        <w:rPr>
          <w:i/>
        </w:rPr>
        <w:t>Неофициальные документы</w:t>
      </w:r>
      <w:r>
        <w:t>:</w:t>
      </w:r>
      <w:r w:rsidRPr="00E5644E">
        <w:tab/>
      </w:r>
      <w:r w:rsidRPr="00E5644E">
        <w:tab/>
        <w:t>INF.10 и INF.20 (ЕСФХП)</w:t>
      </w:r>
    </w:p>
    <w:p w:rsidR="00F77D5F" w:rsidRPr="00E5644E" w:rsidRDefault="00F77D5F" w:rsidP="00F77D5F">
      <w:pPr>
        <w:pStyle w:val="SingleTxtGR"/>
      </w:pPr>
      <w:r w:rsidRPr="00E5644E">
        <w:t>36.</w:t>
      </w:r>
      <w:r w:rsidRPr="00E5644E">
        <w:tab/>
        <w:t>Комитет по вопросам безопасности предложил ЕСФХП представить официальное предложение</w:t>
      </w:r>
      <w:r w:rsidRPr="001A0260">
        <w:rPr>
          <w:spacing w:val="0"/>
        </w:rPr>
        <w:t xml:space="preserve"> относительно перевозки в танкерах толуола (№ 1294 </w:t>
      </w:r>
      <w:r w:rsidRPr="00E5644E">
        <w:t>ООН) и трипропилена (№ 2057 ООН) на следующей сессии, одновременно убедившись в том, не распространяется ли европейская классификация в соответствии с этим регламентом и на другие вещества.</w:t>
      </w:r>
    </w:p>
    <w:p w:rsidR="00F77D5F" w:rsidRPr="00E5644E" w:rsidRDefault="00F77D5F" w:rsidP="00F77D5F">
      <w:pPr>
        <w:pStyle w:val="H23GR"/>
      </w:pPr>
      <w:r w:rsidRPr="00E5644E">
        <w:tab/>
        <w:t>9.</w:t>
      </w:r>
      <w:r w:rsidRPr="00E5644E">
        <w:tab/>
        <w:t>Установки для дегазации</w:t>
      </w:r>
    </w:p>
    <w:p w:rsidR="00F77D5F" w:rsidRPr="00E5644E" w:rsidRDefault="00F77D5F" w:rsidP="00F77D5F">
      <w:pPr>
        <w:pStyle w:val="SingleTxtGR"/>
        <w:keepNext/>
        <w:keepLines/>
      </w:pPr>
      <w:r w:rsidRPr="001762D9">
        <w:rPr>
          <w:i/>
        </w:rPr>
        <w:t>Неофициальный документ</w:t>
      </w:r>
      <w:r w:rsidRPr="00E5644E">
        <w:t xml:space="preserve">: </w:t>
      </w:r>
      <w:r w:rsidRPr="00E5644E">
        <w:tab/>
      </w:r>
      <w:r w:rsidRPr="00E5644E">
        <w:tab/>
        <w:t>INF.15 (Нидерланды)</w:t>
      </w:r>
    </w:p>
    <w:p w:rsidR="00F77D5F" w:rsidRPr="00E5644E" w:rsidRDefault="00F77D5F" w:rsidP="00F77D5F">
      <w:pPr>
        <w:pStyle w:val="SingleTxtGR"/>
        <w:keepNext/>
        <w:keepLines/>
      </w:pPr>
      <w:r w:rsidRPr="00E5644E">
        <w:t>37.</w:t>
      </w:r>
      <w:r w:rsidRPr="00E5644E">
        <w:tab/>
        <w:t>Комитет по вопросам безопасности отметил, что прилагаемые Правила предусматривают дегазацию на открытом воздухе или посредством береговых установок, но не дегазацию с использованием плавучих мобильных установок, что является методом</w:t>
      </w:r>
      <w:r>
        <w:t>,</w:t>
      </w:r>
      <w:r w:rsidRPr="00C82D53">
        <w:t xml:space="preserve"> </w:t>
      </w:r>
      <w:r w:rsidRPr="00E5644E">
        <w:t xml:space="preserve">перспективным с точки зрения </w:t>
      </w:r>
      <w:r>
        <w:t xml:space="preserve">дальнейшей </w:t>
      </w:r>
      <w:r w:rsidRPr="00E5644E">
        <w:t xml:space="preserve">разработки. В этой связи он принял предложение обсудить этот вопрос на следующей </w:t>
      </w:r>
      <w:r>
        <w:br/>
      </w:r>
      <w:r w:rsidRPr="00E5644E">
        <w:t>сессии.</w:t>
      </w:r>
    </w:p>
    <w:p w:rsidR="00F77D5F" w:rsidRPr="00B40859" w:rsidRDefault="00F77D5F" w:rsidP="00F77D5F">
      <w:pPr>
        <w:pStyle w:val="H23GR"/>
      </w:pPr>
      <w:r w:rsidRPr="00774B18">
        <w:tab/>
      </w:r>
      <w:r w:rsidRPr="00B40859">
        <w:t>10.</w:t>
      </w:r>
      <w:r w:rsidRPr="00B40859">
        <w:tab/>
        <w:t xml:space="preserve">Исправления к пункту 2.2.43.1.8 </w:t>
      </w:r>
    </w:p>
    <w:p w:rsidR="00F77D5F" w:rsidRPr="00B40859" w:rsidRDefault="00F77D5F" w:rsidP="00F77D5F">
      <w:pPr>
        <w:pStyle w:val="SingleTxtGR"/>
      </w:pPr>
      <w:r w:rsidRPr="00B40859">
        <w:rPr>
          <w:i/>
        </w:rPr>
        <w:t>Неофициальный документ</w:t>
      </w:r>
      <w:r w:rsidRPr="00B40859">
        <w:t>:</w:t>
      </w:r>
      <w:r w:rsidRPr="00B40859">
        <w:tab/>
      </w:r>
      <w:r w:rsidRPr="00B40859">
        <w:rPr>
          <w:lang w:val="fr-FR"/>
        </w:rPr>
        <w:t>INF</w:t>
      </w:r>
      <w:r w:rsidRPr="00B40859">
        <w:t>.17 (ЦКСР)</w:t>
      </w:r>
    </w:p>
    <w:p w:rsidR="00F77D5F" w:rsidRPr="00B40859" w:rsidRDefault="00F77D5F" w:rsidP="00F77D5F">
      <w:pPr>
        <w:pStyle w:val="SingleTxtGR"/>
      </w:pPr>
      <w:r w:rsidRPr="00B40859">
        <w:t>38.</w:t>
      </w:r>
      <w:r w:rsidRPr="00B40859">
        <w:tab/>
        <w:t xml:space="preserve">Комитет по вопросам безопасности отметил, что в пункте 2.2.43.1.8 вариантов на немецком и французском языках в формулировках критерия, применяемого при назначении группы упаковки </w:t>
      </w:r>
      <w:r w:rsidRPr="00B40859">
        <w:rPr>
          <w:lang w:val="fr-FR"/>
        </w:rPr>
        <w:t>III</w:t>
      </w:r>
      <w:r w:rsidRPr="00B40859">
        <w:t>, допущена ошибка, которую следует исправить, чтобы обеспечить согласованность с вариантами на других языках и другими международными правилами (см. приложение</w:t>
      </w:r>
      <w:r w:rsidRPr="00E25A22">
        <w:t xml:space="preserve"> </w:t>
      </w:r>
      <w:r>
        <w:rPr>
          <w:lang w:val="en-US"/>
        </w:rPr>
        <w:t>IV</w:t>
      </w:r>
      <w:r w:rsidRPr="00B40859">
        <w:t>).</w:t>
      </w:r>
    </w:p>
    <w:p w:rsidR="00F77D5F" w:rsidRPr="00B40859" w:rsidRDefault="00F77D5F" w:rsidP="00F77D5F">
      <w:pPr>
        <w:pStyle w:val="H23GR"/>
      </w:pPr>
      <w:r w:rsidRPr="00B40859">
        <w:tab/>
        <w:t>11.</w:t>
      </w:r>
      <w:r w:rsidRPr="00B40859">
        <w:tab/>
        <w:t xml:space="preserve">Исправления к документу </w:t>
      </w:r>
      <w:r w:rsidRPr="00B40859">
        <w:rPr>
          <w:lang w:val="fr-FR"/>
        </w:rPr>
        <w:t>ECE</w:t>
      </w:r>
      <w:r w:rsidRPr="00B40859">
        <w:t>/</w:t>
      </w:r>
      <w:r w:rsidRPr="00B40859">
        <w:rPr>
          <w:lang w:val="fr-FR"/>
        </w:rPr>
        <w:t>ADN</w:t>
      </w:r>
      <w:r w:rsidRPr="00B40859">
        <w:t>/36 на немецком языке</w:t>
      </w:r>
    </w:p>
    <w:p w:rsidR="00F77D5F" w:rsidRPr="00B40859" w:rsidRDefault="00F77D5F" w:rsidP="00F77D5F">
      <w:pPr>
        <w:pStyle w:val="SingleTxtGR"/>
      </w:pPr>
      <w:r w:rsidRPr="00B40859">
        <w:rPr>
          <w:i/>
        </w:rPr>
        <w:t>Неофициальный документ</w:t>
      </w:r>
      <w:r w:rsidRPr="00B40859">
        <w:t>:</w:t>
      </w:r>
      <w:r w:rsidRPr="00B40859">
        <w:tab/>
      </w:r>
      <w:r w:rsidRPr="00B40859">
        <w:rPr>
          <w:lang w:val="fr-FR"/>
        </w:rPr>
        <w:t>INF</w:t>
      </w:r>
      <w:r w:rsidRPr="00B40859">
        <w:t>.18 (ЦКСР)</w:t>
      </w:r>
    </w:p>
    <w:p w:rsidR="00F77D5F" w:rsidRPr="00774B18" w:rsidRDefault="00F77D5F" w:rsidP="00F77D5F">
      <w:pPr>
        <w:pStyle w:val="SingleTxtGR"/>
      </w:pPr>
      <w:r w:rsidRPr="00B40859">
        <w:t>39.</w:t>
      </w:r>
      <w:r w:rsidRPr="00B40859">
        <w:tab/>
        <w:t>Предложенные исправления были приняты.</w:t>
      </w:r>
    </w:p>
    <w:p w:rsidR="00F77D5F" w:rsidRPr="00B73010" w:rsidRDefault="00F77D5F" w:rsidP="00F77D5F">
      <w:pPr>
        <w:pStyle w:val="H23GR"/>
      </w:pPr>
      <w:r w:rsidRPr="00774B18">
        <w:tab/>
      </w:r>
      <w:r w:rsidRPr="00B73010">
        <w:t>1</w:t>
      </w:r>
      <w:r w:rsidRPr="00A4305C">
        <w:t>2</w:t>
      </w:r>
      <w:r w:rsidRPr="00B73010">
        <w:t>.</w:t>
      </w:r>
      <w:r w:rsidRPr="00B73010">
        <w:tab/>
        <w:t>Поддоны для сбора пролившейся жидкости</w:t>
      </w:r>
    </w:p>
    <w:p w:rsidR="00F77D5F" w:rsidRPr="00B73010" w:rsidRDefault="00F77D5F" w:rsidP="00F77D5F">
      <w:pPr>
        <w:pStyle w:val="SingleTxtGR"/>
      </w:pPr>
      <w:r w:rsidRPr="009775D5">
        <w:rPr>
          <w:i/>
        </w:rPr>
        <w:t>Документ:</w:t>
      </w:r>
      <w:r w:rsidRPr="00B73010">
        <w:t xml:space="preserve"> </w:t>
      </w:r>
      <w:r w:rsidRPr="00B73010">
        <w:tab/>
      </w:r>
      <w:r w:rsidRPr="00B73010">
        <w:tab/>
      </w:r>
      <w:r w:rsidRPr="009775D5">
        <w:tab/>
      </w:r>
      <w:r w:rsidRPr="009775D5">
        <w:tab/>
      </w:r>
      <w:r w:rsidRPr="00B73010">
        <w:t>ECE/TRANS/WP.15/AC.2/2016/45 (Нидерланды)</w:t>
      </w:r>
    </w:p>
    <w:p w:rsidR="00F77D5F" w:rsidRPr="00B73010" w:rsidRDefault="00F77D5F" w:rsidP="00F77D5F">
      <w:pPr>
        <w:pStyle w:val="SingleTxtGR"/>
      </w:pPr>
      <w:r w:rsidRPr="009775D5">
        <w:rPr>
          <w:i/>
        </w:rPr>
        <w:t>Неофициальный документ:</w:t>
      </w:r>
      <w:r w:rsidRPr="00B73010">
        <w:t xml:space="preserve"> </w:t>
      </w:r>
      <w:r w:rsidRPr="00B73010">
        <w:tab/>
      </w:r>
      <w:r w:rsidRPr="00B73010">
        <w:tab/>
        <w:t>INF.27 (Нидерланды)</w:t>
      </w:r>
    </w:p>
    <w:p w:rsidR="00F77D5F" w:rsidRPr="00B73010" w:rsidRDefault="00F77D5F" w:rsidP="00F77D5F">
      <w:pPr>
        <w:pStyle w:val="SingleTxtGR"/>
      </w:pPr>
      <w:r>
        <w:t>4</w:t>
      </w:r>
      <w:r w:rsidRPr="00A4305C">
        <w:t>0</w:t>
      </w:r>
      <w:r w:rsidRPr="00B73010">
        <w:t>.</w:t>
      </w:r>
      <w:r w:rsidRPr="00B73010">
        <w:tab/>
        <w:t>Комитет по вопросам безопасности принял предложенные поправки в пунктах 7.2.3.2.1, 7.2.4.16.5 и разделе 8.6.3 на основе неофициального документа INF.27 с некоторыми изменениями (см. приложение</w:t>
      </w:r>
      <w:r w:rsidRPr="00F316C9">
        <w:t xml:space="preserve"> </w:t>
      </w:r>
      <w:r>
        <w:rPr>
          <w:lang w:val="en-US"/>
        </w:rPr>
        <w:t>I</w:t>
      </w:r>
      <w:r w:rsidRPr="00B73010">
        <w:t>).</w:t>
      </w:r>
    </w:p>
    <w:p w:rsidR="00F77D5F" w:rsidRPr="00B73010" w:rsidRDefault="00F77D5F" w:rsidP="00F77D5F">
      <w:pPr>
        <w:pStyle w:val="H23GR"/>
      </w:pPr>
      <w:r w:rsidRPr="00774B18">
        <w:tab/>
      </w:r>
      <w:r w:rsidRPr="00B73010">
        <w:t>1</w:t>
      </w:r>
      <w:r w:rsidRPr="004C4D1A">
        <w:t>3</w:t>
      </w:r>
      <w:r w:rsidRPr="00B73010">
        <w:t>.</w:t>
      </w:r>
      <w:r w:rsidRPr="00B73010">
        <w:tab/>
        <w:t>Применение стандартов, касаю</w:t>
      </w:r>
      <w:r>
        <w:t>щихся предотвращения взрывов во</w:t>
      </w:r>
      <w:r>
        <w:rPr>
          <w:lang w:val="en-US"/>
        </w:rPr>
        <w:t> </w:t>
      </w:r>
      <w:r w:rsidRPr="00B73010">
        <w:t>взрывоопасной атмосфере в отношении неэлектрических устройств</w:t>
      </w:r>
    </w:p>
    <w:p w:rsidR="00F77D5F" w:rsidRPr="00B73010" w:rsidRDefault="00F77D5F" w:rsidP="00F77D5F">
      <w:pPr>
        <w:pStyle w:val="SingleTxtGR"/>
        <w:jc w:val="left"/>
      </w:pPr>
      <w:r w:rsidRPr="009775D5">
        <w:rPr>
          <w:i/>
        </w:rPr>
        <w:t xml:space="preserve">Документы: </w:t>
      </w:r>
      <w:r w:rsidRPr="00B73010">
        <w:tab/>
      </w:r>
      <w:r w:rsidRPr="00B73010">
        <w:tab/>
      </w:r>
      <w:r w:rsidRPr="009775D5">
        <w:tab/>
      </w:r>
      <w:r w:rsidRPr="00B73010">
        <w:t xml:space="preserve">ECE/TRANS/WP.15/AC.2/2016/38 </w:t>
      </w:r>
      <w:r w:rsidRPr="009775D5">
        <w:br/>
      </w:r>
      <w:r w:rsidRPr="009775D5">
        <w:tab/>
      </w:r>
      <w:r w:rsidRPr="009775D5">
        <w:tab/>
      </w:r>
      <w:r w:rsidRPr="009775D5">
        <w:tab/>
      </w:r>
      <w:r w:rsidRPr="009775D5">
        <w:tab/>
      </w:r>
      <w:r w:rsidRPr="009775D5">
        <w:tab/>
      </w:r>
      <w:r w:rsidRPr="00B73010">
        <w:t>(ЕСРС, ЕСРПТ и EOС)</w:t>
      </w:r>
      <w:r w:rsidRPr="009775D5">
        <w:br/>
      </w:r>
      <w:r w:rsidRPr="009775D5">
        <w:tab/>
      </w:r>
      <w:r w:rsidRPr="009775D5">
        <w:tab/>
      </w:r>
      <w:r w:rsidRPr="009775D5">
        <w:tab/>
      </w:r>
      <w:r w:rsidRPr="009775D5">
        <w:tab/>
      </w:r>
      <w:r w:rsidRPr="009775D5">
        <w:tab/>
      </w:r>
      <w:r w:rsidRPr="00B73010">
        <w:tab/>
        <w:t>ECE/TRANS/WP.15/AC.2/2016/42</w:t>
      </w:r>
      <w:r w:rsidRPr="00462F41">
        <w:t xml:space="preserve"> </w:t>
      </w:r>
      <w:r w:rsidRPr="009775D5">
        <w:br/>
      </w:r>
      <w:r w:rsidRPr="009775D5">
        <w:tab/>
      </w:r>
      <w:r w:rsidRPr="009775D5">
        <w:tab/>
      </w:r>
      <w:r w:rsidRPr="009775D5">
        <w:tab/>
      </w:r>
      <w:r w:rsidRPr="009775D5">
        <w:tab/>
      </w:r>
      <w:r w:rsidRPr="009775D5">
        <w:tab/>
      </w:r>
      <w:r w:rsidRPr="00B73010">
        <w:t xml:space="preserve">(Рекомендованные классификационные </w:t>
      </w:r>
      <w:r w:rsidRPr="00462F41">
        <w:br/>
      </w:r>
      <w:r w:rsidRPr="00462F41">
        <w:tab/>
      </w:r>
      <w:r w:rsidRPr="00462F41">
        <w:tab/>
      </w:r>
      <w:r w:rsidRPr="00462F41">
        <w:tab/>
      </w:r>
      <w:r w:rsidRPr="00462F41">
        <w:tab/>
      </w:r>
      <w:r w:rsidRPr="00462F41">
        <w:tab/>
      </w:r>
      <w:r w:rsidRPr="00B73010">
        <w:t>общества ВОПОГ)</w:t>
      </w:r>
    </w:p>
    <w:p w:rsidR="00F77D5F" w:rsidRPr="00B73010" w:rsidRDefault="00F77D5F" w:rsidP="00F77D5F">
      <w:pPr>
        <w:pStyle w:val="SingleTxtGR"/>
        <w:jc w:val="left"/>
      </w:pPr>
      <w:r w:rsidRPr="00462F41">
        <w:rPr>
          <w:i/>
        </w:rPr>
        <w:t>Неофициальные документы:</w:t>
      </w:r>
      <w:r w:rsidRPr="00B73010">
        <w:tab/>
        <w:t>INF.9 (Германия)</w:t>
      </w:r>
      <w:r w:rsidRPr="00F316C9">
        <w:br/>
      </w:r>
      <w:r w:rsidRPr="00F316C9">
        <w:tab/>
      </w:r>
      <w:r w:rsidRPr="00F316C9">
        <w:tab/>
      </w:r>
      <w:r w:rsidRPr="00B73010">
        <w:tab/>
      </w:r>
      <w:r w:rsidRPr="00B73010">
        <w:tab/>
      </w:r>
      <w:r w:rsidRPr="00B73010">
        <w:tab/>
      </w:r>
      <w:r w:rsidRPr="00B73010">
        <w:tab/>
        <w:t>INF.21 (ЕСРС и ЕОС)</w:t>
      </w:r>
      <w:r w:rsidRPr="00F316C9">
        <w:br/>
      </w:r>
      <w:r w:rsidRPr="00F316C9">
        <w:tab/>
      </w:r>
      <w:r w:rsidRPr="00F316C9">
        <w:tab/>
      </w:r>
      <w:r w:rsidRPr="00F316C9">
        <w:tab/>
      </w:r>
      <w:r w:rsidRPr="00F316C9">
        <w:tab/>
      </w:r>
      <w:r w:rsidRPr="00F316C9">
        <w:tab/>
      </w:r>
      <w:r w:rsidRPr="00B73010">
        <w:tab/>
        <w:t>INF.22 (ФьюэлзЕуроп)</w:t>
      </w:r>
    </w:p>
    <w:p w:rsidR="00F77D5F" w:rsidRPr="00B73010" w:rsidRDefault="00F77D5F" w:rsidP="00F77D5F">
      <w:pPr>
        <w:pStyle w:val="SingleTxtGR"/>
      </w:pPr>
      <w:r w:rsidRPr="00B73010">
        <w:t>4</w:t>
      </w:r>
      <w:r w:rsidRPr="001A28CF">
        <w:t>1</w:t>
      </w:r>
      <w:r w:rsidRPr="00B73010">
        <w:t>.</w:t>
      </w:r>
      <w:r w:rsidRPr="00B73010">
        <w:tab/>
        <w:t>Эти документы были направлены на то, чтобы разрешить практические проблемы, возникающие в связи с тем толкованием Комитета по вопросам безопасности, что требования для группы взрывоопасности распространяются на любое оборудование судна, в том числе пламегасители, а не только на электрические приборы. На практике возникают две основные проблемы: 1) многие суда оснащены автономными системами защиты против взрывов, маркировка которых не уточняет, к какой группе/подгруппе взрывоопасности они относятся, что затрудняет соответствующие проверки; 2) большинство танкеров оборудованы системами защиты, отвечающими требованиям в отношении подгруппы взрывоопасности II B3, которые считаются достаточными для 97</w:t>
      </w:r>
      <w:r w:rsidRPr="0029441C">
        <w:t>%</w:t>
      </w:r>
      <w:r w:rsidRPr="00B73010">
        <w:t xml:space="preserve"> перевозимых веществ, но недостаточны для других веществ в перечне веществ, разрешенных к перевозке, для которых требуется более высокий уровень защиты, в</w:t>
      </w:r>
      <w:r w:rsidR="00E16340">
        <w:t> </w:t>
      </w:r>
      <w:r w:rsidRPr="00B73010">
        <w:t>частности II B.</w:t>
      </w:r>
    </w:p>
    <w:p w:rsidR="00F77D5F" w:rsidRPr="00B73010" w:rsidRDefault="00F77D5F" w:rsidP="00F77D5F">
      <w:pPr>
        <w:pStyle w:val="SingleTxtGR"/>
      </w:pPr>
      <w:r w:rsidRPr="00D9028C">
        <w:t>42</w:t>
      </w:r>
      <w:r w:rsidRPr="00B73010">
        <w:t>.</w:t>
      </w:r>
      <w:r w:rsidRPr="00B73010">
        <w:tab/>
        <w:t>Поскольку было слишком поздно решать эти проблемы с помощью промежуточных поправок, которые вступят в силу 1 января 2017 года, Комитет по вопросам безопасности постановил, что эти проблемы должны быть решены в качестве первого шага посредством многосторонних соглашений, а затем через поправки, которые вступят в силу 1 января 2019 года после тщательного рассмотрения этого вопроса.</w:t>
      </w:r>
    </w:p>
    <w:p w:rsidR="00A250B8" w:rsidRPr="00B73010" w:rsidRDefault="00A250B8" w:rsidP="00A250B8">
      <w:pPr>
        <w:pStyle w:val="SingleTxtGR"/>
      </w:pPr>
      <w:r w:rsidRPr="00774B18">
        <w:t>43</w:t>
      </w:r>
      <w:r w:rsidRPr="00B73010">
        <w:t>.</w:t>
      </w:r>
      <w:r w:rsidRPr="00B73010">
        <w:tab/>
        <w:t>Для этих целей правительству Нидерландов следует подготовить два многосторонних соглашени</w:t>
      </w:r>
      <w:r>
        <w:t>я</w:t>
      </w:r>
      <w:r w:rsidRPr="00B73010">
        <w:t xml:space="preserve"> на основе следующих принципов: </w:t>
      </w:r>
    </w:p>
    <w:p w:rsidR="00A250B8" w:rsidRPr="00B73010" w:rsidRDefault="00A250B8" w:rsidP="00A250B8">
      <w:pPr>
        <w:pStyle w:val="SingleTxtGR"/>
      </w:pPr>
      <w:r w:rsidRPr="0029441C">
        <w:tab/>
      </w:r>
      <w:r w:rsidRPr="00B73010">
        <w:t>a)</w:t>
      </w:r>
      <w:r w:rsidRPr="00B73010">
        <w:tab/>
        <w:t>немаркированные системы автономной защиты</w:t>
      </w:r>
      <w:r w:rsidRPr="00D9028C">
        <w:t xml:space="preserve"> </w:t>
      </w:r>
      <w:r>
        <w:t xml:space="preserve">в </w:t>
      </w:r>
      <w:r w:rsidRPr="00D9028C">
        <w:t>газоотводн</w:t>
      </w:r>
      <w:r>
        <w:t>ом</w:t>
      </w:r>
      <w:r w:rsidRPr="00D9028C">
        <w:t xml:space="preserve"> трубопровод</w:t>
      </w:r>
      <w:r>
        <w:t>е</w:t>
      </w:r>
      <w:r w:rsidRPr="00B73010">
        <w:t>, установленные на судах, находящихся в эксплуатации, будут считаться пригодными в течение одного года, даже если они не отвечают требованиям, предусмотренным для группы взрывоопасности, к которой относятся перевозимые вещества; впоследствии собственник судна должен будет их заменить идентифицируемыми системами, имеющимися на открытом рынке;</w:t>
      </w:r>
    </w:p>
    <w:p w:rsidR="00A250B8" w:rsidRPr="00B73010" w:rsidRDefault="00A250B8" w:rsidP="00A250B8">
      <w:pPr>
        <w:pStyle w:val="SingleTxtGR"/>
      </w:pPr>
      <w:r w:rsidRPr="00F316C9">
        <w:tab/>
      </w:r>
      <w:r w:rsidRPr="00B73010">
        <w:t>b)</w:t>
      </w:r>
      <w:r w:rsidRPr="00B73010">
        <w:tab/>
        <w:t>суда, оснащенные системами защиты, отвечающими требованиям для подгруппы взрывоопасности II B3, смогут по-прежнему перевозить вещества, упомянутые в перечне веществ, разрешенных к перевозке на основании свидетельства о допущении, до 31 декабря 2018 года, а затем – до даты возобновления свидетельства о допущении. Если в этот перечень включены вещества, для которых предусмотрены более жестк</w:t>
      </w:r>
      <w:r>
        <w:t>ие требования (группа </w:t>
      </w:r>
      <w:r w:rsidRPr="00B73010">
        <w:t>II B), то</w:t>
      </w:r>
      <w:r w:rsidR="00B54C8A">
        <w:t> </w:t>
      </w:r>
      <w:r w:rsidRPr="00B73010">
        <w:t>владелец может по своему выбору либо вложить средства в установку систем, отвечающим более строгим требованиям, с тем чтобы продолжать перевозить все вещества, которые до этого были разрешены к перевозке, либо оставить установленные системы, отве</w:t>
      </w:r>
      <w:r>
        <w:t>чающие требованиям подгруппы</w:t>
      </w:r>
      <w:r>
        <w:rPr>
          <w:lang w:val="en-US"/>
        </w:rPr>
        <w:t> </w:t>
      </w:r>
      <w:r>
        <w:t>II</w:t>
      </w:r>
      <w:r>
        <w:rPr>
          <w:lang w:val="en-US"/>
        </w:rPr>
        <w:t> </w:t>
      </w:r>
      <w:r w:rsidRPr="00B73010">
        <w:t>В3, и соответственно сократить число разрешенных веществ, включенных в перечень.</w:t>
      </w:r>
    </w:p>
    <w:p w:rsidR="00A250B8" w:rsidRPr="00B73010" w:rsidRDefault="00A250B8" w:rsidP="00A250B8">
      <w:pPr>
        <w:pStyle w:val="SingleTxtGR"/>
      </w:pPr>
      <w:r>
        <w:t>44</w:t>
      </w:r>
      <w:r w:rsidRPr="00B73010">
        <w:t>.</w:t>
      </w:r>
      <w:r w:rsidRPr="00B73010">
        <w:tab/>
        <w:t>Наряду с этим в адрес неофициальной рабочей группы по веществам была обращена просьба изучить предложения, содержащиеся в неофициальных документ</w:t>
      </w:r>
      <w:r w:rsidR="00E16340">
        <w:t>ах INF.21 и INF.22, в частности</w:t>
      </w:r>
      <w:r w:rsidRPr="00B73010">
        <w:t xml:space="preserve"> решить</w:t>
      </w:r>
      <w:r>
        <w:t xml:space="preserve"> вопрос в отношении позиций </w:t>
      </w:r>
      <w:r w:rsidRPr="00B73010">
        <w:t>Н.У.К. в таблице C посредством:</w:t>
      </w:r>
    </w:p>
    <w:p w:rsidR="00A250B8" w:rsidRPr="00B73010" w:rsidRDefault="00A250B8" w:rsidP="00A250B8">
      <w:pPr>
        <w:pStyle w:val="Bullet1GR"/>
      </w:pPr>
      <w:r w:rsidRPr="00B73010">
        <w:t>добавления впоследствии для позиций Н.У.К. примечания, предусматривающего отступления в соответствующих случаях;</w:t>
      </w:r>
    </w:p>
    <w:p w:rsidR="00A250B8" w:rsidRPr="00F316C9" w:rsidRDefault="00A250B8" w:rsidP="00A250B8">
      <w:pPr>
        <w:pStyle w:val="Bullet1GR"/>
      </w:pPr>
      <w:r w:rsidRPr="00B73010">
        <w:t>добавления новых строчек Н.У.К. для веществ или смесей, обычно перевозимых в больших количествах в соответствии с позициями Н.У.К., при этом понимается, что специалисты будут направлять непосредственно группе соответствующую информацию, позволяющую выявлять такие случаи и требуемые группы или подгруппы взрывоопасности.</w:t>
      </w:r>
    </w:p>
    <w:p w:rsidR="00A250B8" w:rsidRPr="00B40859" w:rsidRDefault="00A250B8" w:rsidP="00A250B8">
      <w:pPr>
        <w:pStyle w:val="HChGR"/>
      </w:pPr>
      <w:r w:rsidRPr="00C62116">
        <w:tab/>
      </w:r>
      <w:r w:rsidRPr="00B40859">
        <w:rPr>
          <w:lang w:val="fr-FR"/>
        </w:rPr>
        <w:t>VI</w:t>
      </w:r>
      <w:r>
        <w:t>.</w:t>
      </w:r>
      <w:r w:rsidRPr="00B40859">
        <w:tab/>
        <w:t xml:space="preserve">Доклады неофициальных рабочих групп </w:t>
      </w:r>
      <w:r w:rsidRPr="00B40859">
        <w:br/>
        <w:t>(пункт 5 повестки дня)</w:t>
      </w:r>
    </w:p>
    <w:p w:rsidR="00A250B8" w:rsidRPr="00B40859" w:rsidRDefault="00A250B8" w:rsidP="00A250B8">
      <w:pPr>
        <w:pStyle w:val="H1GR"/>
      </w:pPr>
      <w:r w:rsidRPr="00B40859">
        <w:tab/>
      </w:r>
      <w:r w:rsidRPr="00B40859">
        <w:rPr>
          <w:lang w:val="fr-FR"/>
        </w:rPr>
        <w:t>A</w:t>
      </w:r>
      <w:r w:rsidRPr="00B40859">
        <w:t>.</w:t>
      </w:r>
      <w:r w:rsidRPr="00B40859">
        <w:tab/>
        <w:t>Неофициальная рабочая группа по защите против взрывов на</w:t>
      </w:r>
      <w:r w:rsidRPr="00B40859">
        <w:rPr>
          <w:lang w:val="fr-FR"/>
        </w:rPr>
        <w:t> </w:t>
      </w:r>
      <w:r w:rsidRPr="00B40859">
        <w:t>танкерах</w:t>
      </w:r>
    </w:p>
    <w:p w:rsidR="00A250B8" w:rsidRPr="00B40859" w:rsidRDefault="00A250B8" w:rsidP="00A250B8">
      <w:pPr>
        <w:pStyle w:val="SingleTxtGR"/>
        <w:tabs>
          <w:tab w:val="clear" w:pos="3969"/>
          <w:tab w:val="left" w:pos="3828"/>
        </w:tabs>
      </w:pPr>
      <w:r w:rsidRPr="00B40859">
        <w:rPr>
          <w:i/>
        </w:rPr>
        <w:t>Документ</w:t>
      </w:r>
      <w:r w:rsidRPr="00B40859">
        <w:t>:</w:t>
      </w:r>
      <w:r w:rsidRPr="00B40859">
        <w:tab/>
      </w:r>
      <w:r w:rsidRPr="00B40859">
        <w:tab/>
      </w:r>
      <w:r w:rsidRPr="00C62116">
        <w:tab/>
      </w:r>
      <w:r w:rsidRPr="00B40859">
        <w:tab/>
      </w:r>
      <w:r w:rsidRPr="00B40859">
        <w:rPr>
          <w:lang w:val="fr-FR"/>
        </w:rPr>
        <w:t>ECE</w:t>
      </w:r>
      <w:r w:rsidRPr="00B40859">
        <w:t>/</w:t>
      </w:r>
      <w:r w:rsidRPr="00B40859">
        <w:rPr>
          <w:lang w:val="fr-FR"/>
        </w:rPr>
        <w:t>TRANS</w:t>
      </w:r>
      <w:r w:rsidRPr="00B40859">
        <w:t>/</w:t>
      </w:r>
      <w:r w:rsidRPr="00B40859">
        <w:rPr>
          <w:lang w:val="fr-FR"/>
        </w:rPr>
        <w:t>WP</w:t>
      </w:r>
      <w:r w:rsidRPr="00B40859">
        <w:t>.15/</w:t>
      </w:r>
      <w:r w:rsidRPr="00B40859">
        <w:rPr>
          <w:lang w:val="fr-FR"/>
        </w:rPr>
        <w:t>AC</w:t>
      </w:r>
      <w:r w:rsidRPr="00B40859">
        <w:t xml:space="preserve">.2/2016/30 и </w:t>
      </w:r>
      <w:r w:rsidRPr="00B40859">
        <w:rPr>
          <w:lang w:val="fr-FR"/>
        </w:rPr>
        <w:t>Corr</w:t>
      </w:r>
      <w:r w:rsidRPr="00B40859">
        <w:t>.1 (ЦКСР)</w:t>
      </w:r>
    </w:p>
    <w:p w:rsidR="00A250B8" w:rsidRPr="00B40859" w:rsidRDefault="00A250B8" w:rsidP="00A250B8">
      <w:pPr>
        <w:pStyle w:val="SingleTxtGR"/>
        <w:tabs>
          <w:tab w:val="clear" w:pos="3969"/>
          <w:tab w:val="left" w:pos="3828"/>
        </w:tabs>
        <w:spacing w:after="0"/>
      </w:pPr>
      <w:r w:rsidRPr="00B40859">
        <w:rPr>
          <w:i/>
        </w:rPr>
        <w:t>Неофициальные документы</w:t>
      </w:r>
      <w:r w:rsidRPr="00B40859">
        <w:t>:</w:t>
      </w:r>
      <w:r w:rsidRPr="00B40859">
        <w:tab/>
      </w:r>
      <w:r w:rsidRPr="00B40859">
        <w:rPr>
          <w:lang w:val="fr-FR"/>
        </w:rPr>
        <w:t>INF</w:t>
      </w:r>
      <w:r w:rsidRPr="00B40859">
        <w:t>.13</w:t>
      </w:r>
      <w:r>
        <w:t>,</w:t>
      </w:r>
      <w:r w:rsidRPr="00041C75">
        <w:t xml:space="preserve"> </w:t>
      </w:r>
      <w:r w:rsidRPr="00B40859">
        <w:rPr>
          <w:lang w:val="fr-FR"/>
        </w:rPr>
        <w:t>INF</w:t>
      </w:r>
      <w:r w:rsidRPr="00B40859">
        <w:t>.</w:t>
      </w:r>
      <w:r>
        <w:t xml:space="preserve">28 и </w:t>
      </w:r>
      <w:r w:rsidRPr="00B40859">
        <w:rPr>
          <w:lang w:val="fr-FR"/>
        </w:rPr>
        <w:t>INF</w:t>
      </w:r>
      <w:r w:rsidRPr="00B40859">
        <w:t>.</w:t>
      </w:r>
      <w:r>
        <w:t>29</w:t>
      </w:r>
      <w:r w:rsidRPr="00B40859">
        <w:t xml:space="preserve"> (ЦКСР)</w:t>
      </w:r>
    </w:p>
    <w:p w:rsidR="00A250B8" w:rsidRPr="00B40859" w:rsidRDefault="00A250B8" w:rsidP="00A250B8">
      <w:pPr>
        <w:pStyle w:val="SingleTxtGR"/>
        <w:tabs>
          <w:tab w:val="clear" w:pos="3969"/>
          <w:tab w:val="left" w:pos="3828"/>
        </w:tabs>
      </w:pPr>
      <w:r w:rsidRPr="00B40859">
        <w:tab/>
      </w:r>
      <w:r w:rsidRPr="00B40859">
        <w:tab/>
      </w:r>
      <w:r w:rsidRPr="00B40859">
        <w:tab/>
      </w:r>
      <w:r w:rsidRPr="00B40859">
        <w:tab/>
      </w:r>
      <w:r w:rsidRPr="00B40859">
        <w:tab/>
      </w:r>
      <w:r w:rsidRPr="00B40859">
        <w:rPr>
          <w:lang w:val="fr-FR"/>
        </w:rPr>
        <w:t>INF</w:t>
      </w:r>
      <w:r w:rsidRPr="00B40859">
        <w:t>.16 (Австрия)</w:t>
      </w:r>
    </w:p>
    <w:p w:rsidR="00A250B8" w:rsidRPr="00B40859" w:rsidRDefault="00A250B8" w:rsidP="00A250B8">
      <w:pPr>
        <w:pStyle w:val="SingleTxtGR"/>
      </w:pPr>
      <w:r w:rsidRPr="00B40859">
        <w:t>4</w:t>
      </w:r>
      <w:r>
        <w:t>5</w:t>
      </w:r>
      <w:r w:rsidRPr="00B40859">
        <w:t>.</w:t>
      </w:r>
      <w:r w:rsidRPr="00B40859">
        <w:tab/>
        <w:t>Комитет по вопросам безопасности выразил удовлетворение в связи с завершением работы неофициальной рабочей группы и представлением исчерпывающего перечня изменений, которые должны вступить в силу в 2017 году.</w:t>
      </w:r>
    </w:p>
    <w:p w:rsidR="00A250B8" w:rsidRPr="00B40859" w:rsidRDefault="00A250B8" w:rsidP="00A250B8">
      <w:pPr>
        <w:pStyle w:val="SingleTxtGR"/>
      </w:pPr>
      <w:r w:rsidRPr="00B40859">
        <w:t>4</w:t>
      </w:r>
      <w:r>
        <w:t>6</w:t>
      </w:r>
      <w:r w:rsidRPr="00B40859">
        <w:t>.</w:t>
      </w:r>
      <w:r w:rsidRPr="00B40859">
        <w:tab/>
        <w:t xml:space="preserve">Сотрудник секретариата указал, что, к сожалению, ввиду большого объема официального документа </w:t>
      </w:r>
      <w:r w:rsidR="00E16340" w:rsidRPr="00B40859">
        <w:rPr>
          <w:lang w:val="fr-FR"/>
        </w:rPr>
        <w:t>ECE</w:t>
      </w:r>
      <w:r w:rsidR="00E16340" w:rsidRPr="00B40859">
        <w:t>/</w:t>
      </w:r>
      <w:r w:rsidR="00E16340" w:rsidRPr="00B40859">
        <w:rPr>
          <w:lang w:val="fr-FR"/>
        </w:rPr>
        <w:t>TRANS</w:t>
      </w:r>
      <w:r w:rsidR="00E16340" w:rsidRPr="00B40859">
        <w:t>/</w:t>
      </w:r>
      <w:r w:rsidR="00E16340" w:rsidRPr="00B40859">
        <w:rPr>
          <w:lang w:val="fr-FR"/>
        </w:rPr>
        <w:t>WP</w:t>
      </w:r>
      <w:r w:rsidR="00E16340" w:rsidRPr="00B40859">
        <w:t>.15/</w:t>
      </w:r>
      <w:r w:rsidR="00E16340" w:rsidRPr="00B40859">
        <w:rPr>
          <w:lang w:val="fr-FR"/>
        </w:rPr>
        <w:t>AC</w:t>
      </w:r>
      <w:r w:rsidR="00E16340" w:rsidRPr="00B40859">
        <w:t>.2</w:t>
      </w:r>
      <w:r w:rsidR="00E16340">
        <w:t>/</w:t>
      </w:r>
      <w:r w:rsidRPr="00B40859">
        <w:t>2016/30 и многочисленных исправлений, полученных с запозданием, невозможно было получить переводы на русский и французский языки до открытия сессии и что с учетом абсолютно необходимых проверок варианта на французском языке, который станет подлинным текстом поправок, представляется сложным окончательно принять их в ходе нынешней сессии. Кроме того, учитывая процедуры, изложенные в статье 20 Соглашения, данные поправки не смогут вступить в силу 1 января 2017 года, поскольку необходимо предусмотреть минимальный период, составляющий шесть месяцев, между сообщением предлагаемых поправок Договаривающимся сторонам и вступлением поправок в силу. Более того, нет уверенности в том, что поправки удастся подготовить в окончательном виде для вступления в силу 1 июля 2017 года, а подготовка второго набора поправок для издания 2017 года может привести к значительной задержке с выпуском сводного варианта 2017 года в ущерб применению других поправок, вступление которых в силу предусмотрено с 1 января 2017 года.</w:t>
      </w:r>
    </w:p>
    <w:p w:rsidR="00A250B8" w:rsidRPr="00B40859" w:rsidRDefault="00A250B8" w:rsidP="00A250B8">
      <w:pPr>
        <w:pStyle w:val="SingleTxtGR"/>
      </w:pPr>
      <w:r w:rsidRPr="00B40859">
        <w:t>4</w:t>
      </w:r>
      <w:r>
        <w:t>7</w:t>
      </w:r>
      <w:r w:rsidRPr="00B40859">
        <w:t>.</w:t>
      </w:r>
      <w:r w:rsidRPr="00B40859">
        <w:tab/>
        <w:t>После обмена мнениями по данному вопросу Комитет по вопросам безопасности решил, что будет предпочтительным отложить вступление в силу этих поправок до 1 января 2019 года, что позволит обеспечить их тщательную подготовку.</w:t>
      </w:r>
    </w:p>
    <w:p w:rsidR="00A250B8" w:rsidRPr="00B40859" w:rsidRDefault="00A250B8" w:rsidP="00A250B8">
      <w:pPr>
        <w:pStyle w:val="SingleTxtGR"/>
      </w:pPr>
      <w:r w:rsidRPr="00B40859">
        <w:t>4</w:t>
      </w:r>
      <w:r>
        <w:t>8</w:t>
      </w:r>
      <w:r w:rsidRPr="00B40859">
        <w:t>.</w:t>
      </w:r>
      <w:r w:rsidRPr="00B40859">
        <w:tab/>
        <w:t>Затем Комитет по вопросам безопасности рассмотрел все предлагаемые поправки и исправления и принял их с некоторыми изменениями</w:t>
      </w:r>
      <w:r>
        <w:t xml:space="preserve">, </w:t>
      </w:r>
      <w:r w:rsidRPr="00B666BB">
        <w:t>как указано в документе ECE/TRANS/WP.15/AC.2/2016/CRP.4/Add.1.</w:t>
      </w:r>
    </w:p>
    <w:p w:rsidR="00A250B8" w:rsidRPr="00B73010" w:rsidRDefault="00A250B8" w:rsidP="00A250B8">
      <w:pPr>
        <w:pStyle w:val="SingleTxtGR"/>
      </w:pPr>
      <w:r w:rsidRPr="00B73010">
        <w:t>4</w:t>
      </w:r>
      <w:r>
        <w:t>9</w:t>
      </w:r>
      <w:r w:rsidRPr="00B73010">
        <w:t>.</w:t>
      </w:r>
      <w:r w:rsidRPr="00B73010">
        <w:tab/>
        <w:t xml:space="preserve">Поправки, касающиеся пунктов 9.1.0.12.3 и 9.3.x.12.4, были заключены в скобки, поскольку вариант вводной фразы в предлагаемых новых текстах оказался неверным и для улучшения понимания потребовал упрощения. </w:t>
      </w:r>
      <w:r w:rsidRPr="00442084">
        <w:t>Новые предложения по вопросам, поднятым в ходе сессии</w:t>
      </w:r>
      <w:r>
        <w:t>,</w:t>
      </w:r>
      <w:r w:rsidRPr="00442084">
        <w:t xml:space="preserve"> будут рассмотрены неофициальной рабочей группой.</w:t>
      </w:r>
    </w:p>
    <w:p w:rsidR="00A250B8" w:rsidRPr="00B73010" w:rsidRDefault="00626362" w:rsidP="00A250B8">
      <w:pPr>
        <w:pStyle w:val="SingleTxtGR"/>
      </w:pPr>
      <w:r>
        <w:t>50</w:t>
      </w:r>
      <w:r w:rsidR="00A250B8" w:rsidRPr="00B73010">
        <w:t>.</w:t>
      </w:r>
      <w:r w:rsidR="00A250B8" w:rsidRPr="00B73010">
        <w:tab/>
        <w:t xml:space="preserve">Секретариатам ЕЭК ООН и ЦКСР было поручено подготовить новый документ, содержащий все поправки, которые были приняты и сформулированы в правильном с юридической точки зрения формате. Этот документ должен быть обсужден во втором чтении в ходе сессии в августе 2017 года. </w:t>
      </w:r>
    </w:p>
    <w:p w:rsidR="00A250B8" w:rsidRPr="00B73010" w:rsidRDefault="00A250B8" w:rsidP="00A250B8">
      <w:pPr>
        <w:pStyle w:val="H1GR"/>
      </w:pPr>
      <w:r w:rsidRPr="00B73010">
        <w:tab/>
        <w:t>B.</w:t>
      </w:r>
      <w:r w:rsidRPr="00B73010">
        <w:tab/>
        <w:t xml:space="preserve">Доклад неофициальной рабочей группы по сжиженному природному газу (СПГ) </w:t>
      </w:r>
    </w:p>
    <w:p w:rsidR="00A250B8" w:rsidRPr="00B73010" w:rsidRDefault="00A250B8" w:rsidP="00A250B8">
      <w:pPr>
        <w:pStyle w:val="SingleTxtGR"/>
      </w:pPr>
      <w:r w:rsidRPr="009775D5">
        <w:rPr>
          <w:i/>
        </w:rPr>
        <w:t>Документ</w:t>
      </w:r>
      <w:r w:rsidRPr="00455A36">
        <w:rPr>
          <w:i/>
        </w:rPr>
        <w:t>:</w:t>
      </w:r>
      <w:r w:rsidRPr="00B73010">
        <w:t xml:space="preserve"> </w:t>
      </w:r>
      <w:r w:rsidRPr="00B73010">
        <w:tab/>
      </w:r>
      <w:r w:rsidRPr="00B73010">
        <w:tab/>
      </w:r>
      <w:r w:rsidRPr="009775D5">
        <w:tab/>
      </w:r>
      <w:r w:rsidRPr="009775D5">
        <w:tab/>
      </w:r>
      <w:r w:rsidRPr="00B73010">
        <w:t xml:space="preserve">ECE/TRANS/WP.15/AC.2/2016/46 </w:t>
      </w:r>
      <w:r w:rsidRPr="009775D5">
        <w:br/>
      </w:r>
      <w:r w:rsidRPr="009775D5">
        <w:tab/>
      </w:r>
      <w:r w:rsidRPr="009775D5">
        <w:tab/>
      </w:r>
      <w:r w:rsidRPr="00442084">
        <w:tab/>
      </w:r>
      <w:r w:rsidRPr="00442084">
        <w:tab/>
      </w:r>
      <w:r w:rsidRPr="009775D5">
        <w:tab/>
      </w:r>
      <w:r w:rsidRPr="00B73010">
        <w:t>(Нидерланды и Швейцария)</w:t>
      </w:r>
    </w:p>
    <w:p w:rsidR="00A250B8" w:rsidRPr="00B73010" w:rsidRDefault="00A250B8" w:rsidP="00A250B8">
      <w:pPr>
        <w:pStyle w:val="SingleTxtGR"/>
      </w:pPr>
      <w:r>
        <w:t>51</w:t>
      </w:r>
      <w:r w:rsidRPr="00B73010">
        <w:t>.</w:t>
      </w:r>
      <w:r w:rsidRPr="00B73010">
        <w:tab/>
        <w:t>Комитет по вопросам безопасности принял к сведению доклад о работе группы и сделал выбор в пользу варианта C в плане дальнейшей работы, при условии, однако, что глава 30 и приложение 8 стандарта ES-TRIN должны иметься на рабочих языках, с тем чтобы государства, не являющиеся членами Европейского союза, могли принять обоснованное решение.</w:t>
      </w:r>
    </w:p>
    <w:p w:rsidR="00A250B8" w:rsidRPr="00B73010" w:rsidRDefault="00A250B8" w:rsidP="00A250B8">
      <w:pPr>
        <w:pStyle w:val="SingleTxtGR"/>
      </w:pPr>
      <w:r>
        <w:t>52</w:t>
      </w:r>
      <w:r w:rsidRPr="00B73010">
        <w:t>.</w:t>
      </w:r>
      <w:r w:rsidRPr="00B73010">
        <w:tab/>
        <w:t>Неофициальная</w:t>
      </w:r>
      <w:r w:rsidRPr="00A745DF">
        <w:rPr>
          <w:spacing w:val="2"/>
        </w:rPr>
        <w:t xml:space="preserve"> рабочая группа вновь соберется 21 и 22 сентября 2016</w:t>
      </w:r>
      <w:r w:rsidR="00A745DF" w:rsidRPr="00A745DF">
        <w:rPr>
          <w:spacing w:val="2"/>
        </w:rPr>
        <w:t xml:space="preserve"> </w:t>
      </w:r>
      <w:r w:rsidRPr="00B73010">
        <w:t>года и подготовит предложение к следующей сессии.</w:t>
      </w:r>
    </w:p>
    <w:p w:rsidR="00A250B8" w:rsidRPr="000C696E" w:rsidRDefault="00A250B8" w:rsidP="00A250B8">
      <w:pPr>
        <w:pStyle w:val="H1GR"/>
      </w:pPr>
      <w:r>
        <w:tab/>
      </w:r>
      <w:r w:rsidRPr="000C696E">
        <w:t>С.</w:t>
      </w:r>
      <w:r>
        <w:tab/>
      </w:r>
      <w:r w:rsidRPr="000C696E">
        <w:t>Неофициальн</w:t>
      </w:r>
      <w:r>
        <w:t>ая</w:t>
      </w:r>
      <w:r w:rsidRPr="000C696E">
        <w:t xml:space="preserve"> рабочая группа по дегазации грузовых танков</w:t>
      </w:r>
    </w:p>
    <w:p w:rsidR="00A250B8" w:rsidRPr="002D30A3" w:rsidRDefault="00A250B8" w:rsidP="00A250B8">
      <w:pPr>
        <w:pStyle w:val="SingleTxtGR"/>
      </w:pPr>
      <w:r>
        <w:rPr>
          <w:i/>
          <w:iCs/>
        </w:rPr>
        <w:t>Документ</w:t>
      </w:r>
      <w:r w:rsidRPr="002D30A3">
        <w:rPr>
          <w:i/>
          <w:iCs/>
        </w:rPr>
        <w:t>:</w:t>
      </w:r>
      <w:r w:rsidRPr="002D30A3">
        <w:t xml:space="preserve"> </w:t>
      </w:r>
      <w:r w:rsidRPr="002D30A3">
        <w:tab/>
      </w:r>
      <w:r w:rsidR="00B54C8A">
        <w:tab/>
      </w:r>
      <w:r w:rsidR="00B54C8A">
        <w:tab/>
      </w:r>
      <w:r w:rsidR="00B54C8A">
        <w:tab/>
      </w:r>
      <w:r w:rsidRPr="002D30A3">
        <w:rPr>
          <w:lang w:val="en-US"/>
        </w:rPr>
        <w:t>ECE</w:t>
      </w:r>
      <w:r w:rsidRPr="002D30A3">
        <w:t>/</w:t>
      </w:r>
      <w:r w:rsidRPr="002D30A3">
        <w:rPr>
          <w:lang w:val="en-US"/>
        </w:rPr>
        <w:t>TRANS</w:t>
      </w:r>
      <w:r w:rsidRPr="002D30A3">
        <w:t>/</w:t>
      </w:r>
      <w:r w:rsidRPr="002D30A3">
        <w:rPr>
          <w:lang w:val="en-US"/>
        </w:rPr>
        <w:t>WP</w:t>
      </w:r>
      <w:r w:rsidRPr="002D30A3">
        <w:t>.15/</w:t>
      </w:r>
      <w:r w:rsidRPr="002D30A3">
        <w:rPr>
          <w:lang w:val="en-US"/>
        </w:rPr>
        <w:t>AC</w:t>
      </w:r>
      <w:r w:rsidRPr="002D30A3">
        <w:t>.2/2016/49 (Нидерланды)</w:t>
      </w:r>
    </w:p>
    <w:p w:rsidR="00A250B8" w:rsidRPr="00FF12B5" w:rsidRDefault="00A250B8" w:rsidP="00B54C8A">
      <w:pPr>
        <w:pStyle w:val="SingleTxtGR"/>
        <w:ind w:left="3969" w:hanging="2835"/>
        <w:jc w:val="left"/>
      </w:pPr>
      <w:r>
        <w:rPr>
          <w:i/>
          <w:iCs/>
        </w:rPr>
        <w:t>Неофициальные</w:t>
      </w:r>
      <w:r w:rsidRPr="00774B18">
        <w:rPr>
          <w:i/>
          <w:iCs/>
        </w:rPr>
        <w:t xml:space="preserve"> </w:t>
      </w:r>
      <w:r>
        <w:rPr>
          <w:i/>
          <w:iCs/>
        </w:rPr>
        <w:t>документы</w:t>
      </w:r>
      <w:r w:rsidRPr="00774B18">
        <w:rPr>
          <w:i/>
          <w:iCs/>
        </w:rPr>
        <w:t>:</w:t>
      </w:r>
      <w:r w:rsidRPr="00774B18">
        <w:tab/>
      </w:r>
      <w:r w:rsidRPr="000C7B27">
        <w:t>INF</w:t>
      </w:r>
      <w:r w:rsidRPr="00774B18">
        <w:t>.8 (</w:t>
      </w:r>
      <w:r>
        <w:t>Германия</w:t>
      </w:r>
      <w:r w:rsidRPr="00774B18">
        <w:t>)</w:t>
      </w:r>
      <w:r w:rsidR="00B54C8A">
        <w:br/>
      </w:r>
      <w:r w:rsidRPr="000C7B27">
        <w:t>INF</w:t>
      </w:r>
      <w:r w:rsidRPr="002D30A3">
        <w:t xml:space="preserve">.12 </w:t>
      </w:r>
      <w:r>
        <w:t>и</w:t>
      </w:r>
      <w:r w:rsidRPr="002D30A3">
        <w:t xml:space="preserve"> </w:t>
      </w:r>
      <w:r w:rsidRPr="000C7B27">
        <w:t>Add</w:t>
      </w:r>
      <w:r w:rsidRPr="002D30A3">
        <w:t xml:space="preserve">.1 (ЦКСР от имени секретариата </w:t>
      </w:r>
      <w:r w:rsidRPr="00EE31BD">
        <w:t>КОВВП</w:t>
      </w:r>
      <w:r w:rsidRPr="002D30A3">
        <w:t>)</w:t>
      </w:r>
      <w:r w:rsidR="00B54C8A">
        <w:br/>
      </w:r>
      <w:r w:rsidRPr="000C7B27">
        <w:t>INF</w:t>
      </w:r>
      <w:r w:rsidRPr="00FF12B5">
        <w:t>.15 (Нидерланды)</w:t>
      </w:r>
    </w:p>
    <w:p w:rsidR="00A250B8" w:rsidRPr="00EE31BD" w:rsidRDefault="00A250B8" w:rsidP="00A250B8">
      <w:pPr>
        <w:pStyle w:val="SingleTxtGR"/>
      </w:pPr>
      <w:r w:rsidRPr="00FF12B5">
        <w:t>53.</w:t>
      </w:r>
      <w:r w:rsidRPr="00FF12B5">
        <w:tab/>
      </w:r>
      <w:r w:rsidRPr="00EE31BD">
        <w:t xml:space="preserve">Комитет по </w:t>
      </w:r>
      <w:r>
        <w:t xml:space="preserve">вопросам </w:t>
      </w:r>
      <w:r w:rsidRPr="00EE31BD">
        <w:t xml:space="preserve">безопасности рассмотрел предложения неофициальной группы и представил свои замечания, чтобы </w:t>
      </w:r>
      <w:r>
        <w:t xml:space="preserve">позволить этой </w:t>
      </w:r>
      <w:r w:rsidRPr="00EE31BD">
        <w:t xml:space="preserve">группе добиться дальнейшего прогресса на </w:t>
      </w:r>
      <w:r>
        <w:t>ее</w:t>
      </w:r>
      <w:r w:rsidRPr="00EE31BD">
        <w:t xml:space="preserve"> следующей сессии, в частности в отношении следующих вопросов.</w:t>
      </w:r>
    </w:p>
    <w:p w:rsidR="00A250B8" w:rsidRPr="00FF12B5" w:rsidRDefault="00A250B8" w:rsidP="00A250B8">
      <w:pPr>
        <w:pStyle w:val="SingleTxtGR"/>
      </w:pPr>
      <w:r w:rsidRPr="00E77A7D">
        <w:t>54.</w:t>
      </w:r>
      <w:r w:rsidRPr="00E77A7D">
        <w:tab/>
      </w:r>
      <w:r w:rsidRPr="00FF12B5">
        <w:t xml:space="preserve">Комитет </w:t>
      </w:r>
      <w:r>
        <w:t xml:space="preserve">по вопросам безопасности </w:t>
      </w:r>
      <w:r w:rsidRPr="00FF12B5">
        <w:t xml:space="preserve">отметил, что в настоящее время проводится обзор </w:t>
      </w:r>
      <w:r w:rsidRPr="00DA7766">
        <w:t>Конвенции о сборе, сдаче и приеме отходов, образующихся при судоходстве на Рейне и на других водных путях (КОВВП)</w:t>
      </w:r>
      <w:r>
        <w:t xml:space="preserve"> в целях предусмотреть</w:t>
      </w:r>
      <w:r w:rsidRPr="00FF12B5">
        <w:t xml:space="preserve"> </w:t>
      </w:r>
      <w:r>
        <w:t>обработку</w:t>
      </w:r>
      <w:r w:rsidRPr="00FF12B5">
        <w:t xml:space="preserve"> газообразных остатков (паров) жидких грузов</w:t>
      </w:r>
      <w:r>
        <w:t>.</w:t>
      </w:r>
      <w:r w:rsidRPr="00FF12B5">
        <w:t xml:space="preserve"> </w:t>
      </w:r>
      <w:r>
        <w:t xml:space="preserve">В </w:t>
      </w:r>
      <w:r w:rsidRPr="00FF12B5">
        <w:t>проект</w:t>
      </w:r>
      <w:r>
        <w:t>е</w:t>
      </w:r>
      <w:r w:rsidRPr="00FF12B5">
        <w:t xml:space="preserve"> предлагаем</w:t>
      </w:r>
      <w:r>
        <w:t>ого</w:t>
      </w:r>
      <w:r w:rsidRPr="00FF12B5">
        <w:t xml:space="preserve"> текста </w:t>
      </w:r>
      <w:r w:rsidRPr="00DA7766">
        <w:t>КОВВП</w:t>
      </w:r>
      <w:r w:rsidRPr="00FF12B5">
        <w:t xml:space="preserve"> определение «дегазаци</w:t>
      </w:r>
      <w:r>
        <w:t>я</w:t>
      </w:r>
      <w:r w:rsidRPr="00FF12B5">
        <w:t xml:space="preserve">» </w:t>
      </w:r>
      <w:r>
        <w:t xml:space="preserve">было </w:t>
      </w:r>
      <w:r w:rsidRPr="00FF12B5">
        <w:t>ограничен</w:t>
      </w:r>
      <w:r>
        <w:t>о</w:t>
      </w:r>
      <w:r w:rsidRPr="00FF12B5">
        <w:t xml:space="preserve"> </w:t>
      </w:r>
      <w:r>
        <w:t>улавливанием</w:t>
      </w:r>
      <w:r w:rsidRPr="00513196">
        <w:t xml:space="preserve"> </w:t>
      </w:r>
      <w:r w:rsidRPr="00FF12B5">
        <w:t xml:space="preserve">паров, а дегазация </w:t>
      </w:r>
      <w:r>
        <w:t xml:space="preserve">путем </w:t>
      </w:r>
      <w:r w:rsidRPr="00FF12B5">
        <w:t>выброс</w:t>
      </w:r>
      <w:r>
        <w:t>а</w:t>
      </w:r>
      <w:r w:rsidRPr="00FF12B5">
        <w:t xml:space="preserve"> в атмосферу наз</w:t>
      </w:r>
      <w:r>
        <w:t>вана</w:t>
      </w:r>
      <w:r w:rsidRPr="00FF12B5">
        <w:t xml:space="preserve"> «вентиляци</w:t>
      </w:r>
      <w:r>
        <w:t>ей</w:t>
      </w:r>
      <w:r w:rsidRPr="00FF12B5">
        <w:t>»</w:t>
      </w:r>
      <w:r>
        <w:t>, а</w:t>
      </w:r>
      <w:r w:rsidR="00A745DF">
        <w:t> </w:t>
      </w:r>
      <w:r>
        <w:t>не</w:t>
      </w:r>
      <w:r w:rsidRPr="00FF12B5">
        <w:t xml:space="preserve"> «дегазаци</w:t>
      </w:r>
      <w:r>
        <w:t>ей</w:t>
      </w:r>
      <w:r w:rsidRPr="00FF12B5">
        <w:t>».</w:t>
      </w:r>
      <w:r w:rsidRPr="00E77A7D">
        <w:t xml:space="preserve"> </w:t>
      </w:r>
      <w:r w:rsidRPr="00FF12B5">
        <w:t xml:space="preserve">Хотя </w:t>
      </w:r>
      <w:r>
        <w:t>было условлено, что</w:t>
      </w:r>
      <w:r w:rsidRPr="00FF12B5">
        <w:t xml:space="preserve"> следует избегать расхождений между ВОПОГ и </w:t>
      </w:r>
      <w:r>
        <w:t>КОВВП</w:t>
      </w:r>
      <w:r w:rsidRPr="00FF12B5">
        <w:t xml:space="preserve">, </w:t>
      </w:r>
      <w:r>
        <w:t>ряд</w:t>
      </w:r>
      <w:r w:rsidRPr="00FF12B5">
        <w:t xml:space="preserve"> делегаций напомнили, что </w:t>
      </w:r>
      <w:r>
        <w:t>КОВВП</w:t>
      </w:r>
      <w:r w:rsidRPr="00FF12B5">
        <w:t xml:space="preserve"> </w:t>
      </w:r>
      <w:r>
        <w:t>насчитывает</w:t>
      </w:r>
      <w:r w:rsidRPr="00FF12B5">
        <w:t xml:space="preserve"> только </w:t>
      </w:r>
      <w:r w:rsidR="00A745DF">
        <w:t>6</w:t>
      </w:r>
      <w:r w:rsidRPr="00FF12B5">
        <w:t xml:space="preserve"> Договаривающихся сторон, в то время как ВОПОГ</w:t>
      </w:r>
      <w:r>
        <w:t> </w:t>
      </w:r>
      <w:r w:rsidR="00A745DF">
        <w:t>–</w:t>
      </w:r>
      <w:r w:rsidRPr="00FF12B5">
        <w:t xml:space="preserve"> 18</w:t>
      </w:r>
      <w:r>
        <w:t>,</w:t>
      </w:r>
      <w:r w:rsidRPr="00FF12B5">
        <w:t xml:space="preserve"> и </w:t>
      </w:r>
      <w:r>
        <w:t xml:space="preserve">отметили, что </w:t>
      </w:r>
      <w:r w:rsidRPr="00FF12B5">
        <w:t>поэтому неуместно вн</w:t>
      </w:r>
      <w:r>
        <w:t>осить</w:t>
      </w:r>
      <w:r w:rsidRPr="00FF12B5">
        <w:t xml:space="preserve"> важные изменения в ВОПОГ единственно </w:t>
      </w:r>
      <w:r>
        <w:t>с</w:t>
      </w:r>
      <w:r w:rsidRPr="00FF12B5">
        <w:t xml:space="preserve"> цел</w:t>
      </w:r>
      <w:r>
        <w:t>ью</w:t>
      </w:r>
      <w:r w:rsidRPr="00FF12B5">
        <w:t xml:space="preserve"> согласования с </w:t>
      </w:r>
      <w:r>
        <w:t>КОВВП</w:t>
      </w:r>
      <w:r w:rsidRPr="00FF12B5">
        <w:t>. Было сочтено, что скорее Договаривающи</w:t>
      </w:r>
      <w:r>
        <w:t>м</w:t>
      </w:r>
      <w:r w:rsidRPr="00FF12B5">
        <w:t>ся сторон</w:t>
      </w:r>
      <w:r>
        <w:t>ам</w:t>
      </w:r>
      <w:r w:rsidRPr="00FF12B5">
        <w:t xml:space="preserve"> </w:t>
      </w:r>
      <w:r>
        <w:t>КОВВП надлежит</w:t>
      </w:r>
      <w:r w:rsidRPr="00FF12B5">
        <w:t xml:space="preserve"> избе</w:t>
      </w:r>
      <w:r>
        <w:t>гать</w:t>
      </w:r>
      <w:r w:rsidRPr="00FF12B5">
        <w:t xml:space="preserve"> в</w:t>
      </w:r>
      <w:r>
        <w:t>ключения</w:t>
      </w:r>
      <w:r w:rsidRPr="00FF12B5">
        <w:t xml:space="preserve"> в </w:t>
      </w:r>
      <w:r>
        <w:t xml:space="preserve">КОВВП </w:t>
      </w:r>
      <w:r w:rsidRPr="00FF12B5">
        <w:t>правил, противореч</w:t>
      </w:r>
      <w:r>
        <w:t>ащих</w:t>
      </w:r>
      <w:r w:rsidRPr="00FF12B5">
        <w:t xml:space="preserve"> ВОПОГ.</w:t>
      </w:r>
    </w:p>
    <w:p w:rsidR="00A250B8" w:rsidRPr="00FF12B5" w:rsidRDefault="00A250B8" w:rsidP="00A250B8">
      <w:pPr>
        <w:pStyle w:val="SingleTxtGR"/>
      </w:pPr>
      <w:r w:rsidRPr="005D02E6">
        <w:t>55.</w:t>
      </w:r>
      <w:r w:rsidRPr="005D02E6">
        <w:tab/>
      </w:r>
      <w:r>
        <w:t>Комитет по вопросам безопасности счел</w:t>
      </w:r>
      <w:r w:rsidRPr="00FF12B5">
        <w:t>, что предлагаемое определение «дегазация» для ВОПОГ следует расширить</w:t>
      </w:r>
      <w:r>
        <w:t xml:space="preserve">, чтобы </w:t>
      </w:r>
      <w:r w:rsidRPr="00FF12B5">
        <w:t xml:space="preserve">охватить все виды </w:t>
      </w:r>
      <w:r>
        <w:t>улавливания</w:t>
      </w:r>
      <w:r w:rsidRPr="00513196">
        <w:t xml:space="preserve"> </w:t>
      </w:r>
      <w:r w:rsidRPr="00FF12B5">
        <w:t xml:space="preserve">паров, которые можно </w:t>
      </w:r>
      <w:r>
        <w:t>прогнозировать</w:t>
      </w:r>
      <w:r w:rsidRPr="00FF12B5">
        <w:t xml:space="preserve"> в свете развития технологии </w:t>
      </w:r>
      <w:r w:rsidR="00A745DF">
        <w:br/>
      </w:r>
      <w:r w:rsidRPr="00FF12B5">
        <w:t>(см.</w:t>
      </w:r>
      <w:r>
        <w:t>,</w:t>
      </w:r>
      <w:r w:rsidRPr="00FA352A">
        <w:t xml:space="preserve"> </w:t>
      </w:r>
      <w:r w:rsidRPr="00FF12B5">
        <w:t>например</w:t>
      </w:r>
      <w:r>
        <w:t>,</w:t>
      </w:r>
      <w:r w:rsidRPr="00FF12B5">
        <w:t xml:space="preserve"> неофициальный документ INF.15).</w:t>
      </w:r>
    </w:p>
    <w:p w:rsidR="00A250B8" w:rsidRPr="00FF12B5" w:rsidRDefault="00A250B8" w:rsidP="00A250B8">
      <w:pPr>
        <w:pStyle w:val="SingleTxtGR"/>
      </w:pPr>
      <w:r w:rsidRPr="00FB4F76">
        <w:t>56.</w:t>
      </w:r>
      <w:r w:rsidRPr="00FB4F76">
        <w:tab/>
      </w:r>
      <w:r>
        <w:t xml:space="preserve">Что касается текста </w:t>
      </w:r>
      <w:r w:rsidRPr="00FF12B5">
        <w:t xml:space="preserve">поправок к </w:t>
      </w:r>
      <w:r>
        <w:t>КОВВП</w:t>
      </w:r>
      <w:r w:rsidRPr="00FF12B5">
        <w:t xml:space="preserve"> (INF.12 и Add.1), </w:t>
      </w:r>
      <w:r>
        <w:t xml:space="preserve">по </w:t>
      </w:r>
      <w:r w:rsidRPr="00FF12B5">
        <w:t>котор</w:t>
      </w:r>
      <w:r>
        <w:t>ому</w:t>
      </w:r>
      <w:r w:rsidRPr="00FF12B5">
        <w:t xml:space="preserve"> в настоящее время </w:t>
      </w:r>
      <w:r>
        <w:t>проводятся</w:t>
      </w:r>
      <w:r w:rsidRPr="00FF12B5">
        <w:t xml:space="preserve"> консультаци</w:t>
      </w:r>
      <w:r>
        <w:t>и</w:t>
      </w:r>
      <w:r w:rsidRPr="00FF12B5">
        <w:t xml:space="preserve"> с общественностью</w:t>
      </w:r>
      <w:r>
        <w:t>,</w:t>
      </w:r>
      <w:r w:rsidRPr="00FF12B5">
        <w:t xml:space="preserve"> </w:t>
      </w:r>
      <w:r>
        <w:t xml:space="preserve">то </w:t>
      </w:r>
      <w:r w:rsidRPr="00FF12B5">
        <w:t xml:space="preserve">Комитет </w:t>
      </w:r>
      <w:r w:rsidRPr="004D0D9F">
        <w:t xml:space="preserve">по вопросам безопасности </w:t>
      </w:r>
      <w:r w:rsidRPr="00FF12B5">
        <w:t xml:space="preserve">отметил, что имеются несоответствия между перечнем веществ </w:t>
      </w:r>
      <w:r>
        <w:t xml:space="preserve">в </w:t>
      </w:r>
      <w:r w:rsidRPr="00FF12B5">
        <w:t>добавлени</w:t>
      </w:r>
      <w:r>
        <w:t>и</w:t>
      </w:r>
      <w:r w:rsidRPr="00FF12B5">
        <w:t xml:space="preserve"> VI</w:t>
      </w:r>
      <w:r>
        <w:t>,</w:t>
      </w:r>
      <w:r w:rsidRPr="00FF12B5">
        <w:t xml:space="preserve"> с одной стороны</w:t>
      </w:r>
      <w:r>
        <w:t>,</w:t>
      </w:r>
      <w:r w:rsidRPr="00FF12B5">
        <w:t xml:space="preserve"> и ВОПОГ и критери</w:t>
      </w:r>
      <w:r>
        <w:t>ями</w:t>
      </w:r>
      <w:r w:rsidRPr="00FF12B5">
        <w:t xml:space="preserve"> предлагаемого добавления VI</w:t>
      </w:r>
      <w:r>
        <w:t> </w:t>
      </w:r>
      <w:r w:rsidR="00A745DF">
        <w:t>–</w:t>
      </w:r>
      <w:r w:rsidRPr="00FF12B5">
        <w:t xml:space="preserve"> с другой, в том смысле, что ряд веществ, </w:t>
      </w:r>
      <w:r>
        <w:t xml:space="preserve">которые были </w:t>
      </w:r>
      <w:r w:rsidRPr="00FF12B5">
        <w:t>определен</w:t>
      </w:r>
      <w:r>
        <w:t>ы в качестве запрещенных для</w:t>
      </w:r>
      <w:r w:rsidRPr="00FF12B5">
        <w:t xml:space="preserve"> </w:t>
      </w:r>
      <w:r>
        <w:t>выброса</w:t>
      </w:r>
      <w:r w:rsidRPr="00FF12B5">
        <w:t xml:space="preserve"> в атмосфер</w:t>
      </w:r>
      <w:r>
        <w:t>у,</w:t>
      </w:r>
      <w:r w:rsidRPr="00FF12B5">
        <w:t xml:space="preserve"> </w:t>
      </w:r>
      <w:r>
        <w:t>разрешены в</w:t>
      </w:r>
      <w:r w:rsidRPr="00FF12B5">
        <w:t xml:space="preserve"> ВОПОГ </w:t>
      </w:r>
      <w:r>
        <w:t xml:space="preserve">для перевозки </w:t>
      </w:r>
      <w:r w:rsidRPr="00FF12B5">
        <w:t>в танкер</w:t>
      </w:r>
      <w:r>
        <w:t>ах</w:t>
      </w:r>
      <w:r w:rsidRPr="00FF12B5">
        <w:t xml:space="preserve"> открытого типа N. </w:t>
      </w:r>
      <w:r>
        <w:t>Комитет по вопросам безопасности решил</w:t>
      </w:r>
      <w:r w:rsidRPr="00FF12B5">
        <w:t>, что неофициальн</w:t>
      </w:r>
      <w:r>
        <w:t>ой</w:t>
      </w:r>
      <w:r w:rsidRPr="00FF12B5">
        <w:t xml:space="preserve"> рабоч</w:t>
      </w:r>
      <w:r>
        <w:t>ей</w:t>
      </w:r>
      <w:r w:rsidRPr="00FF12B5">
        <w:t xml:space="preserve"> групп</w:t>
      </w:r>
      <w:r>
        <w:t>е</w:t>
      </w:r>
      <w:r w:rsidRPr="00FF12B5">
        <w:t xml:space="preserve"> по веществам следует изучить этот вопрос и </w:t>
      </w:r>
      <w:r>
        <w:t xml:space="preserve">точно </w:t>
      </w:r>
      <w:r w:rsidRPr="00FF12B5">
        <w:t>определить противоречия.</w:t>
      </w:r>
    </w:p>
    <w:p w:rsidR="00A250B8" w:rsidRPr="00FF12B5" w:rsidRDefault="00A250B8" w:rsidP="00A250B8">
      <w:pPr>
        <w:pStyle w:val="SingleTxtGR"/>
      </w:pPr>
      <w:r w:rsidRPr="00483CBB">
        <w:t>57.</w:t>
      </w:r>
      <w:r w:rsidRPr="00483CBB">
        <w:tab/>
      </w:r>
      <w:r w:rsidRPr="00FF12B5">
        <w:t xml:space="preserve">Комитет </w:t>
      </w:r>
      <w:r w:rsidRPr="00FB4F76">
        <w:t xml:space="preserve">по вопросам безопасности </w:t>
      </w:r>
      <w:r w:rsidRPr="00FF12B5">
        <w:t>отметил, что некоторые предложени</w:t>
      </w:r>
      <w:r>
        <w:t>я</w:t>
      </w:r>
      <w:r w:rsidRPr="00FF12B5">
        <w:t xml:space="preserve"> рабочей группы </w:t>
      </w:r>
      <w:r>
        <w:t>необходимо будет</w:t>
      </w:r>
      <w:r w:rsidRPr="00FF12B5">
        <w:t xml:space="preserve"> пересмотре</w:t>
      </w:r>
      <w:r>
        <w:t>ть</w:t>
      </w:r>
      <w:r w:rsidRPr="00FF12B5">
        <w:t xml:space="preserve"> с учетом не только поправок, которые вступят в силу 1 января 2017 года, но и </w:t>
      </w:r>
      <w:r>
        <w:t>поправок, которые</w:t>
      </w:r>
      <w:r w:rsidRPr="00FF12B5">
        <w:t>, как ожидается, вступ</w:t>
      </w:r>
      <w:r>
        <w:t>я</w:t>
      </w:r>
      <w:r w:rsidRPr="00FF12B5">
        <w:t>т в силу 1 января 2019 года</w:t>
      </w:r>
      <w:r>
        <w:t>,</w:t>
      </w:r>
      <w:r w:rsidRPr="00FF12B5">
        <w:t xml:space="preserve"> в частности те</w:t>
      </w:r>
      <w:r>
        <w:t>х</w:t>
      </w:r>
      <w:r w:rsidRPr="00FF12B5">
        <w:t xml:space="preserve">, </w:t>
      </w:r>
      <w:r>
        <w:t xml:space="preserve">которые были </w:t>
      </w:r>
      <w:r w:rsidRPr="00FF12B5">
        <w:t xml:space="preserve">приняты в ходе этой сессии в связи с </w:t>
      </w:r>
      <w:r w:rsidRPr="00FB4F76">
        <w:t>защите против взрывов на танкерах</w:t>
      </w:r>
      <w:r w:rsidRPr="00FF12B5">
        <w:t>.</w:t>
      </w:r>
    </w:p>
    <w:p w:rsidR="00A250B8" w:rsidRPr="00FF12B5" w:rsidRDefault="00A250B8" w:rsidP="00A250B8">
      <w:pPr>
        <w:pStyle w:val="SingleTxtGR"/>
      </w:pPr>
      <w:r w:rsidRPr="00BC6E52">
        <w:t>58.</w:t>
      </w:r>
      <w:r w:rsidRPr="00BC6E52">
        <w:tab/>
      </w:r>
      <w:r w:rsidRPr="00FF12B5">
        <w:t>Что касается приоритета национального законодательства над ВОПОГ в отношении положе</w:t>
      </w:r>
      <w:r>
        <w:t>ний, касающихся доступа в трюмы,</w:t>
      </w:r>
      <w:r w:rsidRPr="00FF12B5">
        <w:t xml:space="preserve"> </w:t>
      </w:r>
      <w:r>
        <w:t>то</w:t>
      </w:r>
      <w:r w:rsidRPr="00FF12B5">
        <w:t xml:space="preserve"> Комитет </w:t>
      </w:r>
      <w:r w:rsidRPr="00483CBB">
        <w:t xml:space="preserve">по вопросам безопасности </w:t>
      </w:r>
      <w:r w:rsidRPr="00FF12B5">
        <w:t>счел, что это</w:t>
      </w:r>
      <w:r>
        <w:t>т приоритет</w:t>
      </w:r>
      <w:r w:rsidRPr="00FF12B5">
        <w:t xml:space="preserve"> следует </w:t>
      </w:r>
      <w:r>
        <w:t xml:space="preserve">устанавливать </w:t>
      </w:r>
      <w:r w:rsidRPr="00FF12B5">
        <w:t xml:space="preserve">только </w:t>
      </w:r>
      <w:r>
        <w:t xml:space="preserve">в тех случаях, </w:t>
      </w:r>
      <w:r w:rsidRPr="00FF12B5">
        <w:t>когда национальное законодательство является более строгим, чем ВОПОГ.</w:t>
      </w:r>
    </w:p>
    <w:p w:rsidR="00A250B8" w:rsidRPr="00AE4D51" w:rsidRDefault="00A250B8" w:rsidP="00A250B8">
      <w:pPr>
        <w:pStyle w:val="SingleTxtGR"/>
      </w:pPr>
      <w:r w:rsidRPr="00D77339">
        <w:t>59.</w:t>
      </w:r>
      <w:r w:rsidRPr="00D77339">
        <w:tab/>
      </w:r>
      <w:r w:rsidRPr="00FF12B5">
        <w:t xml:space="preserve">Что касается </w:t>
      </w:r>
      <w:r w:rsidRPr="00AE4D51">
        <w:t xml:space="preserve">письменной </w:t>
      </w:r>
      <w:r>
        <w:t>регистрации</w:t>
      </w:r>
      <w:r w:rsidRPr="00AE4D51">
        <w:t xml:space="preserve"> результатов измерений, </w:t>
      </w:r>
      <w:r>
        <w:t xml:space="preserve">то </w:t>
      </w:r>
      <w:r w:rsidRPr="00AE4D51">
        <w:t>было сочтено, что следует также разрешить</w:t>
      </w:r>
      <w:r w:rsidRPr="00565FFC">
        <w:t xml:space="preserve"> </w:t>
      </w:r>
      <w:r>
        <w:t xml:space="preserve">использование </w:t>
      </w:r>
      <w:r w:rsidRPr="00AE4D51">
        <w:t>электронны</w:t>
      </w:r>
      <w:r>
        <w:t>х</w:t>
      </w:r>
      <w:r w:rsidRPr="00AE4D51">
        <w:t xml:space="preserve"> средств. Представитель Словакии заявил, что в некоторых случаях информаци</w:t>
      </w:r>
      <w:r>
        <w:t>ю</w:t>
      </w:r>
      <w:r w:rsidRPr="00AE4D51">
        <w:t>, требуем</w:t>
      </w:r>
      <w:r>
        <w:t>ую</w:t>
      </w:r>
      <w:r w:rsidRPr="00AE4D51">
        <w:t xml:space="preserve"> ВОПОГ</w:t>
      </w:r>
      <w:r>
        <w:t>,</w:t>
      </w:r>
      <w:r w:rsidRPr="00AE4D51">
        <w:t xml:space="preserve"> </w:t>
      </w:r>
      <w:r>
        <w:t xml:space="preserve">необходимо иметь в </w:t>
      </w:r>
      <w:r w:rsidRPr="00AE4D51">
        <w:t>бумажно</w:t>
      </w:r>
      <w:r>
        <w:t>м виде</w:t>
      </w:r>
      <w:r w:rsidRPr="00AE4D51">
        <w:t>.</w:t>
      </w:r>
    </w:p>
    <w:p w:rsidR="00A250B8" w:rsidRPr="00AE4D51" w:rsidRDefault="00A250B8" w:rsidP="00A250B8">
      <w:pPr>
        <w:pStyle w:val="SingleTxtGR"/>
      </w:pPr>
      <w:r w:rsidRPr="00385777">
        <w:t>60.</w:t>
      </w:r>
      <w:r w:rsidRPr="00385777">
        <w:tab/>
      </w:r>
      <w:r w:rsidRPr="00FF12B5">
        <w:t xml:space="preserve">Что касается </w:t>
      </w:r>
      <w:r w:rsidRPr="00AE4D51">
        <w:t>дегазаци</w:t>
      </w:r>
      <w:r>
        <w:t>и</w:t>
      </w:r>
      <w:r w:rsidRPr="00AE4D51">
        <w:t xml:space="preserve"> порожних грузовых танков</w:t>
      </w:r>
      <w:r>
        <w:t>, предусмотренной</w:t>
      </w:r>
      <w:r w:rsidRPr="00AE4D51">
        <w:t xml:space="preserve"> в </w:t>
      </w:r>
      <w:r>
        <w:t xml:space="preserve">подразделе </w:t>
      </w:r>
      <w:r w:rsidRPr="00AE4D51">
        <w:t xml:space="preserve">7.2.3.7, </w:t>
      </w:r>
      <w:r>
        <w:t xml:space="preserve">то </w:t>
      </w:r>
      <w:r w:rsidRPr="00AE4D51">
        <w:t xml:space="preserve">было сочтено, что в </w:t>
      </w:r>
      <w:r>
        <w:t xml:space="preserve">соответствующих </w:t>
      </w:r>
      <w:r w:rsidRPr="00AE4D51">
        <w:t xml:space="preserve">положениях </w:t>
      </w:r>
      <w:r>
        <w:t xml:space="preserve">следует </w:t>
      </w:r>
      <w:r w:rsidRPr="00AE4D51">
        <w:t>указа</w:t>
      </w:r>
      <w:r>
        <w:t>ть</w:t>
      </w:r>
      <w:r w:rsidRPr="00AE4D51">
        <w:t xml:space="preserve"> тип дегазации (</w:t>
      </w:r>
      <w:r>
        <w:t>улавливание</w:t>
      </w:r>
      <w:r w:rsidRPr="00513196">
        <w:t xml:space="preserve"> </w:t>
      </w:r>
      <w:r w:rsidRPr="00AE4D51">
        <w:t>паров или дегазаци</w:t>
      </w:r>
      <w:r>
        <w:t>я</w:t>
      </w:r>
      <w:r w:rsidRPr="00AE4D51">
        <w:t xml:space="preserve"> в атмосферу).</w:t>
      </w:r>
    </w:p>
    <w:p w:rsidR="00A250B8" w:rsidRPr="00AE4D51" w:rsidRDefault="00A250B8" w:rsidP="00A250B8">
      <w:pPr>
        <w:pStyle w:val="SingleTxtGR"/>
      </w:pPr>
      <w:r w:rsidRPr="006E7395">
        <w:t>61.</w:t>
      </w:r>
      <w:r w:rsidRPr="006E7395">
        <w:tab/>
      </w:r>
      <w:r w:rsidRPr="00AE4D51">
        <w:t>Неофициальной рабочей группе было предложено при подготовке нового предложения принять во внимание эти замечания</w:t>
      </w:r>
      <w:r>
        <w:t xml:space="preserve"> и</w:t>
      </w:r>
      <w:r w:rsidRPr="00AE4D51">
        <w:t xml:space="preserve"> все другие комментарии, </w:t>
      </w:r>
      <w:r>
        <w:t>высказанные</w:t>
      </w:r>
      <w:r w:rsidRPr="00AE4D51">
        <w:t xml:space="preserve"> в ходе обсуждения. Е</w:t>
      </w:r>
      <w:r>
        <w:t>й</w:t>
      </w:r>
      <w:r w:rsidRPr="00AE4D51">
        <w:t xml:space="preserve"> было также предложено </w:t>
      </w:r>
      <w:r>
        <w:t>учесть</w:t>
      </w:r>
      <w:r w:rsidRPr="00AE4D51">
        <w:t xml:space="preserve"> неофициальный документ INF.8</w:t>
      </w:r>
      <w:r>
        <w:t xml:space="preserve">, в котором повествуется о </w:t>
      </w:r>
      <w:r w:rsidRPr="00AE4D51">
        <w:t>двух авари</w:t>
      </w:r>
      <w:r>
        <w:t>ях</w:t>
      </w:r>
      <w:r w:rsidRPr="00AE4D51">
        <w:t>, в частности пункт 6</w:t>
      </w:r>
      <w:r>
        <w:t>,</w:t>
      </w:r>
      <w:r w:rsidRPr="00AE4D51">
        <w:t xml:space="preserve"> </w:t>
      </w:r>
      <w:r>
        <w:t>касающийся</w:t>
      </w:r>
      <w:r w:rsidRPr="00AE4D51">
        <w:t xml:space="preserve"> </w:t>
      </w:r>
      <w:r w:rsidRPr="00F72FCB">
        <w:t>веществ, перевозимых при повышенной температуре</w:t>
      </w:r>
      <w:r w:rsidRPr="00AE4D51">
        <w:t>.</w:t>
      </w:r>
    </w:p>
    <w:p w:rsidR="00A250B8" w:rsidRPr="00AE4D51" w:rsidRDefault="00A250B8" w:rsidP="00A250B8">
      <w:pPr>
        <w:pStyle w:val="HChGR"/>
      </w:pPr>
      <w:r w:rsidRPr="00AE4D51">
        <w:tab/>
      </w:r>
      <w:r>
        <w:t>VII</w:t>
      </w:r>
      <w:r w:rsidRPr="00AE4D51">
        <w:t>.</w:t>
      </w:r>
      <w:r w:rsidRPr="00AE4D51">
        <w:tab/>
        <w:t xml:space="preserve">Программа работы и расписание совещаний </w:t>
      </w:r>
      <w:r w:rsidR="00A745DF">
        <w:br/>
      </w:r>
      <w:r w:rsidRPr="00AE4D51">
        <w:t>(пункт 6 повестки дня)</w:t>
      </w:r>
    </w:p>
    <w:p w:rsidR="00A250B8" w:rsidRPr="00C212E2" w:rsidRDefault="00A250B8" w:rsidP="00A250B8">
      <w:pPr>
        <w:pStyle w:val="SingleTxtGR"/>
      </w:pPr>
      <w:r w:rsidRPr="00BD53A1">
        <w:t>62.</w:t>
      </w:r>
      <w:r w:rsidRPr="00BD53A1">
        <w:tab/>
      </w:r>
      <w:r w:rsidRPr="00C212E2">
        <w:t>Тридцат</w:t>
      </w:r>
      <w:r>
        <w:t>ую</w:t>
      </w:r>
      <w:r w:rsidRPr="00C212E2">
        <w:t xml:space="preserve"> сесси</w:t>
      </w:r>
      <w:r>
        <w:t>ю</w:t>
      </w:r>
      <w:r w:rsidRPr="00C212E2">
        <w:t xml:space="preserve"> Комитета по </w:t>
      </w:r>
      <w:r>
        <w:t xml:space="preserve">вопросам </w:t>
      </w:r>
      <w:r w:rsidRPr="00C212E2">
        <w:t>безопасности ВОПОГ планируется провести в Женеве 23</w:t>
      </w:r>
      <w:r>
        <w:t>–</w:t>
      </w:r>
      <w:r w:rsidRPr="00C212E2">
        <w:t xml:space="preserve">27 января 2017 года, </w:t>
      </w:r>
      <w:r>
        <w:t>а</w:t>
      </w:r>
      <w:r w:rsidRPr="00C212E2">
        <w:t xml:space="preserve"> девятнадцат</w:t>
      </w:r>
      <w:r>
        <w:t>ую сессию</w:t>
      </w:r>
      <w:r w:rsidRPr="00C212E2">
        <w:t xml:space="preserve"> Административного комитета планируется провести 27 января 2017 года.</w:t>
      </w:r>
    </w:p>
    <w:p w:rsidR="00A250B8" w:rsidRPr="00C212E2" w:rsidRDefault="00A250B8" w:rsidP="00A250B8">
      <w:pPr>
        <w:pStyle w:val="SingleTxtGR"/>
      </w:pPr>
      <w:r w:rsidRPr="002074B2">
        <w:t>63.</w:t>
      </w:r>
      <w:r w:rsidRPr="002074B2">
        <w:tab/>
      </w:r>
      <w:r w:rsidRPr="00C212E2">
        <w:t xml:space="preserve">Комитет </w:t>
      </w:r>
      <w:r w:rsidRPr="00E408EA">
        <w:t xml:space="preserve">по вопросам безопасности </w:t>
      </w:r>
      <w:r w:rsidRPr="00C212E2">
        <w:t>отметил, что август</w:t>
      </w:r>
      <w:r>
        <w:t>овские</w:t>
      </w:r>
      <w:r w:rsidRPr="00C212E2">
        <w:t xml:space="preserve"> сесси</w:t>
      </w:r>
      <w:r>
        <w:t>и</w:t>
      </w:r>
      <w:r w:rsidRPr="00C212E2">
        <w:t xml:space="preserve"> 2017 года было </w:t>
      </w:r>
      <w:r>
        <w:t xml:space="preserve">сначала </w:t>
      </w:r>
      <w:r w:rsidRPr="00C212E2">
        <w:t xml:space="preserve">запланировано </w:t>
      </w:r>
      <w:r>
        <w:t xml:space="preserve">провести на неделе с </w:t>
      </w:r>
      <w:r w:rsidRPr="00C212E2">
        <w:t>28 августа</w:t>
      </w:r>
      <w:r>
        <w:t xml:space="preserve"> по </w:t>
      </w:r>
      <w:r w:rsidRPr="00C212E2">
        <w:t>1</w:t>
      </w:r>
      <w:r w:rsidR="00A14A95">
        <w:t> </w:t>
      </w:r>
      <w:r w:rsidRPr="00C212E2">
        <w:t xml:space="preserve">сентября 2017 </w:t>
      </w:r>
      <w:r>
        <w:t>года, однако с тех пор</w:t>
      </w:r>
      <w:r w:rsidRPr="00C212E2">
        <w:t xml:space="preserve"> секретариат был </w:t>
      </w:r>
      <w:r>
        <w:t>про</w:t>
      </w:r>
      <w:r w:rsidRPr="00C212E2">
        <w:t>информирован</w:t>
      </w:r>
      <w:r>
        <w:t xml:space="preserve"> о том, что пятница</w:t>
      </w:r>
      <w:r w:rsidRPr="00C212E2">
        <w:t xml:space="preserve"> 1 сентября будет официальн</w:t>
      </w:r>
      <w:r>
        <w:t>ым</w:t>
      </w:r>
      <w:r w:rsidRPr="00C212E2">
        <w:t xml:space="preserve"> нерабочи</w:t>
      </w:r>
      <w:r>
        <w:t>м</w:t>
      </w:r>
      <w:r w:rsidRPr="00C212E2">
        <w:t xml:space="preserve"> д</w:t>
      </w:r>
      <w:r>
        <w:t>нем в</w:t>
      </w:r>
      <w:r w:rsidRPr="00C212E2">
        <w:t xml:space="preserve"> Организации Объединенных Наций. Комитет </w:t>
      </w:r>
      <w:r w:rsidRPr="00E408EA">
        <w:t xml:space="preserve">по вопросам безопасности </w:t>
      </w:r>
      <w:r w:rsidRPr="00C212E2">
        <w:t>счел, что при таких обстоятельствах</w:t>
      </w:r>
      <w:r>
        <w:t xml:space="preserve"> вместо того, чтобы </w:t>
      </w:r>
      <w:r w:rsidRPr="00C212E2">
        <w:t>пере</w:t>
      </w:r>
      <w:r>
        <w:t>носить</w:t>
      </w:r>
      <w:r w:rsidRPr="00C212E2">
        <w:t xml:space="preserve"> сесси</w:t>
      </w:r>
      <w:r>
        <w:t>и</w:t>
      </w:r>
      <w:r w:rsidRPr="00C212E2">
        <w:t xml:space="preserve"> </w:t>
      </w:r>
      <w:r>
        <w:t>на какой-либо другой срок</w:t>
      </w:r>
      <w:r w:rsidRPr="00C212E2">
        <w:t xml:space="preserve">, </w:t>
      </w:r>
      <w:r>
        <w:t xml:space="preserve">в результате чего могли бы возникнуть </w:t>
      </w:r>
      <w:r w:rsidRPr="00C212E2">
        <w:t xml:space="preserve">проблемы из-за </w:t>
      </w:r>
      <w:r>
        <w:t xml:space="preserve">сезона летних отпусков </w:t>
      </w:r>
      <w:r w:rsidRPr="00C212E2">
        <w:t xml:space="preserve">и </w:t>
      </w:r>
      <w:r>
        <w:t xml:space="preserve">насыщенной программы заседаний в </w:t>
      </w:r>
      <w:r w:rsidRPr="00C212E2">
        <w:t>сентябр</w:t>
      </w:r>
      <w:r>
        <w:t>е</w:t>
      </w:r>
      <w:r w:rsidRPr="00C212E2">
        <w:t xml:space="preserve">, продолжительность сессии Комитета по </w:t>
      </w:r>
      <w:r>
        <w:t xml:space="preserve">вопросам </w:t>
      </w:r>
      <w:r w:rsidRPr="00C212E2">
        <w:t xml:space="preserve">безопасности </w:t>
      </w:r>
      <w:r>
        <w:t xml:space="preserve">следовало бы </w:t>
      </w:r>
      <w:r w:rsidRPr="00C212E2">
        <w:t>сокра</w:t>
      </w:r>
      <w:r>
        <w:t>тить</w:t>
      </w:r>
      <w:r w:rsidRPr="00C212E2">
        <w:t xml:space="preserve"> </w:t>
      </w:r>
      <w:r w:rsidR="00A14A95">
        <w:br/>
      </w:r>
      <w:r>
        <w:t>(</w:t>
      </w:r>
      <w:r w:rsidRPr="00C212E2">
        <w:t>с 28 по 31 августа</w:t>
      </w:r>
      <w:r>
        <w:t>)</w:t>
      </w:r>
      <w:r w:rsidRPr="00C212E2">
        <w:t xml:space="preserve">, а Административный комитет </w:t>
      </w:r>
      <w:r>
        <w:t xml:space="preserve">мог бы провести </w:t>
      </w:r>
      <w:r w:rsidRPr="00C212E2">
        <w:t>одн</w:t>
      </w:r>
      <w:r>
        <w:t>о</w:t>
      </w:r>
      <w:r w:rsidRPr="00C212E2">
        <w:t>час</w:t>
      </w:r>
      <w:r>
        <w:t xml:space="preserve">овую сессию </w:t>
      </w:r>
      <w:r w:rsidRPr="00C212E2">
        <w:t xml:space="preserve">31 августа </w:t>
      </w:r>
      <w:r>
        <w:t>во второй половине дня</w:t>
      </w:r>
      <w:r w:rsidRPr="00C212E2">
        <w:t>.</w:t>
      </w:r>
    </w:p>
    <w:p w:rsidR="00A250B8" w:rsidRPr="00C14C72" w:rsidRDefault="00A250B8" w:rsidP="00A250B8">
      <w:pPr>
        <w:pStyle w:val="HChGR"/>
      </w:pPr>
      <w:r w:rsidRPr="00C212E2">
        <w:tab/>
      </w:r>
      <w:r>
        <w:t>VIII</w:t>
      </w:r>
      <w:r w:rsidRPr="00774B18">
        <w:t>.</w:t>
      </w:r>
      <w:r w:rsidRPr="00774B18">
        <w:tab/>
      </w:r>
      <w:r w:rsidRPr="00C14C72">
        <w:t>Прочие вопросы (пункт 7 повестки дня)</w:t>
      </w:r>
    </w:p>
    <w:p w:rsidR="00A250B8" w:rsidRPr="005D568E" w:rsidRDefault="00A250B8" w:rsidP="00A250B8">
      <w:pPr>
        <w:pStyle w:val="H23GR"/>
      </w:pPr>
      <w:r w:rsidRPr="00C14C72">
        <w:tab/>
      </w:r>
      <w:r w:rsidRPr="00C14C72">
        <w:tab/>
      </w:r>
      <w:r w:rsidRPr="005D568E">
        <w:t>КОВВП</w:t>
      </w:r>
    </w:p>
    <w:p w:rsidR="00A250B8" w:rsidRPr="00E408EA" w:rsidRDefault="00A250B8" w:rsidP="00A250B8">
      <w:pPr>
        <w:pStyle w:val="SingleTxtGR"/>
      </w:pPr>
      <w:r w:rsidRPr="00E408EA">
        <w:rPr>
          <w:i/>
          <w:iCs/>
        </w:rPr>
        <w:t>Неофициальные документы:</w:t>
      </w:r>
      <w:r w:rsidRPr="00E408EA">
        <w:tab/>
      </w:r>
      <w:r w:rsidR="00A14A95">
        <w:tab/>
      </w:r>
      <w:r w:rsidR="00A14A95">
        <w:tab/>
      </w:r>
      <w:r w:rsidRPr="00C212E2">
        <w:rPr>
          <w:lang w:val="fr-CH"/>
        </w:rPr>
        <w:t>INF</w:t>
      </w:r>
      <w:r w:rsidRPr="00E408EA">
        <w:t xml:space="preserve">.12 </w:t>
      </w:r>
      <w:r>
        <w:t>и</w:t>
      </w:r>
      <w:r w:rsidRPr="00E408EA">
        <w:t xml:space="preserve"> </w:t>
      </w:r>
      <w:r w:rsidRPr="00C212E2">
        <w:rPr>
          <w:lang w:val="fr-CH"/>
        </w:rPr>
        <w:t>Add</w:t>
      </w:r>
      <w:r w:rsidRPr="00E408EA">
        <w:t>.1 (ЦКСР)</w:t>
      </w:r>
    </w:p>
    <w:p w:rsidR="00A250B8" w:rsidRPr="00C212E2" w:rsidRDefault="00A250B8" w:rsidP="00A250B8">
      <w:pPr>
        <w:pStyle w:val="SingleTxtGR"/>
      </w:pPr>
      <w:r w:rsidRPr="00C212E2">
        <w:t>64.</w:t>
      </w:r>
      <w:r w:rsidRPr="00C212E2">
        <w:tab/>
        <w:t>Этот вопрос был обсужд</w:t>
      </w:r>
      <w:r>
        <w:t>ен в рамках пункта 5 (пункты 54–</w:t>
      </w:r>
      <w:r w:rsidRPr="00C212E2">
        <w:t>56).</w:t>
      </w:r>
    </w:p>
    <w:p w:rsidR="00A250B8" w:rsidRPr="00C14C72" w:rsidRDefault="00A250B8" w:rsidP="00A250B8">
      <w:pPr>
        <w:pStyle w:val="HChGR"/>
      </w:pPr>
      <w:r w:rsidRPr="00C212E2">
        <w:tab/>
      </w:r>
      <w:r>
        <w:t>IX</w:t>
      </w:r>
      <w:r w:rsidRPr="00774B18">
        <w:t>.</w:t>
      </w:r>
      <w:r w:rsidRPr="00774B18">
        <w:tab/>
      </w:r>
      <w:r w:rsidRPr="00C14C72">
        <w:t>Утверждение доклада (пункт 8 повестки дня)</w:t>
      </w:r>
    </w:p>
    <w:p w:rsidR="00A250B8" w:rsidRPr="00D247A3" w:rsidRDefault="00A250B8" w:rsidP="00A250B8">
      <w:pPr>
        <w:pStyle w:val="SingleTxtGR"/>
      </w:pPr>
      <w:r w:rsidRPr="00D247A3">
        <w:t>65.</w:t>
      </w:r>
      <w:r w:rsidRPr="00D247A3">
        <w:tab/>
        <w:t>Комитет утвердил доклад о работе своей двадцать девятой сессии и приложения к нему на основе проекта, подготовленного секретариатом.</w:t>
      </w:r>
    </w:p>
    <w:p w:rsidR="00A250B8" w:rsidRDefault="00A250B8">
      <w:pPr>
        <w:spacing w:line="240" w:lineRule="auto"/>
      </w:pPr>
      <w:r>
        <w:br w:type="page"/>
      </w:r>
    </w:p>
    <w:p w:rsidR="00A250B8" w:rsidRPr="0015223D" w:rsidRDefault="00A250B8" w:rsidP="00A250B8">
      <w:pPr>
        <w:pStyle w:val="HChGR"/>
      </w:pPr>
      <w:bookmarkStart w:id="3" w:name="_Toc397351332"/>
      <w:r w:rsidRPr="0015223D">
        <w:t xml:space="preserve">Приложение </w:t>
      </w:r>
      <w:r w:rsidRPr="005659D0">
        <w:t>I</w:t>
      </w:r>
      <w:bookmarkEnd w:id="3"/>
    </w:p>
    <w:p w:rsidR="00A250B8" w:rsidRPr="0015223D" w:rsidRDefault="00A250B8" w:rsidP="00A250B8">
      <w:pPr>
        <w:pStyle w:val="HChGR"/>
      </w:pPr>
      <w:r w:rsidRPr="0015223D">
        <w:tab/>
      </w:r>
      <w:r w:rsidRPr="0015223D">
        <w:tab/>
        <w:t>Проекты поправок к Правилам, прилагаемым к</w:t>
      </w:r>
      <w:r>
        <w:t> </w:t>
      </w:r>
      <w:r w:rsidRPr="0015223D">
        <w:t>ВОПОГ, для вступления в силу 1 января 2017 года</w:t>
      </w:r>
    </w:p>
    <w:p w:rsidR="00A250B8" w:rsidRPr="005B0F9A" w:rsidRDefault="00A250B8" w:rsidP="00737F86">
      <w:pPr>
        <w:pStyle w:val="SingleTxtGR"/>
      </w:pPr>
      <w:r w:rsidRPr="005B0F9A">
        <w:t>(</w:t>
      </w:r>
      <w:r w:rsidRPr="00A745DF">
        <w:rPr>
          <w:i/>
        </w:rPr>
        <w:t>см.</w:t>
      </w:r>
      <w:r w:rsidRPr="005B0F9A">
        <w:t xml:space="preserve"> </w:t>
      </w:r>
      <w:r w:rsidRPr="00B24C6B">
        <w:rPr>
          <w:lang w:val="en-US"/>
        </w:rPr>
        <w:t>ECE</w:t>
      </w:r>
      <w:r w:rsidRPr="005B0F9A">
        <w:t>/</w:t>
      </w:r>
      <w:r w:rsidRPr="00B24C6B">
        <w:rPr>
          <w:lang w:val="en-US"/>
        </w:rPr>
        <w:t>ADN</w:t>
      </w:r>
      <w:r w:rsidRPr="005B0F9A">
        <w:t>/36/</w:t>
      </w:r>
      <w:r w:rsidRPr="00B24C6B">
        <w:rPr>
          <w:lang w:val="en-US"/>
        </w:rPr>
        <w:t>Add</w:t>
      </w:r>
      <w:r w:rsidRPr="005B0F9A">
        <w:t>.1)</w:t>
      </w:r>
    </w:p>
    <w:p w:rsidR="00A250B8" w:rsidRPr="005B0F9A" w:rsidRDefault="00A250B8" w:rsidP="00A250B8">
      <w:pPr>
        <w:pStyle w:val="HChGR"/>
      </w:pPr>
      <w:r w:rsidRPr="005B0F9A">
        <w:br w:type="page"/>
      </w:r>
      <w:bookmarkStart w:id="4" w:name="_Toc397351334"/>
      <w:r w:rsidRPr="005B0F9A">
        <w:t xml:space="preserve">Приложение </w:t>
      </w:r>
      <w:r w:rsidRPr="005659D0">
        <w:t>II</w:t>
      </w:r>
      <w:bookmarkEnd w:id="4"/>
    </w:p>
    <w:p w:rsidR="00A250B8" w:rsidRPr="005B0F9A" w:rsidRDefault="00A250B8" w:rsidP="00A250B8">
      <w:pPr>
        <w:pStyle w:val="HChGR"/>
      </w:pPr>
      <w:r w:rsidRPr="005B0F9A">
        <w:tab/>
      </w:r>
      <w:r w:rsidRPr="005B0F9A">
        <w:tab/>
        <w:t xml:space="preserve">Предлагаемые исправления к поправкам к Правилам, прилагаемым к ВОПОГ, для вступления в силу </w:t>
      </w:r>
      <w:r>
        <w:br/>
      </w:r>
      <w:r w:rsidRPr="005B0F9A">
        <w:t>1 января 2017 года</w:t>
      </w:r>
    </w:p>
    <w:p w:rsidR="00A250B8" w:rsidRPr="0084222C" w:rsidRDefault="00A250B8" w:rsidP="00737F86">
      <w:pPr>
        <w:pStyle w:val="SingleTxtGR"/>
      </w:pPr>
      <w:r w:rsidRPr="0084222C">
        <w:t>(</w:t>
      </w:r>
      <w:r w:rsidRPr="00A745DF">
        <w:rPr>
          <w:i/>
        </w:rPr>
        <w:t>см.</w:t>
      </w:r>
      <w:r w:rsidRPr="00737F86">
        <w:t xml:space="preserve"> </w:t>
      </w:r>
      <w:r w:rsidRPr="00B24C6B">
        <w:rPr>
          <w:lang w:val="en-US"/>
        </w:rPr>
        <w:t>ECE</w:t>
      </w:r>
      <w:r w:rsidRPr="0084222C">
        <w:t>/</w:t>
      </w:r>
      <w:r w:rsidRPr="00B24C6B">
        <w:rPr>
          <w:lang w:val="en-US"/>
        </w:rPr>
        <w:t>ADN</w:t>
      </w:r>
      <w:r w:rsidRPr="0084222C">
        <w:t>/36/</w:t>
      </w:r>
      <w:r w:rsidRPr="00B24C6B">
        <w:rPr>
          <w:lang w:val="en-US"/>
        </w:rPr>
        <w:t>Corr</w:t>
      </w:r>
      <w:r w:rsidRPr="0084222C">
        <w:t>.1)</w:t>
      </w:r>
    </w:p>
    <w:p w:rsidR="00A250B8" w:rsidRPr="0084222C" w:rsidRDefault="00A250B8" w:rsidP="00A250B8">
      <w:pPr>
        <w:pStyle w:val="HChGR"/>
      </w:pPr>
      <w:r w:rsidRPr="0084222C">
        <w:br w:type="page"/>
      </w:r>
      <w:bookmarkStart w:id="5" w:name="_Toc397351336"/>
      <w:r w:rsidRPr="0084222C">
        <w:t xml:space="preserve">Приложение </w:t>
      </w:r>
      <w:r w:rsidRPr="005659D0">
        <w:t>III</w:t>
      </w:r>
      <w:bookmarkEnd w:id="5"/>
    </w:p>
    <w:p w:rsidR="00A250B8" w:rsidRPr="0084222C" w:rsidRDefault="00A250B8" w:rsidP="00A250B8">
      <w:pPr>
        <w:pStyle w:val="HChGR"/>
      </w:pPr>
      <w:r w:rsidRPr="0084222C">
        <w:tab/>
      </w:r>
      <w:r w:rsidRPr="0084222C">
        <w:tab/>
        <w:t>Проекты поправок к Правилам, прилагаемым к</w:t>
      </w:r>
      <w:r w:rsidR="00A14A95">
        <w:t> </w:t>
      </w:r>
      <w:r w:rsidRPr="0084222C">
        <w:t>ВОПОГ, для вступления в силу 1 января 2019 года</w:t>
      </w:r>
    </w:p>
    <w:p w:rsidR="00A250B8" w:rsidRPr="005D568E" w:rsidRDefault="00A250B8" w:rsidP="00737F86">
      <w:pPr>
        <w:pStyle w:val="H23GR"/>
      </w:pPr>
      <w:r w:rsidRPr="0084222C">
        <w:tab/>
      </w:r>
      <w:r w:rsidRPr="0084222C">
        <w:tab/>
      </w:r>
      <w:r w:rsidRPr="005D568E">
        <w:t>Глава 9.3</w:t>
      </w:r>
    </w:p>
    <w:p w:rsidR="00A250B8" w:rsidRPr="002074B2" w:rsidRDefault="00A250B8" w:rsidP="00737F86">
      <w:pPr>
        <w:pStyle w:val="SingleTxtGR"/>
      </w:pPr>
      <w:r w:rsidRPr="002074B2">
        <w:t xml:space="preserve">9.3.1.35.1, 9.3.2.35.1 </w:t>
      </w:r>
      <w:r>
        <w:t>и</w:t>
      </w:r>
      <w:r w:rsidRPr="002074B2">
        <w:t xml:space="preserve"> 9.3.3.35.1</w:t>
      </w:r>
      <w:r w:rsidRPr="002074B2">
        <w:tab/>
      </w:r>
      <w:r>
        <w:t>Изменить</w:t>
      </w:r>
      <w:r w:rsidRPr="002074B2">
        <w:t xml:space="preserve"> </w:t>
      </w:r>
      <w:r>
        <w:t>конец текста</w:t>
      </w:r>
      <w:r w:rsidRPr="002074B2">
        <w:t xml:space="preserve"> </w:t>
      </w:r>
      <w:r>
        <w:t>второго</w:t>
      </w:r>
      <w:r w:rsidRPr="002074B2">
        <w:t xml:space="preserve"> </w:t>
      </w:r>
      <w:r>
        <w:t>тире</w:t>
      </w:r>
      <w:r w:rsidRPr="002074B2">
        <w:t xml:space="preserve"> </w:t>
      </w:r>
      <w:r>
        <w:t>следующим</w:t>
      </w:r>
      <w:r w:rsidRPr="002074B2">
        <w:t xml:space="preserve"> </w:t>
      </w:r>
      <w:r>
        <w:t>образом</w:t>
      </w:r>
      <w:r w:rsidRPr="002074B2">
        <w:t>: «…</w:t>
      </w:r>
      <w:r>
        <w:t>а осушение </w:t>
      </w:r>
      <w:r w:rsidR="00737F86">
        <w:t>–</w:t>
      </w:r>
      <w:r w:rsidR="00C766FD">
        <w:t> </w:t>
      </w:r>
      <w:r>
        <w:t>при помощи эжекторов, установленных в грузовом пространстве»</w:t>
      </w:r>
      <w:r w:rsidRPr="002074B2">
        <w:t>.</w:t>
      </w:r>
    </w:p>
    <w:p w:rsidR="00A250B8" w:rsidRPr="00602B2A" w:rsidRDefault="00A250B8" w:rsidP="00737F86">
      <w:pPr>
        <w:pStyle w:val="SingleTxtGR"/>
      </w:pPr>
      <w:r w:rsidRPr="00602B2A">
        <w:rPr>
          <w:i/>
        </w:rPr>
        <w:t xml:space="preserve">(Справочный документ: </w:t>
      </w:r>
      <w:r w:rsidRPr="00B24C6B">
        <w:rPr>
          <w:i/>
          <w:lang w:val="en-US"/>
        </w:rPr>
        <w:t>ECE</w:t>
      </w:r>
      <w:r w:rsidRPr="00602B2A">
        <w:rPr>
          <w:i/>
        </w:rPr>
        <w:t>/</w:t>
      </w:r>
      <w:r w:rsidRPr="00B24C6B">
        <w:rPr>
          <w:i/>
          <w:lang w:val="en-US"/>
        </w:rPr>
        <w:t>TRANS</w:t>
      </w:r>
      <w:r w:rsidRPr="00602B2A">
        <w:rPr>
          <w:i/>
        </w:rPr>
        <w:t>/</w:t>
      </w:r>
      <w:r w:rsidRPr="00B24C6B">
        <w:rPr>
          <w:i/>
          <w:lang w:val="en-US"/>
        </w:rPr>
        <w:t>WP</w:t>
      </w:r>
      <w:r w:rsidRPr="00602B2A">
        <w:rPr>
          <w:i/>
        </w:rPr>
        <w:t>.15/</w:t>
      </w:r>
      <w:r w:rsidRPr="00B24C6B">
        <w:rPr>
          <w:i/>
          <w:lang w:val="en-US"/>
        </w:rPr>
        <w:t>AC</w:t>
      </w:r>
      <w:r w:rsidRPr="00602B2A">
        <w:rPr>
          <w:i/>
        </w:rPr>
        <w:t xml:space="preserve">.2/2016/32 </w:t>
      </w:r>
      <w:r>
        <w:rPr>
          <w:i/>
        </w:rPr>
        <w:t>с внесенными в него изменениями</w:t>
      </w:r>
      <w:r w:rsidRPr="00602B2A">
        <w:rPr>
          <w:i/>
        </w:rPr>
        <w:t>)</w:t>
      </w:r>
    </w:p>
    <w:p w:rsidR="00A250B8" w:rsidRPr="00E02D76" w:rsidRDefault="00A250B8" w:rsidP="00A250B8">
      <w:pPr>
        <w:pStyle w:val="HChGR"/>
      </w:pPr>
      <w:r w:rsidRPr="00602B2A">
        <w:rPr>
          <w:u w:val="single"/>
        </w:rPr>
        <w:br w:type="page"/>
      </w:r>
      <w:bookmarkStart w:id="6" w:name="_Toc397351338"/>
      <w:r w:rsidRPr="00E02D76">
        <w:t xml:space="preserve">Приложение </w:t>
      </w:r>
      <w:r w:rsidRPr="005659D0">
        <w:t>IV</w:t>
      </w:r>
      <w:bookmarkEnd w:id="6"/>
    </w:p>
    <w:p w:rsidR="00A250B8" w:rsidRPr="00E02D76" w:rsidRDefault="00A250B8" w:rsidP="00A250B8">
      <w:pPr>
        <w:pStyle w:val="HChGR"/>
      </w:pPr>
      <w:r w:rsidRPr="00E02D76">
        <w:tab/>
      </w:r>
      <w:r w:rsidRPr="00E02D76">
        <w:tab/>
        <w:t>Предлагаемые исправления к Правилам, прилагаемым к ВОПОГ</w:t>
      </w:r>
    </w:p>
    <w:p w:rsidR="00A250B8" w:rsidRPr="00E73E31" w:rsidRDefault="00A250B8" w:rsidP="00A745DF">
      <w:pPr>
        <w:pStyle w:val="H23GR"/>
      </w:pPr>
      <w:r>
        <w:tab/>
      </w:r>
      <w:r>
        <w:tab/>
      </w:r>
      <w:r w:rsidRPr="00E73E31">
        <w:t>Исправления к официальному тексту (требующие принятия Договаривающимися сторонами)</w:t>
      </w:r>
    </w:p>
    <w:p w:rsidR="00A250B8" w:rsidRPr="00737F86" w:rsidRDefault="00A250B8" w:rsidP="00737F86">
      <w:pPr>
        <w:pStyle w:val="H23GR"/>
      </w:pPr>
      <w:r w:rsidRPr="00737F86">
        <w:tab/>
      </w:r>
      <w:r w:rsidRPr="00737F86">
        <w:tab/>
        <w:t>Часть 2, глава 2.2, 2.2.43.1.8 c)</w:t>
      </w:r>
    </w:p>
    <w:p w:rsidR="00A250B8" w:rsidRPr="001F6CBE" w:rsidRDefault="00A250B8" w:rsidP="00737F86">
      <w:pPr>
        <w:pStyle w:val="SingleTxtGR"/>
      </w:pPr>
      <w:r w:rsidRPr="001F6CBE">
        <w:rPr>
          <w:i/>
          <w:iCs/>
        </w:rPr>
        <w:t>Вместо</w:t>
      </w:r>
      <w:r w:rsidRPr="001F6CBE">
        <w:t xml:space="preserve"> </w:t>
      </w:r>
      <w:r>
        <w:t xml:space="preserve">«с </w:t>
      </w:r>
      <w:r w:rsidRPr="001F6CBE">
        <w:t>максимальной скорост</w:t>
      </w:r>
      <w:r>
        <w:t>ью</w:t>
      </w:r>
      <w:r w:rsidRPr="001F6CBE">
        <w:t xml:space="preserve"> </w:t>
      </w:r>
      <w:r>
        <w:t xml:space="preserve">1 </w:t>
      </w:r>
      <w:r w:rsidRPr="001F6CBE">
        <w:t>литр или бол</w:t>
      </w:r>
      <w:r>
        <w:t>ее на</w:t>
      </w:r>
      <w:r w:rsidRPr="001F6CBE">
        <w:t xml:space="preserve"> килограмм </w:t>
      </w:r>
      <w:r>
        <w:t>вещества в</w:t>
      </w:r>
      <w:r w:rsidRPr="001F6CBE">
        <w:t xml:space="preserve"> час</w:t>
      </w:r>
      <w:r>
        <w:t>»</w:t>
      </w:r>
      <w:r w:rsidRPr="001F6CBE">
        <w:t xml:space="preserve"> </w:t>
      </w:r>
      <w:r w:rsidRPr="001F6CBE">
        <w:rPr>
          <w:i/>
          <w:iCs/>
        </w:rPr>
        <w:t>читать</w:t>
      </w:r>
      <w:r w:rsidRPr="001F6CBE">
        <w:t xml:space="preserve"> </w:t>
      </w:r>
      <w:r>
        <w:t xml:space="preserve">«с </w:t>
      </w:r>
      <w:r w:rsidRPr="001F6CBE">
        <w:t xml:space="preserve">максимальной </w:t>
      </w:r>
      <w:r>
        <w:t>скоростью, превышающей 1</w:t>
      </w:r>
      <w:r w:rsidRPr="001F6CBE">
        <w:t xml:space="preserve"> литр на килограмм </w:t>
      </w:r>
      <w:r>
        <w:t>вещества</w:t>
      </w:r>
      <w:r w:rsidRPr="001F6CBE">
        <w:t xml:space="preserve"> в час</w:t>
      </w:r>
      <w:r>
        <w:t>» (данная поправка не касается текста на русском языке).</w:t>
      </w:r>
    </w:p>
    <w:p w:rsidR="00A250B8" w:rsidRPr="001F6CBE" w:rsidRDefault="00A250B8" w:rsidP="00737F86">
      <w:pPr>
        <w:pStyle w:val="SingleTxtGR"/>
      </w:pPr>
      <w:r w:rsidRPr="001F6CBE">
        <w:rPr>
          <w:i/>
        </w:rPr>
        <w:t xml:space="preserve">(Справочный документ: неофициальный документ </w:t>
      </w:r>
      <w:r>
        <w:rPr>
          <w:i/>
          <w:lang w:val="en-US"/>
        </w:rPr>
        <w:t>INF</w:t>
      </w:r>
      <w:r w:rsidRPr="001F6CBE">
        <w:rPr>
          <w:i/>
        </w:rPr>
        <w:t>.17 двадцать девятой сессии)</w:t>
      </w:r>
    </w:p>
    <w:p w:rsidR="00A250B8" w:rsidRPr="006C17CF" w:rsidRDefault="00A250B8" w:rsidP="00737F86">
      <w:pPr>
        <w:pStyle w:val="H23GR"/>
      </w:pPr>
      <w:r w:rsidRPr="001F6CBE">
        <w:tab/>
      </w:r>
      <w:r w:rsidRPr="001F6CBE">
        <w:tab/>
      </w:r>
      <w:r w:rsidRPr="006C17CF">
        <w:t>Часть 3, глава 3.2, таблица С, № ООН 3264, четверт</w:t>
      </w:r>
      <w:r>
        <w:t>ая</w:t>
      </w:r>
      <w:r w:rsidRPr="006C17CF">
        <w:t>, пят</w:t>
      </w:r>
      <w:r>
        <w:t>ая</w:t>
      </w:r>
      <w:r w:rsidRPr="006C17CF">
        <w:t xml:space="preserve"> и шест</w:t>
      </w:r>
      <w:r>
        <w:t>ая позиции</w:t>
      </w:r>
      <w:r w:rsidRPr="006C17CF">
        <w:t>, колонка 2</w:t>
      </w:r>
    </w:p>
    <w:p w:rsidR="00A250B8" w:rsidRPr="00025C18" w:rsidRDefault="00A250B8" w:rsidP="00737F86">
      <w:pPr>
        <w:pStyle w:val="SingleTxtGR"/>
      </w:pPr>
      <w:r>
        <w:rPr>
          <w:i/>
        </w:rPr>
        <w:t>Вместо</w:t>
      </w:r>
      <w:r w:rsidRPr="00025C18">
        <w:rPr>
          <w:i/>
        </w:rPr>
        <w:t xml:space="preserve"> </w:t>
      </w:r>
      <w:r>
        <w:rPr>
          <w:iCs/>
        </w:rPr>
        <w:t>«</w:t>
      </w:r>
      <w:r w:rsidRPr="00025C18">
        <w:rPr>
          <w:iCs/>
        </w:rPr>
        <w:t>КОРРОЗИОННАЯ ЖИДКОСТЬ КИСЛАЯ НЕОРГАНИЧЕСКАЯ, Н.У.К (ВОДНЫЙ РАСТВОР ФОСФОРНОЙ И ЛИМОННОЙ КИСЛОТ)</w:t>
      </w:r>
      <w:r>
        <w:rPr>
          <w:iCs/>
        </w:rPr>
        <w:t>»</w:t>
      </w:r>
      <w:r w:rsidRPr="00025C18">
        <w:rPr>
          <w:iCs/>
        </w:rPr>
        <w:t xml:space="preserve"> </w:t>
      </w:r>
      <w:r>
        <w:rPr>
          <w:i/>
        </w:rPr>
        <w:t>читать</w:t>
      </w:r>
      <w:r w:rsidRPr="00025C18">
        <w:t xml:space="preserve"> </w:t>
      </w:r>
      <w:r>
        <w:t>«КОРРОЗИОННАЯ ЖИДКОСТЬ КИСЛАЯ НЕОРГАНИЧЕСКАЯ, Н.У.К (ВОДНЫЙ РАСТВОР ФОСФОРНОЙ И АЗОТНОЙ КИСЛОТ)» (данная поправка не касается текста на русском языке).</w:t>
      </w:r>
    </w:p>
    <w:p w:rsidR="00A250B8" w:rsidRPr="00982823" w:rsidRDefault="00A250B8" w:rsidP="00737F86">
      <w:pPr>
        <w:pStyle w:val="SingleTxtGR"/>
        <w:rPr>
          <w:i/>
        </w:rPr>
      </w:pPr>
      <w:r w:rsidRPr="005659D0">
        <w:rPr>
          <w:i/>
        </w:rPr>
        <w:t>(</w:t>
      </w:r>
      <w:r>
        <w:rPr>
          <w:i/>
        </w:rPr>
        <w:t>Справочный документ</w:t>
      </w:r>
      <w:r w:rsidRPr="005659D0">
        <w:rPr>
          <w:i/>
        </w:rPr>
        <w:t>: ECE/TRANS/WP.15/AC.2/2016/37)</w:t>
      </w:r>
    </w:p>
    <w:p w:rsidR="00957F63" w:rsidRPr="00737F86" w:rsidRDefault="00737F86" w:rsidP="00737F8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57F63" w:rsidRPr="00737F86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F4" w:rsidRDefault="007B2CF4" w:rsidP="00B471C5">
      <w:r>
        <w:separator/>
      </w:r>
    </w:p>
  </w:endnote>
  <w:endnote w:type="continuationSeparator" w:id="0">
    <w:p w:rsidR="007B2CF4" w:rsidRDefault="007B2CF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F4" w:rsidRPr="009A6F4A" w:rsidRDefault="007B2CF4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54A17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Pr="00957F63">
      <w:rPr>
        <w:lang w:val="en-US"/>
      </w:rPr>
      <w:t>17309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F4" w:rsidRPr="009A6F4A" w:rsidRDefault="007B2CF4" w:rsidP="007005EE">
    <w:pPr>
      <w:pStyle w:val="Footer"/>
      <w:rPr>
        <w:lang w:val="en-US"/>
      </w:rPr>
    </w:pPr>
    <w:r>
      <w:rPr>
        <w:lang w:val="en-US"/>
      </w:rPr>
      <w:t>GE.16-</w:t>
    </w:r>
    <w:r w:rsidRPr="00957F63">
      <w:rPr>
        <w:lang w:val="en-US"/>
      </w:rPr>
      <w:t>17309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54A17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7B2CF4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B2CF4" w:rsidRPr="001C3ABC" w:rsidRDefault="007B2CF4" w:rsidP="00B04567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Pr="00957F63">
            <w:rPr>
              <w:lang w:val="en-US"/>
            </w:rPr>
            <w:t>17309</w:t>
          </w:r>
          <w:r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191016  201016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7B2CF4" w:rsidRDefault="007B2CF4" w:rsidP="00B04567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7B2CF4" w:rsidRDefault="007B2CF4" w:rsidP="00B04567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2/6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6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2CF4" w:rsidRPr="00797A78" w:rsidTr="00B04567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B2CF4" w:rsidRPr="00957F63" w:rsidRDefault="007B2CF4" w:rsidP="00B04567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57F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57F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57F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57F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57F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57F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957F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57F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57F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7B2CF4" w:rsidRDefault="007B2CF4" w:rsidP="00B04567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7B2CF4" w:rsidRDefault="007B2CF4" w:rsidP="00B04567"/>
      </w:tc>
    </w:tr>
  </w:tbl>
  <w:p w:rsidR="007B2CF4" w:rsidRPr="007005EE" w:rsidRDefault="007B2CF4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F4" w:rsidRPr="009141DC" w:rsidRDefault="007B2CF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B2CF4" w:rsidRPr="00D1261C" w:rsidRDefault="007B2CF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B2CF4" w:rsidRPr="003127E0" w:rsidRDefault="007B2CF4" w:rsidP="00A14A95">
      <w:pPr>
        <w:pStyle w:val="FootnoteText"/>
        <w:spacing w:after="120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3127E0">
        <w:rPr>
          <w:lang w:val="ru-RU"/>
        </w:rPr>
        <w:tab/>
        <w:t xml:space="preserve">Распространен на немецком языке Центральной комиссией судоходства по Рейну </w:t>
      </w:r>
      <w:r>
        <w:rPr>
          <w:lang w:val="ru-RU"/>
        </w:rPr>
        <w:br/>
      </w:r>
      <w:r w:rsidRPr="003127E0">
        <w:rPr>
          <w:lang w:val="ru-RU"/>
        </w:rPr>
        <w:t>под условным обозначением CCNR/ZKR/ADN/WP.15/AC.2/60.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F4" w:rsidRPr="007005EE" w:rsidRDefault="007B2CF4">
    <w:pPr>
      <w:pStyle w:val="Header"/>
      <w:rPr>
        <w:lang w:val="en-US"/>
      </w:rPr>
    </w:pPr>
    <w:r>
      <w:rPr>
        <w:lang w:val="en-US"/>
      </w:rPr>
      <w:t>ECE/</w:t>
    </w:r>
    <w:r w:rsidRPr="00957F63">
      <w:rPr>
        <w:lang w:val="en-US"/>
      </w:rPr>
      <w:t>TRANS/WP.15/AC.2/60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F4" w:rsidRPr="004D639B" w:rsidRDefault="007B2CF4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957F63">
      <w:rPr>
        <w:lang w:val="en-US"/>
      </w:rPr>
      <w:t>TRANS/WP.15/AC.2/60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F4" w:rsidRDefault="007B2CF4" w:rsidP="00957F6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63"/>
    <w:rsid w:val="000450D1"/>
    <w:rsid w:val="00063EFA"/>
    <w:rsid w:val="00080203"/>
    <w:rsid w:val="000B1FD5"/>
    <w:rsid w:val="000F2A4F"/>
    <w:rsid w:val="00203F84"/>
    <w:rsid w:val="00214D39"/>
    <w:rsid w:val="00275188"/>
    <w:rsid w:val="0028687D"/>
    <w:rsid w:val="00294D21"/>
    <w:rsid w:val="002961AC"/>
    <w:rsid w:val="002B091C"/>
    <w:rsid w:val="002B3D40"/>
    <w:rsid w:val="002D0CCB"/>
    <w:rsid w:val="003127E0"/>
    <w:rsid w:val="00345C79"/>
    <w:rsid w:val="00366A39"/>
    <w:rsid w:val="00386264"/>
    <w:rsid w:val="00427278"/>
    <w:rsid w:val="00474D07"/>
    <w:rsid w:val="0048005C"/>
    <w:rsid w:val="004D639B"/>
    <w:rsid w:val="004E242B"/>
    <w:rsid w:val="00544379"/>
    <w:rsid w:val="00566944"/>
    <w:rsid w:val="005B1BB2"/>
    <w:rsid w:val="005D56BF"/>
    <w:rsid w:val="0062027E"/>
    <w:rsid w:val="00626362"/>
    <w:rsid w:val="00643644"/>
    <w:rsid w:val="00654A17"/>
    <w:rsid w:val="00665D8D"/>
    <w:rsid w:val="006A7A3B"/>
    <w:rsid w:val="006B6B57"/>
    <w:rsid w:val="006E6BC8"/>
    <w:rsid w:val="006F49F1"/>
    <w:rsid w:val="007005EE"/>
    <w:rsid w:val="00705394"/>
    <w:rsid w:val="00737F86"/>
    <w:rsid w:val="00743F62"/>
    <w:rsid w:val="00760D3A"/>
    <w:rsid w:val="00773BA8"/>
    <w:rsid w:val="007A1F42"/>
    <w:rsid w:val="007B2CF4"/>
    <w:rsid w:val="007D76DD"/>
    <w:rsid w:val="007E649E"/>
    <w:rsid w:val="00812767"/>
    <w:rsid w:val="008717E8"/>
    <w:rsid w:val="008D01AE"/>
    <w:rsid w:val="008E0423"/>
    <w:rsid w:val="009141DC"/>
    <w:rsid w:val="009174A1"/>
    <w:rsid w:val="00950655"/>
    <w:rsid w:val="00957F63"/>
    <w:rsid w:val="0098674D"/>
    <w:rsid w:val="00997ACA"/>
    <w:rsid w:val="00A03FB7"/>
    <w:rsid w:val="00A14A95"/>
    <w:rsid w:val="00A250B8"/>
    <w:rsid w:val="00A55C56"/>
    <w:rsid w:val="00A658DB"/>
    <w:rsid w:val="00A745DF"/>
    <w:rsid w:val="00A75A11"/>
    <w:rsid w:val="00A9606E"/>
    <w:rsid w:val="00AD7EAD"/>
    <w:rsid w:val="00B04567"/>
    <w:rsid w:val="00B21F61"/>
    <w:rsid w:val="00B35A32"/>
    <w:rsid w:val="00B432C6"/>
    <w:rsid w:val="00B471C5"/>
    <w:rsid w:val="00B54C8A"/>
    <w:rsid w:val="00B6474A"/>
    <w:rsid w:val="00BE1742"/>
    <w:rsid w:val="00C766FD"/>
    <w:rsid w:val="00C93ABC"/>
    <w:rsid w:val="00C94E1E"/>
    <w:rsid w:val="00CA1824"/>
    <w:rsid w:val="00CC15F7"/>
    <w:rsid w:val="00D1261C"/>
    <w:rsid w:val="00D26030"/>
    <w:rsid w:val="00D75DCE"/>
    <w:rsid w:val="00DD35AC"/>
    <w:rsid w:val="00DD479F"/>
    <w:rsid w:val="00E15E48"/>
    <w:rsid w:val="00E16340"/>
    <w:rsid w:val="00E772D1"/>
    <w:rsid w:val="00EB0723"/>
    <w:rsid w:val="00EB161C"/>
    <w:rsid w:val="00EB2957"/>
    <w:rsid w:val="00EE6F37"/>
    <w:rsid w:val="00F1599F"/>
    <w:rsid w:val="00F31EF2"/>
    <w:rsid w:val="00F46FDF"/>
    <w:rsid w:val="00F77D5F"/>
    <w:rsid w:val="00FB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7F1CB54-B030-49BC-A717-8DD234B5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info/open-unece/evaluation.htm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44FF-60A6-4344-997F-508CCD89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5612</Words>
  <Characters>31989</Characters>
  <Application>Microsoft Office Word</Application>
  <DocSecurity>0</DocSecurity>
  <Lines>266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Caillot</cp:lastModifiedBy>
  <cp:revision>2</cp:revision>
  <cp:lastPrinted>2016-10-20T12:24:00Z</cp:lastPrinted>
  <dcterms:created xsi:type="dcterms:W3CDTF">2016-10-26T06:51:00Z</dcterms:created>
  <dcterms:modified xsi:type="dcterms:W3CDTF">2016-10-26T06:51:00Z</dcterms:modified>
</cp:coreProperties>
</file>