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D7" w:rsidRPr="008401BA" w:rsidRDefault="003C11D7" w:rsidP="003C11D7">
      <w:pPr>
        <w:spacing w:line="60" w:lineRule="exact"/>
        <w:rPr>
          <w:color w:val="010000"/>
          <w:sz w:val="6"/>
        </w:rPr>
        <w:sectPr w:rsidR="003C11D7" w:rsidRPr="008401BA" w:rsidSect="003C11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401BA" w:rsidRPr="00884F0E" w:rsidRDefault="008401BA" w:rsidP="008401B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8401BA" w:rsidRPr="00884F0E" w:rsidRDefault="008401BA" w:rsidP="008401BA">
      <w:pPr>
        <w:spacing w:line="120" w:lineRule="exact"/>
        <w:rPr>
          <w:sz w:val="10"/>
        </w:rPr>
      </w:pPr>
    </w:p>
    <w:p w:rsidR="008401BA" w:rsidRPr="00884F0E" w:rsidRDefault="008401BA" w:rsidP="008401B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AE460A">
        <w:rPr>
          <w:b w:val="0"/>
          <w:bCs/>
        </w:rPr>
        <w:t>Комитет по внутреннему транспорту</w:t>
      </w:r>
    </w:p>
    <w:p w:rsidR="008401BA" w:rsidRPr="00884F0E" w:rsidRDefault="008401BA" w:rsidP="008401BA">
      <w:pPr>
        <w:spacing w:line="120" w:lineRule="exact"/>
        <w:rPr>
          <w:sz w:val="10"/>
        </w:rPr>
      </w:pPr>
    </w:p>
    <w:p w:rsidR="008401BA" w:rsidRPr="00884F0E" w:rsidRDefault="008401BA" w:rsidP="008401B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AE460A">
        <w:br/>
      </w:r>
      <w:r>
        <w:t>в области транспортных средств</w:t>
      </w:r>
    </w:p>
    <w:p w:rsidR="008401BA" w:rsidRPr="00884F0E" w:rsidRDefault="008401BA" w:rsidP="008401BA">
      <w:pPr>
        <w:spacing w:line="120" w:lineRule="exact"/>
        <w:rPr>
          <w:sz w:val="10"/>
        </w:rPr>
      </w:pPr>
    </w:p>
    <w:p w:rsidR="008401BA" w:rsidRPr="00884F0E" w:rsidRDefault="008401BA" w:rsidP="008401B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вопросам торможения</w:t>
      </w:r>
      <w:r w:rsidRPr="00AE460A">
        <w:br/>
      </w:r>
      <w:r>
        <w:t>и ходовой части</w:t>
      </w:r>
    </w:p>
    <w:p w:rsidR="008401BA" w:rsidRPr="00884F0E" w:rsidRDefault="008401BA" w:rsidP="008401BA">
      <w:pPr>
        <w:spacing w:line="120" w:lineRule="exact"/>
        <w:rPr>
          <w:sz w:val="10"/>
        </w:rPr>
      </w:pPr>
    </w:p>
    <w:p w:rsidR="008401BA" w:rsidRDefault="008401BA" w:rsidP="008401B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Восемьдесят  первая сессия</w:t>
      </w:r>
    </w:p>
    <w:p w:rsidR="008401BA" w:rsidRDefault="008401BA" w:rsidP="008401BA">
      <w:r>
        <w:t>Женева, 1−5 февраля 2016 года</w:t>
      </w:r>
    </w:p>
    <w:p w:rsidR="008401BA" w:rsidRDefault="008401BA" w:rsidP="008401BA">
      <w:r>
        <w:t xml:space="preserve">Пункт 7 </w:t>
      </w:r>
      <w:r>
        <w:rPr>
          <w:lang w:val="en-US"/>
        </w:rPr>
        <w:t>b</w:t>
      </w:r>
      <w:r>
        <w:t>) предварительной повестки дня</w:t>
      </w:r>
    </w:p>
    <w:p w:rsidR="008401BA" w:rsidRPr="00CC1C5D" w:rsidRDefault="008401BA" w:rsidP="008B6FE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Шины – Правила № </w:t>
      </w:r>
      <w:r w:rsidR="008B6FE0" w:rsidRPr="00CC1C5D">
        <w:t>30</w:t>
      </w:r>
    </w:p>
    <w:p w:rsidR="008401BA" w:rsidRPr="00884F0E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884F0E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884F0E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AE460A" w:rsidRDefault="008401BA" w:rsidP="008401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</w:rPr>
      </w:pPr>
      <w:r>
        <w:tab/>
      </w:r>
      <w:r>
        <w:tab/>
        <w:t xml:space="preserve">Предложение по поправкам к Правилам № </w:t>
      </w:r>
      <w:r w:rsidRPr="007A1492">
        <w:t>30</w:t>
      </w:r>
      <w:r>
        <w:t xml:space="preserve"> (Единообразные предписания, касающиеся официального утверждения пневматических шин</w:t>
      </w:r>
      <w:r w:rsidRPr="007A1492">
        <w:t xml:space="preserve"> </w:t>
      </w:r>
      <w:r w:rsidR="00CC1C5D" w:rsidRPr="00CC1C5D">
        <w:br/>
      </w:r>
      <w:r>
        <w:t>для автотранспортных средств и</w:t>
      </w:r>
      <w:r>
        <w:rPr>
          <w:lang w:val="en-US"/>
        </w:rPr>
        <w:t> </w:t>
      </w:r>
      <w:r>
        <w:t>их прицепов)</w:t>
      </w:r>
    </w:p>
    <w:p w:rsidR="008401BA" w:rsidRPr="00AE460A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884F0E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884F0E" w:rsidRDefault="008401BA" w:rsidP="008401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экспертом от Франции</w:t>
      </w:r>
      <w:r w:rsidRPr="008401BA">
        <w:rPr>
          <w:b w:val="0"/>
          <w:bCs/>
          <w:sz w:val="20"/>
          <w:szCs w:val="20"/>
        </w:rPr>
        <w:footnoteReference w:customMarkFollows="1" w:id="1"/>
        <w:t>*</w:t>
      </w:r>
    </w:p>
    <w:p w:rsidR="008401BA" w:rsidRPr="00884F0E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884F0E" w:rsidRDefault="008401BA" w:rsidP="008401BA">
      <w:pPr>
        <w:pStyle w:val="SingleTxt"/>
        <w:spacing w:after="0" w:line="120" w:lineRule="exact"/>
        <w:rPr>
          <w:sz w:val="10"/>
        </w:rPr>
      </w:pPr>
    </w:p>
    <w:p w:rsidR="003C11D7" w:rsidRPr="008401BA" w:rsidRDefault="008401BA" w:rsidP="008401BA">
      <w:pPr>
        <w:pStyle w:val="SingleTxt"/>
      </w:pPr>
      <w:r w:rsidRPr="00884F0E">
        <w:tab/>
      </w:r>
      <w:r>
        <w:t>Воспроизведенный ниже текст был подготовлен экспертом от Франции в целях внесения поправок в Правила № 30. Изменения к существующему тексту Правил выделены жирным шрифтом (новые положения) или зачеркиванием (исключенные элементы). Изменения, внесенные в документ ECE/TRANS/WP.29/</w:t>
      </w:r>
      <w:r w:rsidRPr="008401BA">
        <w:br/>
      </w:r>
      <w:r>
        <w:t xml:space="preserve">GRRF/2015/25, выделены </w:t>
      </w:r>
      <w:r w:rsidRPr="00E22822">
        <w:rPr>
          <w:i/>
          <w:iCs/>
          <w:color w:val="FF0000"/>
        </w:rPr>
        <w:t>красным</w:t>
      </w:r>
      <w:r>
        <w:t xml:space="preserve"> цветом.</w:t>
      </w:r>
    </w:p>
    <w:p w:rsidR="008401BA" w:rsidRPr="008401BA" w:rsidRDefault="008401BA" w:rsidP="008401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01BA">
        <w:br w:type="page"/>
      </w:r>
      <w:r w:rsidRPr="008401BA">
        <w:lastRenderedPageBreak/>
        <w:tab/>
        <w:t>I.</w:t>
      </w:r>
      <w:r w:rsidRPr="008401BA">
        <w:tab/>
        <w:t>Предложение</w:t>
      </w:r>
    </w:p>
    <w:p w:rsidR="008401BA" w:rsidRPr="008401BA" w:rsidRDefault="008401BA" w:rsidP="008401BA">
      <w:pPr>
        <w:pStyle w:val="SingleTxt"/>
        <w:spacing w:after="0" w:line="120" w:lineRule="exact"/>
        <w:rPr>
          <w:i/>
          <w:sz w:val="10"/>
        </w:rPr>
      </w:pPr>
    </w:p>
    <w:p w:rsidR="008401BA" w:rsidRPr="008401BA" w:rsidRDefault="008401BA" w:rsidP="008401BA">
      <w:pPr>
        <w:pStyle w:val="SingleTxt"/>
        <w:spacing w:after="0" w:line="120" w:lineRule="exact"/>
        <w:rPr>
          <w:i/>
          <w:sz w:val="10"/>
        </w:rPr>
      </w:pP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Пункт 1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</w:pPr>
      <w:bookmarkStart w:id="1" w:name="_Toc340666205"/>
      <w:bookmarkStart w:id="2" w:name="_Toc340745068"/>
      <w:r w:rsidRPr="008401BA">
        <w:t>«1.</w:t>
      </w:r>
      <w:r w:rsidRPr="008401BA">
        <w:tab/>
      </w:r>
      <w:r w:rsidRPr="008401BA">
        <w:tab/>
        <w:t>Область применения</w:t>
      </w:r>
    </w:p>
    <w:p w:rsidR="008401BA" w:rsidRPr="008401BA" w:rsidRDefault="008401BA" w:rsidP="008401BA">
      <w:pPr>
        <w:pStyle w:val="SingleTxt"/>
        <w:ind w:left="2218"/>
      </w:pPr>
      <w:r w:rsidRPr="008401BA">
        <w:t>Настоящие Правила распространяются на новые пневматические шины</w:t>
      </w:r>
      <w:r w:rsidRPr="008401BA">
        <w:rPr>
          <w:b/>
        </w:rPr>
        <w:t>*</w:t>
      </w:r>
      <w:r w:rsidRPr="008401BA">
        <w:t>, предназначенные преимущественно для транспортных средств категорий M</w:t>
      </w:r>
      <w:r w:rsidRPr="008401BA">
        <w:rPr>
          <w:vertAlign w:val="subscript"/>
        </w:rPr>
        <w:t>1</w:t>
      </w:r>
      <w:r w:rsidRPr="008401BA">
        <w:t>, N</w:t>
      </w:r>
      <w:r w:rsidRPr="008401BA">
        <w:rPr>
          <w:vertAlign w:val="subscript"/>
        </w:rPr>
        <w:t>1</w:t>
      </w:r>
      <w:r w:rsidRPr="008401BA">
        <w:t>, O</w:t>
      </w:r>
      <w:r w:rsidRPr="008401BA">
        <w:rPr>
          <w:vertAlign w:val="subscript"/>
        </w:rPr>
        <w:t>1</w:t>
      </w:r>
      <w:r w:rsidRPr="008401BA">
        <w:t xml:space="preserve"> и O</w:t>
      </w:r>
      <w:r w:rsidRPr="008401BA">
        <w:rPr>
          <w:vertAlign w:val="subscript"/>
        </w:rPr>
        <w:t>2</w:t>
      </w:r>
      <w:r w:rsidRPr="008401BA">
        <w:t xml:space="preserve">**. </w:t>
      </w:r>
    </w:p>
    <w:p w:rsidR="008401BA" w:rsidRPr="008401BA" w:rsidRDefault="008401BA" w:rsidP="008401BA">
      <w:pPr>
        <w:pStyle w:val="SingleTxt"/>
        <w:ind w:left="2218"/>
      </w:pPr>
      <w:r w:rsidRPr="008401BA">
        <w:t>Они не применяются к шинам, предназначенным преимущественно для: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(a)</w:t>
      </w:r>
      <w:r w:rsidRPr="008401BA">
        <w:t xml:space="preserve"> </w:t>
      </w:r>
      <w:r w:rsidRPr="008401BA">
        <w:rPr>
          <w:b/>
        </w:rPr>
        <w:t>1.1</w:t>
      </w:r>
      <w:r w:rsidRPr="008401BA">
        <w:tab/>
        <w:t>оборудования автомобилей старых марок;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(b)</w:t>
      </w:r>
      <w:r w:rsidRPr="008401BA">
        <w:t xml:space="preserve"> </w:t>
      </w:r>
      <w:r w:rsidRPr="008401BA">
        <w:rPr>
          <w:b/>
        </w:rPr>
        <w:t>1.2</w:t>
      </w:r>
      <w:r w:rsidRPr="008401BA">
        <w:tab/>
        <w:t>соревнований.</w:t>
      </w:r>
    </w:p>
    <w:p w:rsidR="008401BA" w:rsidRPr="008401BA" w:rsidRDefault="008401BA" w:rsidP="008401BA">
      <w:pPr>
        <w:pStyle w:val="SingleTxt"/>
      </w:pPr>
      <w:r w:rsidRPr="008401BA">
        <w:separator/>
      </w:r>
    </w:p>
    <w:p w:rsidR="008401BA" w:rsidRPr="008401BA" w:rsidRDefault="008401BA" w:rsidP="00CC1C5D">
      <w:pPr>
        <w:pStyle w:val="SingleTxt"/>
        <w:rPr>
          <w:b/>
        </w:rPr>
      </w:pPr>
      <w:r w:rsidRPr="008401BA">
        <w:rPr>
          <w:b/>
        </w:rPr>
        <w:t>*  Да</w:t>
      </w:r>
      <w:r w:rsidR="00CC1C5D">
        <w:rPr>
          <w:b/>
        </w:rPr>
        <w:t>лее по тексту документа термин "</w:t>
      </w:r>
      <w:r w:rsidRPr="008401BA">
        <w:rPr>
          <w:b/>
        </w:rPr>
        <w:t>шины</w:t>
      </w:r>
      <w:r w:rsidR="00CC1C5D">
        <w:rPr>
          <w:b/>
        </w:rPr>
        <w:t>"</w:t>
      </w:r>
      <w:r w:rsidRPr="008401BA">
        <w:rPr>
          <w:b/>
        </w:rPr>
        <w:t xml:space="preserve"> означает "пневматические </w:t>
      </w:r>
      <w:r w:rsidRPr="008401BA">
        <w:rPr>
          <w:b/>
        </w:rPr>
        <w:br/>
        <w:t>шины"</w:t>
      </w:r>
      <w:r w:rsidRPr="008401BA">
        <w:t>».</w:t>
      </w:r>
    </w:p>
    <w:bookmarkEnd w:id="1"/>
    <w:bookmarkEnd w:id="2"/>
    <w:p w:rsidR="008401BA" w:rsidRPr="008401BA" w:rsidRDefault="008401BA" w:rsidP="008401BA">
      <w:pPr>
        <w:pStyle w:val="SingleTxt"/>
      </w:pPr>
      <w:r w:rsidRPr="008401BA">
        <w:rPr>
          <w:i/>
        </w:rPr>
        <w:t>Пункт 2.1</w:t>
      </w:r>
      <w:r w:rsidRPr="008401BA">
        <w:rPr>
          <w:iCs/>
        </w:rPr>
        <w:t xml:space="preserve"> изменить следующим образом</w:t>
      </w:r>
      <w:r w:rsidRPr="008401BA">
        <w:t>:</w:t>
      </w:r>
    </w:p>
    <w:p w:rsidR="008401BA" w:rsidRPr="008401BA" w:rsidRDefault="008401BA" w:rsidP="008401BA">
      <w:pPr>
        <w:pStyle w:val="SingleTxt"/>
      </w:pPr>
      <w:r w:rsidRPr="008401BA">
        <w:t>«2.1</w:t>
      </w:r>
      <w:r w:rsidRPr="008401BA">
        <w:tab/>
      </w:r>
      <w:r w:rsidRPr="008401BA">
        <w:tab/>
        <w:t xml:space="preserve">«тип </w:t>
      </w:r>
      <w:r w:rsidRPr="00A165D7">
        <w:rPr>
          <w:strike/>
        </w:rPr>
        <w:t>пневматической</w:t>
      </w:r>
      <w:r w:rsidRPr="008401BA">
        <w:t xml:space="preserve"> шины»</w:t>
      </w:r>
    </w:p>
    <w:p w:rsidR="008401BA" w:rsidRPr="008401BA" w:rsidRDefault="008401BA" w:rsidP="008401BA">
      <w:pPr>
        <w:pStyle w:val="SingleTxt"/>
      </w:pPr>
      <w:r w:rsidRPr="008401BA">
        <w:t xml:space="preserve">означает </w:t>
      </w:r>
      <w:r w:rsidRPr="00A165D7">
        <w:rPr>
          <w:strike/>
        </w:rPr>
        <w:t>категорию шин</w:t>
      </w:r>
      <w:r w:rsidRPr="008401BA">
        <w:t xml:space="preserve"> </w:t>
      </w:r>
      <w:r w:rsidRPr="00A165D7">
        <w:rPr>
          <w:b/>
          <w:bCs/>
          <w:i/>
          <w:iCs/>
          <w:strike/>
          <w:color w:val="FF0000"/>
        </w:rPr>
        <w:t>фирменное наименование/товарный знак и торговое описание/коммерческое наименование</w:t>
      </w:r>
      <w:r w:rsidRPr="00A165D7">
        <w:rPr>
          <w:b/>
          <w:bCs/>
          <w:color w:val="FF0000"/>
        </w:rPr>
        <w:t xml:space="preserve"> </w:t>
      </w:r>
      <w:r w:rsidRPr="008401BA">
        <w:t>шин</w:t>
      </w:r>
      <w:r w:rsidRPr="00A165D7">
        <w:rPr>
          <w:b/>
          <w:bCs/>
          <w:color w:val="FF0000"/>
        </w:rPr>
        <w:t>ы</w:t>
      </w:r>
      <w:r w:rsidRPr="008401BA">
        <w:rPr>
          <w:bCs/>
        </w:rPr>
        <w:t>,</w:t>
      </w:r>
      <w:r w:rsidRPr="008401BA">
        <w:rPr>
          <w:b/>
          <w:bCs/>
        </w:rPr>
        <w:t xml:space="preserve"> </w:t>
      </w:r>
      <w:r w:rsidRPr="008401BA">
        <w:t>не имеющи</w:t>
      </w:r>
      <w:r w:rsidRPr="00A165D7">
        <w:rPr>
          <w:b/>
          <w:bCs/>
          <w:color w:val="FF0000"/>
        </w:rPr>
        <w:t>е</w:t>
      </w:r>
      <w:r w:rsidRPr="00A165D7">
        <w:rPr>
          <w:strike/>
          <w:color w:val="FF0000"/>
        </w:rPr>
        <w:t>х</w:t>
      </w:r>
      <w:r w:rsidRPr="008401BA">
        <w:t xml:space="preserve"> между собой различий в отношении таких существенных </w:t>
      </w:r>
      <w:r w:rsidRPr="008401BA">
        <w:rPr>
          <w:b/>
          <w:bCs/>
        </w:rPr>
        <w:t>характеристик</w:t>
      </w:r>
      <w:r w:rsidRPr="008401BA">
        <w:t>, как:</w:t>
      </w:r>
    </w:p>
    <w:p w:rsidR="008401BA" w:rsidRPr="008401BA" w:rsidRDefault="008401BA" w:rsidP="008401BA">
      <w:pPr>
        <w:pStyle w:val="SingleTxt"/>
        <w:rPr>
          <w:bCs/>
        </w:rPr>
      </w:pPr>
      <w:r w:rsidRPr="00A165D7">
        <w:rPr>
          <w:strike/>
        </w:rPr>
        <w:t>2.1.1</w:t>
      </w:r>
      <w:r w:rsidRPr="008401BA">
        <w:rPr>
          <w:b/>
        </w:rPr>
        <w:t xml:space="preserve"> a) наименование </w:t>
      </w:r>
      <w:r w:rsidRPr="008401BA">
        <w:rPr>
          <w:bCs/>
        </w:rPr>
        <w:t>изготовителя</w:t>
      </w:r>
      <w:r w:rsidRPr="008401BA">
        <w:t>;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2.1.2</w:t>
      </w:r>
      <w:r w:rsidRPr="008401BA">
        <w:t> </w:t>
      </w:r>
      <w:r w:rsidRPr="008401BA">
        <w:rPr>
          <w:b/>
        </w:rPr>
        <w:t xml:space="preserve">b) </w:t>
      </w:r>
      <w:r w:rsidRPr="008401BA">
        <w:t>обозначение размера шины;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2.1.3</w:t>
      </w:r>
      <w:r w:rsidRPr="008401BA">
        <w:t> </w:t>
      </w:r>
      <w:r w:rsidRPr="008401BA">
        <w:rPr>
          <w:b/>
        </w:rPr>
        <w:t>c)</w:t>
      </w:r>
      <w:r w:rsidRPr="008401BA">
        <w:t xml:space="preserve"> категория использования (обычная шина, зимняя шина, шина специального назначения или шина для временного использования);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2.1.4</w:t>
      </w:r>
      <w:r w:rsidRPr="008401BA">
        <w:t> </w:t>
      </w:r>
      <w:r w:rsidRPr="008401BA">
        <w:rPr>
          <w:b/>
        </w:rPr>
        <w:t>d)</w:t>
      </w:r>
      <w:r w:rsidRPr="008401BA">
        <w:t xml:space="preserve"> конструкция (диагональная, (диагонально-опоясанная), радиальная шина; шина, пригодная для использования в спущенном состоянии);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2.1.5</w:t>
      </w:r>
      <w:r w:rsidRPr="008401BA">
        <w:t> </w:t>
      </w:r>
      <w:r w:rsidRPr="008401BA">
        <w:rPr>
          <w:b/>
        </w:rPr>
        <w:t>e)</w:t>
      </w:r>
      <w:r w:rsidRPr="008401BA">
        <w:t xml:space="preserve"> обозначение категории скорости;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2.1.6</w:t>
      </w:r>
      <w:r w:rsidRPr="008401BA">
        <w:t> </w:t>
      </w:r>
      <w:r w:rsidRPr="008401BA">
        <w:rPr>
          <w:b/>
        </w:rPr>
        <w:t>f)</w:t>
      </w:r>
      <w:r w:rsidRPr="008401BA">
        <w:t xml:space="preserve"> индекс несущей способности;</w:t>
      </w:r>
    </w:p>
    <w:p w:rsidR="008401BA" w:rsidRPr="008401BA" w:rsidRDefault="008401BA" w:rsidP="008401BA">
      <w:pPr>
        <w:pStyle w:val="SingleTxt"/>
      </w:pPr>
      <w:r w:rsidRPr="00A165D7">
        <w:rPr>
          <w:strike/>
        </w:rPr>
        <w:t>2.1.7</w:t>
      </w:r>
      <w:r w:rsidRPr="008401BA">
        <w:t> </w:t>
      </w:r>
      <w:r w:rsidRPr="008401BA">
        <w:rPr>
          <w:b/>
        </w:rPr>
        <w:t>g)</w:t>
      </w:r>
      <w:r w:rsidRPr="008401BA">
        <w:t xml:space="preserve"> поперечное сечение шины».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Включить новый пункт 2.2 </w:t>
      </w:r>
      <w:r w:rsidRPr="008401BA">
        <w:t>следующего содержания:</w:t>
      </w:r>
    </w:p>
    <w:p w:rsidR="008401BA" w:rsidRPr="008401BA" w:rsidRDefault="008401BA" w:rsidP="00CC1C5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right="1260" w:hanging="950"/>
        <w:rPr>
          <w:b/>
          <w:bCs/>
        </w:rPr>
      </w:pPr>
      <w:r w:rsidRPr="008401BA">
        <w:t>«</w:t>
      </w:r>
      <w:r w:rsidRPr="008B6FE0">
        <w:rPr>
          <w:b/>
          <w:bCs/>
        </w:rPr>
        <w:t>2.2</w:t>
      </w:r>
      <w:r w:rsidRPr="008401BA">
        <w:t xml:space="preserve"> </w:t>
      </w:r>
      <w:r w:rsidRPr="008401BA">
        <w:tab/>
      </w:r>
      <w:r w:rsidRPr="008401BA">
        <w:tab/>
      </w:r>
      <w:r w:rsidR="00CC1C5D">
        <w:rPr>
          <w:b/>
        </w:rPr>
        <w:t>"</w:t>
      </w:r>
      <w:r w:rsidRPr="008401BA">
        <w:rPr>
          <w:b/>
          <w:bCs/>
        </w:rPr>
        <w:t>изготовитель</w:t>
      </w:r>
      <w:r w:rsidR="00CC1C5D">
        <w:rPr>
          <w:b/>
          <w:bCs/>
        </w:rPr>
        <w:t>"</w:t>
      </w:r>
      <w:r w:rsidRPr="008401BA">
        <w:rPr>
          <w:b/>
          <w:bCs/>
        </w:rPr>
        <w:t xml:space="preserve"> означает лицо или организацию, которые отвечают перед компетентным органом по официальному утверждению (ООУ) за все аспекты процесса официального утверждения типа и за обеспечение соответствия производства</w:t>
      </w:r>
      <w:r w:rsidRPr="008401BA">
        <w:t>».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Включить новый пункт 2.3 </w:t>
      </w:r>
      <w:r w:rsidRPr="008401BA">
        <w:t>следующего содержания:</w:t>
      </w:r>
    </w:p>
    <w:p w:rsidR="008401BA" w:rsidRPr="008401BA" w:rsidRDefault="008401BA" w:rsidP="00CC1C5D">
      <w:pPr>
        <w:pStyle w:val="SingleTxt"/>
        <w:rPr>
          <w:b/>
        </w:rPr>
      </w:pPr>
      <w:r w:rsidRPr="008401BA">
        <w:t>«</w:t>
      </w:r>
      <w:r w:rsidRPr="008401BA">
        <w:rPr>
          <w:b/>
        </w:rPr>
        <w:t>2.3</w:t>
      </w:r>
      <w:r w:rsidRPr="008401BA">
        <w:tab/>
      </w:r>
      <w:r w:rsidRPr="008401BA">
        <w:tab/>
      </w:r>
      <w:r w:rsidR="00CC1C5D">
        <w:rPr>
          <w:b/>
        </w:rPr>
        <w:t>"</w:t>
      </w:r>
      <w:r w:rsidRPr="008401BA">
        <w:rPr>
          <w:b/>
          <w:bCs/>
        </w:rPr>
        <w:t>фирменное название/товарный знак</w:t>
      </w:r>
      <w:r w:rsidR="00CC1C5D">
        <w:rPr>
          <w:b/>
        </w:rPr>
        <w:t>"</w:t>
      </w:r>
      <w:r w:rsidRPr="008401BA">
        <w:rPr>
          <w:b/>
        </w:rPr>
        <w:t xml:space="preserve"> </w:t>
      </w:r>
    </w:p>
    <w:p w:rsidR="008401BA" w:rsidRPr="008401BA" w:rsidRDefault="008401BA" w:rsidP="008401BA">
      <w:pPr>
        <w:pStyle w:val="SingleTxt"/>
      </w:pPr>
      <w:r w:rsidRPr="008401BA">
        <w:rPr>
          <w:b/>
        </w:rPr>
        <w:t xml:space="preserve">означает обозначение </w:t>
      </w:r>
      <w:r w:rsidRPr="00A165D7">
        <w:rPr>
          <w:b/>
          <w:strike/>
        </w:rPr>
        <w:t>идентификацию</w:t>
      </w:r>
      <w:r w:rsidRPr="008401BA">
        <w:rPr>
          <w:b/>
        </w:rPr>
        <w:t xml:space="preserve"> фирменного названия или товарного знака, определенное изготовителем шины и нанесенное на боковину(ы) шины. Фирменное название/товарный знак могут соответствовать </w:t>
      </w:r>
      <w:r w:rsidRPr="008401BA">
        <w:rPr>
          <w:b/>
          <w:bCs/>
        </w:rPr>
        <w:t>фирменному названию/товарному знаку изготовителя</w:t>
      </w:r>
      <w:r w:rsidRPr="008401BA">
        <w:t>».</w:t>
      </w:r>
    </w:p>
    <w:p w:rsidR="008401BA" w:rsidRPr="008401BA" w:rsidRDefault="008401BA" w:rsidP="00A165D7">
      <w:pPr>
        <w:pStyle w:val="SingleTxt"/>
        <w:pageBreakBefore/>
      </w:pPr>
      <w:r w:rsidRPr="008401BA">
        <w:rPr>
          <w:i/>
        </w:rPr>
        <w:lastRenderedPageBreak/>
        <w:t xml:space="preserve">Включить новый пункт 2.4 </w:t>
      </w:r>
      <w:r w:rsidRPr="008401BA">
        <w:t>следующего содержания: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 w:rsidRPr="008401BA">
        <w:t>«</w:t>
      </w:r>
      <w:r w:rsidR="00CC1C5D">
        <w:rPr>
          <w:b/>
        </w:rPr>
        <w:t>2.4</w:t>
      </w:r>
      <w:r w:rsidR="00CC1C5D">
        <w:rPr>
          <w:b/>
        </w:rPr>
        <w:tab/>
      </w:r>
      <w:r w:rsidR="00CC1C5D">
        <w:rPr>
          <w:b/>
        </w:rPr>
        <w:tab/>
        <w:t>"</w:t>
      </w:r>
      <w:r w:rsidRPr="008401BA">
        <w:rPr>
          <w:b/>
        </w:rPr>
        <w:t>торговое опи</w:t>
      </w:r>
      <w:r w:rsidR="00CC1C5D">
        <w:rPr>
          <w:b/>
        </w:rPr>
        <w:t>сание/коммерческое наименование"</w:t>
      </w:r>
      <w:r w:rsidRPr="008401BA">
        <w:rPr>
          <w:b/>
        </w:rPr>
        <w:t xml:space="preserve"> означает обозначение </w:t>
      </w:r>
      <w:r w:rsidRPr="008401BA">
        <w:rPr>
          <w:b/>
          <w:bCs/>
          <w:strike/>
        </w:rPr>
        <w:t>идентификацию</w:t>
      </w:r>
      <w:r w:rsidRPr="008401BA">
        <w:rPr>
          <w:b/>
        </w:rPr>
        <w:t xml:space="preserve"> </w:t>
      </w:r>
      <w:r w:rsidRPr="008401BA">
        <w:rPr>
          <w:b/>
          <w:bCs/>
        </w:rPr>
        <w:t>ассортимента шин, определенное изготовителем шины</w:t>
      </w:r>
      <w:r w:rsidRPr="008401BA">
        <w:rPr>
          <w:b/>
        </w:rPr>
        <w:t>. Оно может совпадать с фирменным названием/товарным знаком</w:t>
      </w:r>
      <w:r w:rsidRPr="008401BA">
        <w:t>».</w:t>
      </w:r>
    </w:p>
    <w:p w:rsidR="008401BA" w:rsidRPr="008401BA" w:rsidRDefault="008401BA" w:rsidP="008401BA">
      <w:pPr>
        <w:pStyle w:val="SingleTxt"/>
        <w:rPr>
          <w:i/>
        </w:rPr>
      </w:pPr>
      <w:r w:rsidRPr="00F943FD">
        <w:rPr>
          <w:iCs/>
        </w:rPr>
        <w:t>Изменить</w:t>
      </w:r>
      <w:r w:rsidRPr="008401BA">
        <w:rPr>
          <w:i/>
        </w:rPr>
        <w:t xml:space="preserve"> нумерацию пунктов 2.2–2.38 </w:t>
      </w:r>
      <w:r w:rsidRPr="00F943FD">
        <w:rPr>
          <w:iCs/>
        </w:rPr>
        <w:t>на</w:t>
      </w:r>
      <w:r w:rsidRPr="008401BA">
        <w:rPr>
          <w:i/>
        </w:rPr>
        <w:t xml:space="preserve"> 2.5–2.41 </w:t>
      </w:r>
      <w:r w:rsidRPr="00F943FD">
        <w:rPr>
          <w:iCs/>
        </w:rPr>
        <w:t>и</w:t>
      </w:r>
      <w:r w:rsidRPr="008401BA">
        <w:rPr>
          <w:i/>
        </w:rPr>
        <w:t xml:space="preserve"> </w:t>
      </w:r>
      <w:r w:rsidRPr="008401BA">
        <w:rPr>
          <w:i/>
          <w:iCs/>
        </w:rPr>
        <w:t xml:space="preserve">в этих измененных пунктах </w:t>
      </w:r>
      <w:r w:rsidRPr="00F943FD">
        <w:rPr>
          <w:iCs/>
        </w:rPr>
        <w:t>заменить «пневматическая шина» на «</w:t>
      </w:r>
      <w:r w:rsidRPr="00F943FD">
        <w:rPr>
          <w:b/>
          <w:iCs/>
        </w:rPr>
        <w:t>шина</w:t>
      </w:r>
      <w:r w:rsidRPr="00F943FD">
        <w:rPr>
          <w:iCs/>
        </w:rPr>
        <w:t>» в нужном падеже.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Пункт 3.1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 w:rsidRPr="008401BA">
        <w:t xml:space="preserve">«3.1 </w:t>
      </w:r>
      <w:r w:rsidRPr="008401BA">
        <w:tab/>
      </w:r>
      <w:r w:rsidRPr="008401BA">
        <w:tab/>
        <w:t xml:space="preserve">На представляемых для официального утверждения </w:t>
      </w:r>
      <w:r w:rsidRPr="00F943FD">
        <w:rPr>
          <w:strike/>
        </w:rPr>
        <w:t>пневматических</w:t>
      </w:r>
      <w:r w:rsidRPr="008401BA">
        <w:t xml:space="preserve"> шинах (в случае симметричных шин на обеих боковинах, а в случае асимметричных шин, по крайней мере, на наружной боковине) должны быть нанесены: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</w:rPr>
      </w:pPr>
      <w:r w:rsidRPr="008401BA">
        <w:t>3.1.1</w:t>
      </w:r>
      <w:r w:rsidRPr="008401BA">
        <w:tab/>
      </w:r>
      <w:r w:rsidRPr="008401BA">
        <w:tab/>
      </w:r>
      <w:r w:rsidRPr="008401BA">
        <w:rPr>
          <w:strike/>
        </w:rPr>
        <w:t>торговое наименование или марка</w:t>
      </w:r>
      <w:r w:rsidRPr="008401BA">
        <w:t xml:space="preserve">; </w:t>
      </w:r>
      <w:r w:rsidRPr="008401BA">
        <w:rPr>
          <w:b/>
        </w:rPr>
        <w:t>наименование изготовителя или фирменное название/товарный знак;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/>
        </w:rPr>
      </w:pPr>
      <w:r w:rsidRPr="008401BA">
        <w:rPr>
          <w:b/>
        </w:rPr>
        <w:t>3.1.2</w:t>
      </w:r>
      <w:r w:rsidRPr="008401BA">
        <w:rPr>
          <w:b/>
        </w:rPr>
        <w:tab/>
      </w:r>
      <w:r w:rsidRPr="008401BA">
        <w:rPr>
          <w:b/>
        </w:rPr>
        <w:tab/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названием/товарным знаком</w:t>
      </w:r>
      <w:r w:rsidRPr="008401BA">
        <w:t>».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>Изменить нумерацию</w:t>
      </w:r>
      <w:r w:rsidRPr="008401BA">
        <w:t xml:space="preserve"> </w:t>
      </w:r>
      <w:r w:rsidRPr="008401BA">
        <w:rPr>
          <w:i/>
        </w:rPr>
        <w:t>пунктов 3.1.2–3.1.13 на 3.1.3–3.1.14.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Пункты 4.1–4.1.2.2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 w:rsidRPr="008401BA">
        <w:t>«4.1</w:t>
      </w:r>
      <w:r w:rsidRPr="008401BA">
        <w:tab/>
      </w:r>
      <w:r w:rsidRPr="008401BA">
        <w:tab/>
        <w:t xml:space="preserve">Заявка на официальное утверждение типа шины представляется </w:t>
      </w:r>
      <w:r w:rsidRPr="008401BA">
        <w:rPr>
          <w:strike/>
        </w:rPr>
        <w:t>держателем торгового наименования или марки</w:t>
      </w:r>
      <w:r w:rsidRPr="008401BA">
        <w:t xml:space="preserve"> </w:t>
      </w:r>
      <w:r w:rsidRPr="008401BA">
        <w:rPr>
          <w:b/>
          <w:bCs/>
        </w:rPr>
        <w:t xml:space="preserve">изготовителем шины </w:t>
      </w:r>
      <w:r w:rsidRPr="008401BA">
        <w:t>либо его надлежащим образом уполномоченным представителем. В заявке должны быть указаны:</w:t>
      </w:r>
    </w:p>
    <w:p w:rsidR="008401BA" w:rsidRPr="008401BA" w:rsidRDefault="008401BA" w:rsidP="008401BA">
      <w:pPr>
        <w:pStyle w:val="SingleTxt"/>
      </w:pPr>
      <w:r w:rsidRPr="008401BA">
        <w:t>4.1.1</w:t>
      </w:r>
      <w:r w:rsidRPr="008401BA">
        <w:tab/>
      </w:r>
      <w:r w:rsidRPr="008401BA">
        <w:tab/>
        <w:t>обозначение размера шины;</w:t>
      </w:r>
    </w:p>
    <w:p w:rsidR="008401BA" w:rsidRPr="008401BA" w:rsidRDefault="008401BA" w:rsidP="008401BA">
      <w:pPr>
        <w:pStyle w:val="SingleTxt"/>
        <w:rPr>
          <w:b/>
        </w:rPr>
      </w:pPr>
      <w:r w:rsidRPr="008401BA">
        <w:t>4.1.2</w:t>
      </w:r>
      <w:r w:rsidRPr="008401BA">
        <w:tab/>
      </w:r>
      <w:r w:rsidRPr="008401BA">
        <w:tab/>
      </w:r>
      <w:r w:rsidRPr="008401BA">
        <w:rPr>
          <w:strike/>
        </w:rPr>
        <w:t>торговое наименование или марка</w:t>
      </w:r>
      <w:r w:rsidRPr="008401BA">
        <w:t>;</w:t>
      </w:r>
      <w:r w:rsidRPr="008401BA">
        <w:rPr>
          <w:b/>
        </w:rPr>
        <w:t xml:space="preserve"> наименование изготовителя</w:t>
      </w:r>
    </w:p>
    <w:p w:rsidR="008401BA" w:rsidRPr="008401BA" w:rsidRDefault="008401BA" w:rsidP="008401BA">
      <w:pPr>
        <w:pStyle w:val="SingleTxt"/>
        <w:rPr>
          <w:b/>
        </w:rPr>
      </w:pPr>
      <w:r w:rsidRPr="008401BA">
        <w:rPr>
          <w:b/>
        </w:rPr>
        <w:t>4.1.2.1</w:t>
      </w:r>
      <w:r w:rsidRPr="008401BA">
        <w:rPr>
          <w:b/>
        </w:rPr>
        <w:tab/>
        <w:t>фирменное(ые) название(я)/товарный(е) знак(и)</w:t>
      </w:r>
    </w:p>
    <w:p w:rsidR="008401BA" w:rsidRPr="008401BA" w:rsidRDefault="008401BA" w:rsidP="008401BA">
      <w:pPr>
        <w:pStyle w:val="SingleTxt"/>
      </w:pPr>
      <w:r w:rsidRPr="008401BA">
        <w:rPr>
          <w:b/>
        </w:rPr>
        <w:t>4.1.2.2</w:t>
      </w:r>
      <w:r w:rsidRPr="008401BA">
        <w:rPr>
          <w:b/>
        </w:rPr>
        <w:tab/>
        <w:t>торговое(ые) описание(я)/коммерческое(ие) наименование(я)</w:t>
      </w:r>
      <w:r w:rsidRPr="008401BA">
        <w:t>».</w:t>
      </w:r>
    </w:p>
    <w:p w:rsidR="008401BA" w:rsidRPr="008401BA" w:rsidRDefault="008401BA" w:rsidP="008401BA">
      <w:pPr>
        <w:pStyle w:val="SingleTxt"/>
        <w:rPr>
          <w:i/>
        </w:rPr>
      </w:pPr>
      <w:r w:rsidRPr="008401BA">
        <w:rPr>
          <w:i/>
          <w:iCs/>
        </w:rPr>
        <w:t>Заменить в</w:t>
      </w:r>
      <w:r w:rsidRPr="008401BA">
        <w:rPr>
          <w:i/>
        </w:rPr>
        <w:t xml:space="preserve"> пунктах 5.1, 5.3, 5.4, 6.1.3, 6.2.1, 6.3.3.1, заголовках к пунктам 7, 7.1, 7.1.1, 9 и 10 </w:t>
      </w:r>
      <w:r w:rsidRPr="00783114">
        <w:rPr>
          <w:iCs/>
        </w:rPr>
        <w:t>«пневматическая шина»</w:t>
      </w:r>
      <w:r w:rsidRPr="008401BA">
        <w:rPr>
          <w:i/>
        </w:rPr>
        <w:t xml:space="preserve"> на </w:t>
      </w:r>
      <w:r w:rsidRPr="00783114">
        <w:rPr>
          <w:iCs/>
        </w:rPr>
        <w:t>«</w:t>
      </w:r>
      <w:r w:rsidRPr="00783114">
        <w:rPr>
          <w:b/>
          <w:iCs/>
        </w:rPr>
        <w:t>шина</w:t>
      </w:r>
      <w:r w:rsidRPr="00783114">
        <w:rPr>
          <w:iCs/>
        </w:rPr>
        <w:t>»</w:t>
      </w:r>
      <w:r w:rsidRPr="008401BA">
        <w:rPr>
          <w:i/>
          <w:iCs/>
        </w:rPr>
        <w:t xml:space="preserve"> в нужном падеже</w:t>
      </w:r>
      <w:r w:rsidRPr="008401BA">
        <w:rPr>
          <w:i/>
        </w:rPr>
        <w:t>.</w:t>
      </w:r>
    </w:p>
    <w:p w:rsidR="008401BA" w:rsidRPr="008401BA" w:rsidRDefault="008401BA" w:rsidP="008401BA">
      <w:pPr>
        <w:pStyle w:val="SingleTxt"/>
        <w:rPr>
          <w:i/>
        </w:rPr>
      </w:pPr>
      <w:r w:rsidRPr="008401BA">
        <w:rPr>
          <w:i/>
        </w:rPr>
        <w:t xml:space="preserve">Пункт 12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bCs/>
        </w:rPr>
      </w:pPr>
      <w:r w:rsidRPr="008401BA">
        <w:rPr>
          <w:bCs/>
        </w:rPr>
        <w:t>«12.</w:t>
      </w:r>
      <w:r w:rsidRPr="008401BA">
        <w:rPr>
          <w:bCs/>
        </w:rPr>
        <w:tab/>
      </w:r>
      <w:r w:rsidRPr="008401BA">
        <w:rPr>
          <w:bCs/>
        </w:rPr>
        <w:tab/>
        <w:t>Н</w:t>
      </w:r>
      <w:r w:rsidRPr="008401BA">
        <w:t xml:space="preserve">азвания и адреса технических служб, уполномоченных проводить испытания для официального утверждения, и </w:t>
      </w:r>
      <w:r w:rsidRPr="008401BA">
        <w:rPr>
          <w:strike/>
        </w:rPr>
        <w:t>административных</w:t>
      </w:r>
      <w:r w:rsidRPr="008401BA">
        <w:t xml:space="preserve"> органов </w:t>
      </w:r>
      <w:r w:rsidRPr="008401BA">
        <w:rPr>
          <w:b/>
          <w:bCs/>
        </w:rPr>
        <w:t>по официальному утверждению типа</w:t>
      </w:r>
      <w:r w:rsidRPr="008401BA">
        <w:rPr>
          <w:bCs/>
        </w:rPr>
        <w:t>.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 w:rsidRPr="008401BA">
        <w:t xml:space="preserve">12.1 </w:t>
      </w:r>
      <w:r w:rsidRPr="008401BA">
        <w:tab/>
      </w:r>
      <w:r w:rsidRPr="008401BA">
        <w:tab/>
        <w:t xml:space="preserve">Стороны Соглашения 1958 года,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 </w:t>
      </w:r>
      <w:r w:rsidRPr="008401BA">
        <w:rPr>
          <w:strike/>
        </w:rPr>
        <w:t>административных</w:t>
      </w:r>
      <w:r w:rsidRPr="008401BA">
        <w:t xml:space="preserve"> органов </w:t>
      </w:r>
      <w:r w:rsidRPr="008401BA">
        <w:rPr>
          <w:b/>
          <w:bCs/>
        </w:rPr>
        <w:t>по официальному утверждению типа</w:t>
      </w:r>
      <w:r w:rsidRPr="008401BA">
        <w:t>, которые предоставляют официальное утверждение и которым следует направлять выдаваемые в других странах карточки предоставления официального утверждения, распространения официального утверждения, отказа в официальном утверждении, отмены официального утверждения или окончательного прекращения производства.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 w:rsidRPr="008401BA">
        <w:lastRenderedPageBreak/>
        <w:t xml:space="preserve">12.2 </w:t>
      </w:r>
      <w:r w:rsidRPr="008401BA">
        <w:tab/>
      </w:r>
      <w:r w:rsidRPr="008401BA">
        <w:tab/>
        <w:t xml:space="preserve">Стороны Соглашения </w:t>
      </w:r>
      <w:r w:rsidRPr="008401BA">
        <w:rPr>
          <w:b/>
          <w:bCs/>
        </w:rPr>
        <w:t>1958 года</w:t>
      </w:r>
      <w:r w:rsidRPr="008401BA">
        <w:t>, применяющие настоящие Правила, могут назначать лаборатории изготовителей шин в качестве лабораторий, уполномоченных проводить испытания.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  <w:rPr>
          <w:i/>
        </w:rPr>
      </w:pPr>
      <w:r w:rsidRPr="008401BA">
        <w:t xml:space="preserve">12.3 </w:t>
      </w:r>
      <w:r w:rsidRPr="008401BA">
        <w:tab/>
      </w:r>
      <w:r w:rsidRPr="008401BA">
        <w:tab/>
        <w:t xml:space="preserve">Если какая-либо Сторона Соглашения </w:t>
      </w:r>
      <w:r w:rsidRPr="008401BA">
        <w:rPr>
          <w:b/>
          <w:bCs/>
        </w:rPr>
        <w:t>1958 года</w:t>
      </w:r>
      <w:r w:rsidRPr="008401BA">
        <w:t xml:space="preserve"> применяет пункт 12.2 выше, то она может при желании направить на испытание одного или нескольких представителей по своему выбору».</w:t>
      </w:r>
    </w:p>
    <w:p w:rsidR="008401BA" w:rsidRPr="008401BA" w:rsidRDefault="008401BA" w:rsidP="008401BA">
      <w:pPr>
        <w:pStyle w:val="SingleTxt"/>
        <w:rPr>
          <w:i/>
        </w:rPr>
      </w:pPr>
      <w:r w:rsidRPr="008401BA">
        <w:rPr>
          <w:i/>
        </w:rPr>
        <w:t>Приложение 1</w:t>
      </w:r>
    </w:p>
    <w:p w:rsidR="008401BA" w:rsidRPr="008401BA" w:rsidRDefault="008401BA" w:rsidP="008401BA">
      <w:pPr>
        <w:pStyle w:val="SingleTxt"/>
      </w:pPr>
      <w:r w:rsidRPr="008401BA">
        <w:t>«Сообщение</w:t>
      </w:r>
    </w:p>
    <w:p w:rsidR="008401BA" w:rsidRPr="008401BA" w:rsidRDefault="008401BA" w:rsidP="008401BA">
      <w:pPr>
        <w:pStyle w:val="SingleTxt"/>
      </w:pPr>
      <w:r w:rsidRPr="008401BA">
        <w:tab/>
        <w:t>……</w:t>
      </w:r>
    </w:p>
    <w:p w:rsidR="008401BA" w:rsidRPr="008401BA" w:rsidRDefault="008401BA" w:rsidP="008401BA">
      <w:pPr>
        <w:pStyle w:val="SingleTxt"/>
      </w:pPr>
      <w:r w:rsidRPr="008401BA">
        <w:tab/>
        <w:t>……</w:t>
      </w:r>
    </w:p>
    <w:p w:rsidR="008401BA" w:rsidRPr="008401BA" w:rsidRDefault="008401BA" w:rsidP="008401BA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1755"/>
      </w:pPr>
      <w:r w:rsidRPr="008401BA">
        <w:tab/>
        <w:t xml:space="preserve">типа </w:t>
      </w:r>
      <w:r w:rsidRPr="008401BA">
        <w:rPr>
          <w:strike/>
        </w:rPr>
        <w:t>пневматической</w:t>
      </w:r>
      <w:r w:rsidRPr="008401BA">
        <w:t xml:space="preserve"> шины для автотранспортных средств на основании Правил № 30»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Пункт 1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</w:pPr>
      <w:r w:rsidRPr="008401BA">
        <w:t>«1.</w:t>
      </w:r>
      <w:r w:rsidRPr="008401BA">
        <w:tab/>
        <w:t xml:space="preserve">Наименование </w:t>
      </w:r>
      <w:r w:rsidRPr="008401BA">
        <w:rPr>
          <w:b/>
        </w:rPr>
        <w:t>и адрес</w:t>
      </w:r>
      <w:r w:rsidRPr="008401BA">
        <w:t xml:space="preserve"> изготовителя </w:t>
      </w:r>
      <w:r w:rsidRPr="008401BA">
        <w:rPr>
          <w:strike/>
        </w:rPr>
        <w:t>или торговая марка (марки) на типе шины</w:t>
      </w:r>
      <w:r w:rsidRPr="008401BA">
        <w:t>:………………………..»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>Пункт 2</w:t>
      </w:r>
      <w:r w:rsidRPr="008401BA">
        <w:t xml:space="preserve"> изменить следующим образом:</w:t>
      </w:r>
    </w:p>
    <w:p w:rsidR="008401BA" w:rsidRPr="008401BA" w:rsidRDefault="008401BA" w:rsidP="008401BA">
      <w:pPr>
        <w:pStyle w:val="SingleTxt"/>
      </w:pPr>
      <w:r w:rsidRPr="008401BA">
        <w:t>«2.</w:t>
      </w:r>
      <w:r w:rsidRPr="008401BA">
        <w:tab/>
        <w:t xml:space="preserve">Обозначение типа шины </w:t>
      </w:r>
      <w:r w:rsidRPr="008401BA">
        <w:rPr>
          <w:strike/>
        </w:rPr>
        <w:t>изготовителем</w:t>
      </w:r>
      <w:r w:rsidRPr="008401BA">
        <w:rPr>
          <w:strike/>
          <w:vertAlign w:val="superscript"/>
        </w:rPr>
        <w:t>3</w:t>
      </w:r>
      <w:r w:rsidRPr="008401BA">
        <w:t>…………………………….…………..</w:t>
      </w:r>
    </w:p>
    <w:p w:rsidR="008401BA" w:rsidRPr="008401BA" w:rsidRDefault="008401BA" w:rsidP="008401BA">
      <w:pPr>
        <w:pStyle w:val="SingleTxt"/>
        <w:rPr>
          <w:b/>
        </w:rPr>
      </w:pPr>
      <w:r w:rsidRPr="008401BA">
        <w:rPr>
          <w:b/>
        </w:rPr>
        <w:t>2.1.</w:t>
      </w:r>
      <w:r w:rsidRPr="008401BA">
        <w:rPr>
          <w:b/>
        </w:rPr>
        <w:tab/>
        <w:t>фирменное(ые) название(я)/товарный(е) знак(и):</w:t>
      </w:r>
      <w:r w:rsidRPr="008401BA">
        <w:t>………..…………...</w:t>
      </w:r>
    </w:p>
    <w:p w:rsidR="008401BA" w:rsidRPr="008401BA" w:rsidRDefault="008401BA" w:rsidP="008401BA">
      <w:pPr>
        <w:pStyle w:val="SingleTxt"/>
        <w:rPr>
          <w:b/>
        </w:rPr>
      </w:pPr>
      <w:r w:rsidRPr="008401BA">
        <w:rPr>
          <w:b/>
        </w:rPr>
        <w:t>2.2.</w:t>
      </w:r>
      <w:r w:rsidRPr="008401BA">
        <w:rPr>
          <w:b/>
        </w:rPr>
        <w:tab/>
        <w:t>торговое(ые) описание(я)/коммерческое(ие) наименование(я)</w:t>
      </w:r>
      <w:r w:rsidRPr="008401BA">
        <w:t>…………..."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Пункт 3 </w:t>
      </w:r>
      <w:r w:rsidRPr="008401BA">
        <w:rPr>
          <w:iCs/>
        </w:rPr>
        <w:t>исключить</w:t>
      </w:r>
      <w:r w:rsidRPr="008401BA">
        <w:rPr>
          <w:i/>
        </w:rPr>
        <w:t xml:space="preserve">. 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Пункт 11 </w:t>
      </w:r>
      <w:r w:rsidRPr="008401BA">
        <w:rPr>
          <w:iCs/>
        </w:rPr>
        <w:t>исключить</w:t>
      </w:r>
      <w:r w:rsidRPr="008401BA">
        <w:rPr>
          <w:i/>
        </w:rPr>
        <w:t xml:space="preserve">. </w:t>
      </w:r>
    </w:p>
    <w:p w:rsidR="008401BA" w:rsidRPr="008401BA" w:rsidRDefault="008401BA" w:rsidP="008401BA">
      <w:pPr>
        <w:pStyle w:val="SingleTxt"/>
        <w:rPr>
          <w:i/>
        </w:rPr>
      </w:pPr>
      <w:r w:rsidRPr="008401BA">
        <w:rPr>
          <w:i/>
        </w:rPr>
        <w:t>Нумерацию</w:t>
      </w:r>
      <w:r w:rsidRPr="008401BA">
        <w:rPr>
          <w:i/>
          <w:iCs/>
        </w:rPr>
        <w:t xml:space="preserve"> </w:t>
      </w:r>
      <w:r w:rsidRPr="008401BA">
        <w:rPr>
          <w:i/>
        </w:rPr>
        <w:t xml:space="preserve">пунктов 4–15 </w:t>
      </w:r>
      <w:r w:rsidRPr="008401BA">
        <w:rPr>
          <w:i/>
          <w:iCs/>
        </w:rPr>
        <w:t>изменить на</w:t>
      </w:r>
      <w:r w:rsidRPr="008401BA">
        <w:rPr>
          <w:i/>
        </w:rPr>
        <w:t xml:space="preserve"> 3–13.</w:t>
      </w:r>
    </w:p>
    <w:p w:rsidR="008401BA" w:rsidRPr="008401BA" w:rsidRDefault="008401BA" w:rsidP="008401BA">
      <w:pPr>
        <w:pStyle w:val="SingleTxt"/>
        <w:rPr>
          <w:b/>
        </w:rPr>
      </w:pPr>
      <w:r w:rsidRPr="008401BA">
        <w:separator/>
      </w:r>
    </w:p>
    <w:p w:rsidR="008401BA" w:rsidRPr="008401BA" w:rsidRDefault="008401BA" w:rsidP="008401BA">
      <w:pPr>
        <w:pStyle w:val="SingleTxt"/>
        <w:rPr>
          <w:b/>
        </w:rPr>
      </w:pPr>
      <w:r w:rsidRPr="008401BA">
        <w:rPr>
          <w:b/>
          <w:vertAlign w:val="superscript"/>
        </w:rPr>
        <w:t>3</w:t>
      </w:r>
      <w:r w:rsidRPr="008401BA">
        <w:rPr>
          <w:b/>
          <w:lang w:val="en-US"/>
        </w:rPr>
        <w:t>  </w:t>
      </w:r>
      <w:r w:rsidRPr="008401BA">
        <w:rPr>
          <w:b/>
        </w:rPr>
        <w:t>К настоящему сообщению может прилагаться перечень фирменных названий/товарных знаков или торговых описаний/коммерческих наименований.</w:t>
      </w:r>
    </w:p>
    <w:p w:rsidR="008401BA" w:rsidRPr="008401BA" w:rsidRDefault="008401BA" w:rsidP="008401BA">
      <w:pPr>
        <w:pStyle w:val="SingleTxt"/>
        <w:rPr>
          <w:i/>
        </w:rPr>
      </w:pPr>
      <w:r w:rsidRPr="008401BA">
        <w:rPr>
          <w:i/>
        </w:rPr>
        <w:t xml:space="preserve">Приложение 2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</w:pPr>
      <w:r w:rsidRPr="008401BA">
        <w:t>«…</w:t>
      </w:r>
    </w:p>
    <w:p w:rsidR="008401BA" w:rsidRPr="00783114" w:rsidRDefault="008401BA" w:rsidP="008401BA">
      <w:pPr>
        <w:pStyle w:val="SingleTxt"/>
      </w:pPr>
      <w:r w:rsidRPr="008401BA">
        <w:t>Приведенный выше знак официального утверждения, проставленный на шине, указывает, что этот тип шины официально утвержден в Нидерландах (E 4) под номером официального утверждения 022439</w:t>
      </w:r>
      <w:r w:rsidR="00783114" w:rsidRPr="00783114">
        <w:t>.</w:t>
      </w:r>
    </w:p>
    <w:p w:rsidR="008401BA" w:rsidRPr="008401BA" w:rsidRDefault="008401BA" w:rsidP="008401BA">
      <w:pPr>
        <w:pStyle w:val="SingleTxt"/>
      </w:pPr>
      <w:r w:rsidRPr="008401BA">
        <w:t>…» (к тексту на русском языке не относится).</w:t>
      </w:r>
    </w:p>
    <w:p w:rsidR="008401BA" w:rsidRPr="008401BA" w:rsidRDefault="008401BA" w:rsidP="008401BA">
      <w:pPr>
        <w:pStyle w:val="SingleTxt"/>
      </w:pPr>
      <w:r w:rsidRPr="008401BA">
        <w:t>…»</w:t>
      </w:r>
    </w:p>
    <w:p w:rsidR="008401BA" w:rsidRPr="008401BA" w:rsidRDefault="008401BA" w:rsidP="008401BA">
      <w:pPr>
        <w:pStyle w:val="SingleTxt"/>
        <w:rPr>
          <w:i/>
        </w:rPr>
      </w:pPr>
      <w:r w:rsidRPr="008401BA">
        <w:rPr>
          <w:i/>
        </w:rPr>
        <w:t xml:space="preserve">Приложение 3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</w:pPr>
      <w:r w:rsidRPr="008401BA">
        <w:t>«…</w:t>
      </w:r>
    </w:p>
    <w:p w:rsidR="008401BA" w:rsidRPr="008401BA" w:rsidRDefault="008401BA" w:rsidP="008401BA">
      <w:pPr>
        <w:pStyle w:val="SingleTxt"/>
      </w:pPr>
      <w:r w:rsidRPr="008401BA">
        <w:t xml:space="preserve">Эта маркировка определяет </w:t>
      </w:r>
      <w:r w:rsidRPr="008401BA">
        <w:rPr>
          <w:strike/>
        </w:rPr>
        <w:t>пневматическую</w:t>
      </w:r>
      <w:r w:rsidRPr="008401BA">
        <w:t xml:space="preserve"> шину: </w:t>
      </w:r>
    </w:p>
    <w:p w:rsidR="008401BA" w:rsidRPr="008401BA" w:rsidRDefault="008401BA" w:rsidP="008401BA">
      <w:pPr>
        <w:pStyle w:val="SingleTxt"/>
      </w:pPr>
      <w:r w:rsidRPr="008401BA">
        <w:t>…» (к тексту на русском языке не относится).</w:t>
      </w:r>
    </w:p>
    <w:p w:rsidR="008401BA" w:rsidRPr="008401BA" w:rsidRDefault="008401BA" w:rsidP="008401BA">
      <w:pPr>
        <w:pStyle w:val="SingleTxt"/>
      </w:pPr>
      <w:r w:rsidRPr="008401BA">
        <w:rPr>
          <w:i/>
        </w:rPr>
        <w:t xml:space="preserve">Приложение 6 </w:t>
      </w:r>
      <w:r w:rsidRPr="008401BA">
        <w:t>изменить следующим образом:</w:t>
      </w:r>
    </w:p>
    <w:p w:rsidR="008401BA" w:rsidRPr="008401BA" w:rsidRDefault="008401BA" w:rsidP="008401BA">
      <w:pPr>
        <w:pStyle w:val="SingleTxt"/>
      </w:pPr>
      <w:r w:rsidRPr="008401BA">
        <w:t xml:space="preserve">«Метод измерения размеров </w:t>
      </w:r>
      <w:r w:rsidRPr="008401BA">
        <w:rPr>
          <w:strike/>
        </w:rPr>
        <w:t>пневматических</w:t>
      </w:r>
      <w:r w:rsidRPr="008401BA">
        <w:t xml:space="preserve"> шин…»</w:t>
      </w:r>
    </w:p>
    <w:p w:rsidR="008401BA" w:rsidRPr="008401BA" w:rsidRDefault="008401BA" w:rsidP="008401BA">
      <w:pPr>
        <w:pStyle w:val="SingleTxt"/>
        <w:spacing w:after="0" w:line="120" w:lineRule="exact"/>
        <w:rPr>
          <w:b/>
          <w:sz w:val="10"/>
        </w:rPr>
      </w:pPr>
    </w:p>
    <w:p w:rsidR="008401BA" w:rsidRPr="008401BA" w:rsidRDefault="008401BA" w:rsidP="008401BA">
      <w:pPr>
        <w:pStyle w:val="SingleTxt"/>
        <w:spacing w:after="0" w:line="120" w:lineRule="exact"/>
        <w:rPr>
          <w:b/>
          <w:sz w:val="10"/>
        </w:rPr>
      </w:pPr>
    </w:p>
    <w:p w:rsidR="008401BA" w:rsidRPr="008401BA" w:rsidRDefault="008401BA" w:rsidP="008401B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01BA">
        <w:br w:type="page"/>
      </w:r>
      <w:r w:rsidRPr="008401BA">
        <w:lastRenderedPageBreak/>
        <w:tab/>
        <w:t>II.</w:t>
      </w:r>
      <w:r w:rsidRPr="008401BA">
        <w:tab/>
        <w:t>Обоснование</w:t>
      </w:r>
    </w:p>
    <w:p w:rsidR="008401BA" w:rsidRPr="008401BA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8401BA" w:rsidRDefault="008401BA" w:rsidP="008401BA">
      <w:pPr>
        <w:pStyle w:val="SingleTxt"/>
        <w:spacing w:after="0" w:line="120" w:lineRule="exact"/>
        <w:rPr>
          <w:sz w:val="10"/>
        </w:rPr>
      </w:pPr>
    </w:p>
    <w:p w:rsidR="008401BA" w:rsidRPr="008401BA" w:rsidRDefault="008401BA" w:rsidP="008401BA">
      <w:pPr>
        <w:pStyle w:val="SingleTxt"/>
      </w:pPr>
      <w:r w:rsidRPr="008401BA">
        <w:tab/>
        <w:t>Настоящее предложение направлено на усовершенствование нынешнего текста Правил № 30 в целях:</w:t>
      </w:r>
    </w:p>
    <w:p w:rsidR="008401BA" w:rsidRPr="008401BA" w:rsidRDefault="008401BA" w:rsidP="008401BA">
      <w:pPr>
        <w:pStyle w:val="SingleTxt"/>
      </w:pPr>
      <w:r w:rsidRPr="008401BA">
        <w:tab/>
        <w:t>a)</w:t>
      </w:r>
      <w:r w:rsidRPr="008401BA">
        <w:tab/>
        <w:t>согласования некоторых определений и содержания ряда пунктов с другими правилами, касающимися шин (правила № 117, 54, 75 и т.д.);</w:t>
      </w:r>
    </w:p>
    <w:p w:rsidR="008401BA" w:rsidRPr="008401BA" w:rsidRDefault="008401BA" w:rsidP="008401BA">
      <w:pPr>
        <w:pStyle w:val="SingleTxt"/>
      </w:pPr>
      <w:r w:rsidRPr="008401BA">
        <w:tab/>
        <w:t>b)</w:t>
      </w:r>
      <w:r w:rsidRPr="008401BA">
        <w:tab/>
        <w:t>включения определения термина «изготовитель», взятого из резолюции СР.3;</w:t>
      </w:r>
    </w:p>
    <w:p w:rsidR="008401BA" w:rsidRPr="008401BA" w:rsidRDefault="008401BA" w:rsidP="008401BA">
      <w:pPr>
        <w:pStyle w:val="SingleTxt"/>
      </w:pPr>
      <w:r w:rsidRPr="008401BA">
        <w:tab/>
        <w:t>c)</w:t>
      </w:r>
      <w:r w:rsidRPr="008401BA">
        <w:tab/>
        <w:t>введения единого определения и порядка использования терминов «наименование изготовителя», «фирменное название», «товарный знак», «торговое обозначение» и «коммерческое наименование», а также определения их взаимосвязи;</w:t>
      </w:r>
    </w:p>
    <w:p w:rsidR="008401BA" w:rsidRPr="008401BA" w:rsidRDefault="008401BA" w:rsidP="008401BA">
      <w:pPr>
        <w:pStyle w:val="SingleTxt"/>
      </w:pPr>
      <w:r w:rsidRPr="008401BA">
        <w:tab/>
        <w:t>d)</w:t>
      </w:r>
      <w:r w:rsidRPr="008401BA">
        <w:tab/>
        <w:t>добавления в свидетельство, предназначенное для компетентных органов, некоторой информации для облегчения задачи его соотнесения с продукцией.</w:t>
      </w:r>
    </w:p>
    <w:p w:rsidR="008401BA" w:rsidRPr="008401BA" w:rsidRDefault="008401BA" w:rsidP="008401BA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A2F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401BA" w:rsidRPr="008401BA" w:rsidSect="003C11D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E5" w:rsidRDefault="005621E5" w:rsidP="008A1A7A">
      <w:pPr>
        <w:spacing w:line="240" w:lineRule="auto"/>
      </w:pPr>
      <w:r>
        <w:separator/>
      </w:r>
    </w:p>
  </w:endnote>
  <w:endnote w:type="continuationSeparator" w:id="0">
    <w:p w:rsidR="005621E5" w:rsidRDefault="005621E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C11D7" w:rsidTr="003C11D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C11D7" w:rsidRPr="003C11D7" w:rsidRDefault="003C11D7" w:rsidP="003C11D7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94ADF">
            <w:rPr>
              <w:noProof/>
            </w:rPr>
            <w:t>2</w:t>
          </w:r>
          <w:r>
            <w:fldChar w:fldCharType="end"/>
          </w:r>
          <w:r>
            <w:t>/</w:t>
          </w:r>
          <w:r w:rsidR="005621E5">
            <w:fldChar w:fldCharType="begin"/>
          </w:r>
          <w:r w:rsidR="005621E5">
            <w:instrText xml:space="preserve"> NUMPAGES  \* Arabic  \* MERGEFORMAT </w:instrText>
          </w:r>
          <w:r w:rsidR="005621E5">
            <w:fldChar w:fldCharType="separate"/>
          </w:r>
          <w:r w:rsidR="00D94ADF">
            <w:rPr>
              <w:noProof/>
            </w:rPr>
            <w:t>5</w:t>
          </w:r>
          <w:r w:rsidR="005621E5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C11D7" w:rsidRPr="003C11D7" w:rsidRDefault="003C11D7" w:rsidP="003C11D7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50BDB">
            <w:rPr>
              <w:b w:val="0"/>
              <w:color w:val="000000"/>
              <w:sz w:val="14"/>
            </w:rPr>
            <w:t>GE.15-20487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C11D7" w:rsidRPr="003C11D7" w:rsidRDefault="003C11D7" w:rsidP="003C11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C11D7" w:rsidTr="003C11D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C11D7" w:rsidRPr="003C11D7" w:rsidRDefault="003C11D7" w:rsidP="003C11D7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50BDB">
            <w:rPr>
              <w:b w:val="0"/>
              <w:color w:val="000000"/>
              <w:sz w:val="14"/>
            </w:rPr>
            <w:t>GE.15-20487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C11D7" w:rsidRPr="003C11D7" w:rsidRDefault="003C11D7" w:rsidP="003C11D7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94ADF">
            <w:rPr>
              <w:noProof/>
            </w:rPr>
            <w:t>5</w:t>
          </w:r>
          <w:r>
            <w:fldChar w:fldCharType="end"/>
          </w:r>
          <w:r>
            <w:t>/</w:t>
          </w:r>
          <w:r w:rsidR="005621E5">
            <w:fldChar w:fldCharType="begin"/>
          </w:r>
          <w:r w:rsidR="005621E5">
            <w:instrText xml:space="preserve"> NUMPAGES  \* Arabic  \* MERGEFORMAT </w:instrText>
          </w:r>
          <w:r w:rsidR="005621E5">
            <w:fldChar w:fldCharType="separate"/>
          </w:r>
          <w:r w:rsidR="00D94ADF">
            <w:rPr>
              <w:noProof/>
            </w:rPr>
            <w:t>5</w:t>
          </w:r>
          <w:r w:rsidR="005621E5">
            <w:rPr>
              <w:noProof/>
            </w:rPr>
            <w:fldChar w:fldCharType="end"/>
          </w:r>
        </w:p>
      </w:tc>
    </w:tr>
  </w:tbl>
  <w:p w:rsidR="003C11D7" w:rsidRPr="003C11D7" w:rsidRDefault="003C11D7" w:rsidP="003C11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C11D7" w:rsidTr="003C11D7">
      <w:tc>
        <w:tcPr>
          <w:tcW w:w="3873" w:type="dxa"/>
        </w:tcPr>
        <w:p w:rsidR="003C11D7" w:rsidRDefault="003C11D7" w:rsidP="003C11D7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01AD911" wp14:editId="1106362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GE.15-20487 (R)</w:t>
          </w:r>
          <w:r w:rsidR="008401BA">
            <w:rPr>
              <w:color w:val="010000"/>
            </w:rPr>
            <w:t xml:space="preserve">    0</w:t>
          </w:r>
          <w:r w:rsidR="008401BA">
            <w:rPr>
              <w:color w:val="010000"/>
              <w:lang w:val="en-US"/>
            </w:rPr>
            <w:t>7</w:t>
          </w:r>
          <w:r>
            <w:rPr>
              <w:color w:val="010000"/>
            </w:rPr>
            <w:t>1215    081215</w:t>
          </w:r>
        </w:p>
        <w:p w:rsidR="003C11D7" w:rsidRPr="003C11D7" w:rsidRDefault="003C11D7" w:rsidP="003C11D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*1520487*</w:t>
          </w:r>
        </w:p>
      </w:tc>
      <w:tc>
        <w:tcPr>
          <w:tcW w:w="5127" w:type="dxa"/>
        </w:tcPr>
        <w:p w:rsidR="003C11D7" w:rsidRDefault="003C11D7" w:rsidP="003C11D7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36580288" wp14:editId="6965F41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11D7" w:rsidRPr="003C11D7" w:rsidRDefault="003C11D7" w:rsidP="003C11D7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E5" w:rsidRPr="008401BA" w:rsidRDefault="005621E5" w:rsidP="008401BA">
      <w:pPr>
        <w:pStyle w:val="Pieddepage"/>
        <w:spacing w:after="80"/>
        <w:ind w:left="792"/>
        <w:rPr>
          <w:sz w:val="16"/>
        </w:rPr>
      </w:pPr>
      <w:r w:rsidRPr="008401BA">
        <w:rPr>
          <w:sz w:val="16"/>
        </w:rPr>
        <w:t>__________________</w:t>
      </w:r>
    </w:p>
  </w:footnote>
  <w:footnote w:type="continuationSeparator" w:id="0">
    <w:p w:rsidR="005621E5" w:rsidRPr="008401BA" w:rsidRDefault="005621E5" w:rsidP="008401BA">
      <w:pPr>
        <w:pStyle w:val="Pieddepage"/>
        <w:spacing w:after="80"/>
        <w:ind w:left="792"/>
        <w:rPr>
          <w:sz w:val="16"/>
        </w:rPr>
      </w:pPr>
      <w:r w:rsidRPr="008401BA">
        <w:rPr>
          <w:sz w:val="16"/>
        </w:rPr>
        <w:t>__________________</w:t>
      </w:r>
    </w:p>
  </w:footnote>
  <w:footnote w:id="1">
    <w:p w:rsidR="008401BA" w:rsidRPr="00AE460A" w:rsidRDefault="008401BA" w:rsidP="008401B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bCs/>
          <w:spacing w:val="4"/>
          <w:w w:val="103"/>
          <w:szCs w:val="17"/>
          <w:lang w:val="en-US"/>
        </w:rPr>
        <w:tab/>
      </w:r>
      <w:r w:rsidRPr="00AE460A">
        <w:rPr>
          <w:bCs/>
          <w:spacing w:val="4"/>
          <w:w w:val="103"/>
          <w:szCs w:val="17"/>
        </w:rPr>
        <w:t>*</w:t>
      </w:r>
      <w:r w:rsidRPr="00AE460A">
        <w:rPr>
          <w:szCs w:val="17"/>
        </w:rPr>
        <w:tab/>
      </w:r>
      <w:r w:rsidRPr="00721E8F">
        <w:t>В соответствии с программой работы Комите</w:t>
      </w:r>
      <w:r>
        <w:t>та по внутреннему транспорту на</w:t>
      </w:r>
      <w:r>
        <w:br/>
      </w:r>
      <w:r w:rsidRPr="00721E8F">
        <w:t>201</w:t>
      </w:r>
      <w:r>
        <w:t>4</w:t>
      </w:r>
      <w:r w:rsidRPr="00721E8F">
        <w:t>−201</w:t>
      </w:r>
      <w:r>
        <w:t>8</w:t>
      </w:r>
      <w:r w:rsidRPr="00721E8F">
        <w:t xml:space="preserve"> 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</w:t>
      </w:r>
      <w:r>
        <w:t>40</w:t>
      </w:r>
      <w:r w:rsidRPr="00721E8F">
        <w:t xml:space="preserve">, пункт </w:t>
      </w:r>
      <w:r>
        <w:t>105</w:t>
      </w:r>
      <w:r w:rsidRPr="00721E8F">
        <w:t xml:space="preserve">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/201</w:t>
      </w:r>
      <w:r>
        <w:t>4</w:t>
      </w:r>
      <w:r w:rsidRPr="00721E8F">
        <w:t>/2</w:t>
      </w:r>
      <w:r>
        <w:t>6</w:t>
      </w:r>
      <w:r w:rsidRPr="00721E8F">
        <w:t>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</w:t>
      </w:r>
      <w:r>
        <w:t>кумент представлен в </w:t>
      </w:r>
      <w:r w:rsidRPr="00721E8F">
        <w:t>соответствии с этим мандатом</w:t>
      </w:r>
      <w:r w:rsidRPr="00AE460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C11D7" w:rsidTr="003C11D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C11D7" w:rsidRPr="003C11D7" w:rsidRDefault="003C11D7" w:rsidP="003C11D7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50BDB">
            <w:rPr>
              <w:b/>
            </w:rPr>
            <w:t>ECE/TRANS/WP.29/GRRF/2016/11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C11D7" w:rsidRDefault="003C11D7" w:rsidP="003C11D7">
          <w:pPr>
            <w:pStyle w:val="En-tte"/>
          </w:pPr>
        </w:p>
      </w:tc>
    </w:tr>
  </w:tbl>
  <w:p w:rsidR="003C11D7" w:rsidRPr="003C11D7" w:rsidRDefault="003C11D7" w:rsidP="003C11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C11D7" w:rsidTr="003C11D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C11D7" w:rsidRDefault="003C11D7" w:rsidP="003C11D7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3C11D7" w:rsidRPr="003C11D7" w:rsidRDefault="003C11D7" w:rsidP="003C11D7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50BDB">
            <w:rPr>
              <w:b/>
            </w:rPr>
            <w:t>ECE/TRANS/WP.29/GRRF/2016/11</w:t>
          </w:r>
          <w:r>
            <w:rPr>
              <w:b/>
            </w:rPr>
            <w:fldChar w:fldCharType="end"/>
          </w:r>
        </w:p>
      </w:tc>
    </w:tr>
  </w:tbl>
  <w:p w:rsidR="003C11D7" w:rsidRPr="003C11D7" w:rsidRDefault="003C11D7" w:rsidP="003C11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C11D7" w:rsidTr="003C11D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C11D7" w:rsidRPr="003C11D7" w:rsidRDefault="003C11D7" w:rsidP="003C11D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C11D7" w:rsidRDefault="003C11D7" w:rsidP="003C11D7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C11D7" w:rsidRPr="003C11D7" w:rsidRDefault="003C11D7" w:rsidP="003C11D7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/TRANS/WP.29/GRRF/2016/11</w:t>
          </w:r>
        </w:p>
      </w:tc>
    </w:tr>
    <w:tr w:rsidR="003C11D7" w:rsidRPr="00CC1C5D" w:rsidTr="003C11D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11D7" w:rsidRPr="003C11D7" w:rsidRDefault="003C11D7" w:rsidP="003C11D7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070EABA" wp14:editId="66E9BD9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11D7" w:rsidRPr="003C11D7" w:rsidRDefault="003C11D7" w:rsidP="003C11D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11D7" w:rsidRPr="003C11D7" w:rsidRDefault="003C11D7" w:rsidP="003C11D7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C11D7" w:rsidRPr="008401BA" w:rsidRDefault="003C11D7" w:rsidP="003C11D7">
          <w:pPr>
            <w:pStyle w:val="Distribution"/>
            <w:rPr>
              <w:color w:val="000000"/>
              <w:lang w:val="en-US"/>
            </w:rPr>
          </w:pPr>
          <w:r w:rsidRPr="008401BA">
            <w:rPr>
              <w:color w:val="000000"/>
              <w:lang w:val="en-US"/>
            </w:rPr>
            <w:t>Distr.: General</w:t>
          </w:r>
        </w:p>
        <w:p w:rsidR="003C11D7" w:rsidRPr="008401BA" w:rsidRDefault="003C11D7" w:rsidP="008401BA">
          <w:pPr>
            <w:pStyle w:val="Publication"/>
            <w:rPr>
              <w:color w:val="000000"/>
              <w:lang w:val="en-US"/>
            </w:rPr>
          </w:pPr>
          <w:r w:rsidRPr="008401BA">
            <w:rPr>
              <w:color w:val="000000"/>
              <w:lang w:val="en-US"/>
            </w:rPr>
            <w:t xml:space="preserve">20 </w:t>
          </w:r>
          <w:r w:rsidR="008401BA">
            <w:rPr>
              <w:color w:val="000000"/>
              <w:lang w:val="en-US"/>
            </w:rPr>
            <w:t>November</w:t>
          </w:r>
          <w:r w:rsidRPr="008401BA">
            <w:rPr>
              <w:color w:val="000000"/>
              <w:lang w:val="en-US"/>
            </w:rPr>
            <w:t xml:space="preserve"> 2015</w:t>
          </w:r>
        </w:p>
        <w:p w:rsidR="003C11D7" w:rsidRPr="008401BA" w:rsidRDefault="003C11D7" w:rsidP="003C11D7">
          <w:pPr>
            <w:rPr>
              <w:color w:val="000000"/>
              <w:lang w:val="en-US"/>
            </w:rPr>
          </w:pPr>
          <w:r w:rsidRPr="008401BA">
            <w:rPr>
              <w:color w:val="000000"/>
              <w:lang w:val="en-US"/>
            </w:rPr>
            <w:t>Russian</w:t>
          </w:r>
        </w:p>
        <w:p w:rsidR="003C11D7" w:rsidRPr="008401BA" w:rsidRDefault="003C11D7" w:rsidP="003C11D7">
          <w:pPr>
            <w:pStyle w:val="Original"/>
            <w:rPr>
              <w:color w:val="000000"/>
              <w:lang w:val="en-US"/>
            </w:rPr>
          </w:pPr>
          <w:r w:rsidRPr="008401BA">
            <w:rPr>
              <w:color w:val="000000"/>
              <w:lang w:val="en-US"/>
            </w:rPr>
            <w:t>Original: English</w:t>
          </w:r>
        </w:p>
        <w:p w:rsidR="003C11D7" w:rsidRPr="008401BA" w:rsidRDefault="003C11D7" w:rsidP="003C11D7">
          <w:pPr>
            <w:rPr>
              <w:lang w:val="en-US"/>
            </w:rPr>
          </w:pPr>
        </w:p>
      </w:tc>
    </w:tr>
  </w:tbl>
  <w:p w:rsidR="003C11D7" w:rsidRPr="008401BA" w:rsidRDefault="003C11D7" w:rsidP="003C11D7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487*"/>
    <w:docVar w:name="CreationDt" w:val="12/8/2015 10:21 AM"/>
    <w:docVar w:name="DocCategory" w:val="Doc"/>
    <w:docVar w:name="DocType" w:val="Final"/>
    <w:docVar w:name="DutyStation" w:val="Geneva"/>
    <w:docVar w:name="FooterJN" w:val="GE.15-20487"/>
    <w:docVar w:name="jobn" w:val="GE.15-20487 (R)"/>
    <w:docVar w:name="jobnDT" w:val="GE.15-20487 (R)   081215"/>
    <w:docVar w:name="jobnDTDT" w:val="GE.15-20487 (R)   081215   081215"/>
    <w:docVar w:name="JobNo" w:val="GE.1520487R"/>
    <w:docVar w:name="JobNo2" w:val="1526586R"/>
    <w:docVar w:name="LocalDrive" w:val="0"/>
    <w:docVar w:name="OandT" w:val=" "/>
    <w:docVar w:name="PaperSize" w:val="A4"/>
    <w:docVar w:name="sss1" w:val="ECE/TRANS/WP.29/GRRF/2016/11"/>
    <w:docVar w:name="sss2" w:val="-"/>
    <w:docVar w:name="Symbol1" w:val="ECE/TRANS/WP.29/GRRF/2016/11"/>
    <w:docVar w:name="Symbol2" w:val="-"/>
  </w:docVars>
  <w:rsids>
    <w:rsidRoot w:val="007E3DC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1D7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21E5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2015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3114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3DC5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01BA"/>
    <w:rsid w:val="00842DFF"/>
    <w:rsid w:val="0084324F"/>
    <w:rsid w:val="00843750"/>
    <w:rsid w:val="00844407"/>
    <w:rsid w:val="00850BDB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6FE0"/>
    <w:rsid w:val="008B709D"/>
    <w:rsid w:val="008C11F5"/>
    <w:rsid w:val="008C2A03"/>
    <w:rsid w:val="008C3A57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0DE0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65D7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1C5D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4ADF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529A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3FD"/>
    <w:rsid w:val="00F947D0"/>
    <w:rsid w:val="00F9616B"/>
    <w:rsid w:val="00F979A8"/>
    <w:rsid w:val="00FA1B93"/>
    <w:rsid w:val="00FA5551"/>
    <w:rsid w:val="00FA6D66"/>
    <w:rsid w:val="00FA7C7A"/>
    <w:rsid w:val="00FC1190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3366E-EEB1-494C-BAC9-46D6BD1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3C11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1D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1D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1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1D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636F-E6F5-4FFB-BC67-D2605543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Bénédicte Boudol</cp:lastModifiedBy>
  <cp:revision>2</cp:revision>
  <cp:lastPrinted>2015-12-08T10:27:00Z</cp:lastPrinted>
  <dcterms:created xsi:type="dcterms:W3CDTF">2015-12-21T12:45:00Z</dcterms:created>
  <dcterms:modified xsi:type="dcterms:W3CDTF">2015-12-21T12:45:00Z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1520487R</vt:lpwstr>
  </property>
  <property fmtid="{D5CDD505-2E9C-101B-9397-08002B2CF9AE}" pid="3" name="ODSRefJobNo">
    <vt:lpwstr>1526586R</vt:lpwstr>
  </property>
  <property fmtid="{D5CDD505-2E9C-101B-9397-08002B2CF9AE}" pid="4" name="Symbol1">
    <vt:lpwstr>ECE/TRANS/WP.29/GRRF/2016/11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October 2015</vt:lpwstr>
  </property>
  <property fmtid="{D5CDD505-2E9C-101B-9397-08002B2CF9AE}" pid="12" name="Original">
    <vt:lpwstr>English</vt:lpwstr>
  </property>
  <property fmtid="{D5CDD505-2E9C-101B-9397-08002B2CF9AE}" pid="13" name="Release Date">
    <vt:lpwstr>081215</vt:lpwstr>
  </property>
</Properties>
</file>