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01738C">
                <w:t>TRANS/WP.29/GRRF/2016/34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55A4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01738C">
                <w:t>7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55A4B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1738C" w:rsidRPr="005518F8" w:rsidRDefault="0001738C" w:rsidP="0001738C">
      <w:pPr>
        <w:spacing w:before="120" w:line="240" w:lineRule="auto"/>
        <w:rPr>
          <w:sz w:val="28"/>
          <w:szCs w:val="28"/>
        </w:rPr>
      </w:pPr>
      <w:r w:rsidRPr="005518F8">
        <w:rPr>
          <w:sz w:val="28"/>
          <w:szCs w:val="28"/>
        </w:rPr>
        <w:t>Комитет по внутреннему транспорту</w:t>
      </w:r>
    </w:p>
    <w:p w:rsidR="0001738C" w:rsidRPr="005518F8" w:rsidRDefault="0001738C" w:rsidP="0001738C">
      <w:pPr>
        <w:spacing w:before="120" w:line="240" w:lineRule="auto"/>
        <w:rPr>
          <w:b/>
          <w:bCs/>
          <w:sz w:val="24"/>
          <w:szCs w:val="24"/>
        </w:rPr>
      </w:pPr>
      <w:r w:rsidRPr="005518F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518F8">
        <w:rPr>
          <w:b/>
          <w:bCs/>
          <w:sz w:val="24"/>
          <w:szCs w:val="24"/>
        </w:rPr>
        <w:br/>
        <w:t>в области транспортных средств</w:t>
      </w:r>
    </w:p>
    <w:p w:rsidR="0001738C" w:rsidRPr="005518F8" w:rsidRDefault="0001738C" w:rsidP="0001738C">
      <w:pPr>
        <w:spacing w:before="120" w:line="240" w:lineRule="auto"/>
        <w:rPr>
          <w:b/>
          <w:bCs/>
        </w:rPr>
      </w:pPr>
      <w:r w:rsidRPr="005518F8">
        <w:rPr>
          <w:b/>
          <w:bCs/>
        </w:rPr>
        <w:t>Рабочая группа по вопросам торможения и ходовой части</w:t>
      </w:r>
    </w:p>
    <w:p w:rsidR="0001738C" w:rsidRPr="005518F8" w:rsidRDefault="0001738C" w:rsidP="0001738C">
      <w:pPr>
        <w:spacing w:before="120" w:line="240" w:lineRule="auto"/>
        <w:rPr>
          <w:b/>
        </w:rPr>
      </w:pPr>
      <w:r w:rsidRPr="005518F8">
        <w:rPr>
          <w:b/>
          <w:bCs/>
        </w:rPr>
        <w:t>Восемьдесят вторая сессия</w:t>
      </w:r>
    </w:p>
    <w:p w:rsidR="0001738C" w:rsidRPr="005518F8" w:rsidRDefault="0001738C" w:rsidP="0001738C">
      <w:pPr>
        <w:spacing w:line="240" w:lineRule="auto"/>
      </w:pPr>
      <w:r w:rsidRPr="005518F8">
        <w:t>Женева, 20−23 сентября 2016 года</w:t>
      </w:r>
    </w:p>
    <w:p w:rsidR="0001738C" w:rsidRPr="005518F8" w:rsidRDefault="0001738C" w:rsidP="0001738C">
      <w:pPr>
        <w:spacing w:line="240" w:lineRule="auto"/>
      </w:pPr>
      <w:r w:rsidRPr="005518F8">
        <w:t>Пункт 7 b) предварительной повестки дня</w:t>
      </w:r>
    </w:p>
    <w:p w:rsidR="0001738C" w:rsidRPr="005518F8" w:rsidRDefault="0001738C" w:rsidP="0001738C">
      <w:pPr>
        <w:spacing w:line="240" w:lineRule="auto"/>
        <w:rPr>
          <w:b/>
          <w:bCs/>
        </w:rPr>
      </w:pPr>
      <w:r w:rsidRPr="005518F8">
        <w:rPr>
          <w:b/>
          <w:bCs/>
        </w:rPr>
        <w:t>Шины – Правила № 30</w:t>
      </w:r>
    </w:p>
    <w:p w:rsidR="0001738C" w:rsidRPr="005518F8" w:rsidRDefault="0001738C" w:rsidP="0001738C">
      <w:pPr>
        <w:pStyle w:val="HChGR"/>
      </w:pPr>
      <w:r w:rsidRPr="005518F8">
        <w:tab/>
      </w:r>
      <w:r w:rsidRPr="005518F8">
        <w:tab/>
        <w:t xml:space="preserve">Предложение по поправкам </w:t>
      </w:r>
      <w:r>
        <w:t>к</w:t>
      </w:r>
      <w:r>
        <w:rPr>
          <w:lang w:val="en-US"/>
        </w:rPr>
        <w:t> </w:t>
      </w:r>
      <w:r>
        <w:t>Правилам</w:t>
      </w:r>
      <w:r>
        <w:rPr>
          <w:lang w:val="en-US"/>
        </w:rPr>
        <w:t> </w:t>
      </w:r>
      <w:r w:rsidRPr="005518F8">
        <w:t>№ 30 (шины для пассажирских автомобилей и их прицепов)</w:t>
      </w:r>
    </w:p>
    <w:p w:rsidR="0001738C" w:rsidRPr="005518F8" w:rsidRDefault="0001738C" w:rsidP="0001738C">
      <w:pPr>
        <w:pStyle w:val="H1GR"/>
      </w:pPr>
      <w:r w:rsidRPr="005518F8">
        <w:tab/>
      </w:r>
      <w:r w:rsidRPr="005518F8">
        <w:tab/>
        <w:t xml:space="preserve">Представлено экспертом от </w:t>
      </w:r>
      <w:r>
        <w:t>Франции</w:t>
      </w:r>
      <w:r w:rsidRPr="005518F8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01738C" w:rsidRPr="005518F8" w:rsidRDefault="0001738C" w:rsidP="0001738C">
      <w:pPr>
        <w:pStyle w:val="SingleTxtGR"/>
      </w:pPr>
      <w:r w:rsidRPr="005518F8">
        <w:tab/>
        <w:t>Воспроизведенный ниже текст был подготовлен эксперт</w:t>
      </w:r>
      <w:r>
        <w:t>ами</w:t>
      </w:r>
      <w:r w:rsidRPr="005518F8">
        <w:t xml:space="preserve"> от </w:t>
      </w:r>
      <w:r>
        <w:t>Франции</w:t>
      </w:r>
      <w:r w:rsidRPr="005518F8">
        <w:t xml:space="preserve"> в целях внесения </w:t>
      </w:r>
      <w:r>
        <w:t>поправок</w:t>
      </w:r>
      <w:r w:rsidRPr="005518F8">
        <w:t xml:space="preserve"> в Правила № 30. </w:t>
      </w:r>
      <w:r>
        <w:t>В нумерации пунктов учтены поправки, предложенные в документе ECE/TRANS/WP.29/2016/51 (п</w:t>
      </w:r>
      <w:r w:rsidRPr="00BA6BD3">
        <w:rPr>
          <w:rFonts w:eastAsiaTheme="minorEastAsia"/>
        </w:rPr>
        <w:t>редложение по дополнению 18 к поправкам серии 02 к Правилам № 30</w:t>
      </w:r>
      <w:r>
        <w:t xml:space="preserve">), который был рассмотрен на сессии WP.29 в июне 2016 года. </w:t>
      </w:r>
      <w:r w:rsidRPr="005518F8">
        <w:t>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01738C" w:rsidRPr="005518F8" w:rsidRDefault="0001738C" w:rsidP="0001738C">
      <w:pPr>
        <w:spacing w:line="240" w:lineRule="auto"/>
        <w:rPr>
          <w:b/>
        </w:rPr>
      </w:pPr>
      <w:r w:rsidRPr="005518F8">
        <w:br w:type="page"/>
      </w:r>
    </w:p>
    <w:p w:rsidR="0001738C" w:rsidRPr="005518F8" w:rsidRDefault="0001738C" w:rsidP="0001738C">
      <w:pPr>
        <w:pStyle w:val="HChGR"/>
      </w:pPr>
      <w:r w:rsidRPr="005518F8">
        <w:lastRenderedPageBreak/>
        <w:tab/>
        <w:t>I.</w:t>
      </w:r>
      <w:r w:rsidRPr="005518F8">
        <w:tab/>
        <w:t>Предложение</w:t>
      </w:r>
    </w:p>
    <w:p w:rsidR="0001738C" w:rsidRPr="00C1687D" w:rsidRDefault="0001738C" w:rsidP="0001738C">
      <w:pPr>
        <w:pStyle w:val="SingleTxtGR"/>
        <w:rPr>
          <w:iCs/>
        </w:rPr>
      </w:pPr>
      <w:r w:rsidRPr="00C1687D">
        <w:rPr>
          <w:i/>
        </w:rPr>
        <w:t>Пункт 3.1.</w:t>
      </w:r>
      <w:r>
        <w:rPr>
          <w:i/>
        </w:rPr>
        <w:t>6</w:t>
      </w:r>
      <w:r w:rsidRPr="00C1687D">
        <w:rPr>
          <w:iCs/>
        </w:rPr>
        <w:t xml:space="preserve"> изменить следующим образом:</w:t>
      </w:r>
    </w:p>
    <w:p w:rsidR="0001738C" w:rsidRDefault="0001738C" w:rsidP="0001738C">
      <w:pPr>
        <w:pStyle w:val="SingleTxtGR"/>
        <w:ind w:left="2268" w:hanging="1134"/>
      </w:pPr>
      <w:r w:rsidRPr="00C1687D">
        <w:t>«3.1.</w:t>
      </w:r>
      <w:r>
        <w:t>6</w:t>
      </w:r>
      <w:r w:rsidRPr="00C1687D">
        <w:tab/>
      </w:r>
      <w:r>
        <w:tab/>
      </w:r>
      <w:r w:rsidRPr="00524FF6">
        <w:t>надпись M+S, M.S или M&amp;S, если шина относится к категории использования "зимняя шина"</w:t>
      </w:r>
      <w:r>
        <w:rPr>
          <w:strike/>
        </w:rPr>
        <w:t>;</w:t>
      </w:r>
      <w:r w:rsidRPr="00524FF6">
        <w:t xml:space="preserve"> </w:t>
      </w:r>
      <w:r w:rsidRPr="00312E06">
        <w:rPr>
          <w:b/>
          <w:bCs/>
        </w:rPr>
        <w:t>или если шина относится к категории использования "шина специального назначения", когда изготовитель шины заявляет в пункте 4.1.3, что она соответствует также определению, приведенному в пункте 2.6</w:t>
      </w:r>
      <w:r w:rsidRPr="00524FF6">
        <w:t>».</w:t>
      </w:r>
    </w:p>
    <w:p w:rsidR="0001738C" w:rsidRPr="00C1687D" w:rsidRDefault="0001738C" w:rsidP="0001738C">
      <w:pPr>
        <w:pStyle w:val="SingleTxtGR"/>
        <w:rPr>
          <w:iCs/>
        </w:rPr>
      </w:pPr>
      <w:r w:rsidRPr="00C1687D">
        <w:rPr>
          <w:i/>
        </w:rPr>
        <w:t>Пункт 3.1.</w:t>
      </w:r>
      <w:r>
        <w:rPr>
          <w:i/>
        </w:rPr>
        <w:t>7</w:t>
      </w:r>
      <w:r w:rsidRPr="00C1687D">
        <w:rPr>
          <w:iCs/>
        </w:rPr>
        <w:t xml:space="preserve"> изменить следующим образом:</w:t>
      </w:r>
    </w:p>
    <w:p w:rsidR="0001738C" w:rsidRDefault="0001738C" w:rsidP="0001738C">
      <w:pPr>
        <w:pStyle w:val="SingleTxtGR"/>
        <w:ind w:left="2268" w:hanging="1134"/>
      </w:pPr>
      <w:r w:rsidRPr="00C1687D">
        <w:t>«3.1.</w:t>
      </w:r>
      <w:r>
        <w:t>7</w:t>
      </w:r>
      <w:r>
        <w:tab/>
      </w:r>
      <w:r>
        <w:tab/>
      </w:r>
      <w:r w:rsidRPr="00B657BE">
        <w:t>надпись "ET" и/или "POR", если шина относится к категории использования "шина специального назначения".</w:t>
      </w:r>
      <w:r>
        <w:t xml:space="preserve"> </w:t>
      </w:r>
      <w:r w:rsidRPr="004C2E15">
        <w:rPr>
          <w:b/>
          <w:bCs/>
        </w:rPr>
        <w:t>Кроме того, на них может быть также нанесена маркировка M+S, M.S или M&amp;S.</w:t>
      </w:r>
    </w:p>
    <w:p w:rsidR="0001738C" w:rsidRDefault="0001738C" w:rsidP="0001738C">
      <w:pPr>
        <w:pStyle w:val="SingleTxtGR"/>
        <w:ind w:left="2268" w:hanging="1134"/>
      </w:pPr>
      <w:r>
        <w:tab/>
      </w:r>
      <w:r>
        <w:tab/>
      </w:r>
      <w:r w:rsidRPr="00B657BE">
        <w:t>"ET" означает дополнительный протектор, и "POR" означает профессиональное транспортное средство повышенной проходимости</w:t>
      </w:r>
      <w:r>
        <w:t>»</w:t>
      </w:r>
      <w:r w:rsidRPr="00B657BE">
        <w:t>.</w:t>
      </w:r>
    </w:p>
    <w:p w:rsidR="0001738C" w:rsidRPr="00524FF6" w:rsidRDefault="0001738C" w:rsidP="0001738C">
      <w:pPr>
        <w:pStyle w:val="SingleTxtGR"/>
        <w:rPr>
          <w:iCs/>
        </w:rPr>
      </w:pPr>
      <w:r w:rsidRPr="00524FF6">
        <w:rPr>
          <w:i/>
        </w:rPr>
        <w:t>Пункт 4.1.3</w:t>
      </w:r>
      <w:r w:rsidRPr="00524FF6">
        <w:rPr>
          <w:iCs/>
        </w:rPr>
        <w:t xml:space="preserve"> изменить следующим образом:</w:t>
      </w:r>
    </w:p>
    <w:p w:rsidR="0001738C" w:rsidRPr="00524FF6" w:rsidRDefault="0001738C" w:rsidP="0001738C">
      <w:pPr>
        <w:pStyle w:val="SingleTxtGR"/>
        <w:ind w:left="2268" w:hanging="1134"/>
      </w:pPr>
      <w:r w:rsidRPr="00524FF6">
        <w:t>«4.1.3</w:t>
      </w:r>
      <w:r w:rsidRPr="00524FF6">
        <w:tab/>
      </w:r>
      <w:r>
        <w:tab/>
      </w:r>
      <w:r w:rsidRPr="00524FF6">
        <w:t>категория использования (обычная шина, зимняя шина, шина специального назначения</w:t>
      </w:r>
      <w:r>
        <w:t xml:space="preserve"> или </w:t>
      </w:r>
      <w:r w:rsidRPr="006D055E">
        <w:t>шина временного пользования</w:t>
      </w:r>
      <w:r w:rsidRPr="00524FF6">
        <w:t>);</w:t>
      </w:r>
    </w:p>
    <w:p w:rsidR="0001738C" w:rsidRDefault="0001738C" w:rsidP="0001738C">
      <w:pPr>
        <w:pStyle w:val="SingleTxtGR"/>
        <w:ind w:left="2268" w:hanging="1134"/>
      </w:pPr>
      <w:r w:rsidRPr="004C2E15">
        <w:rPr>
          <w:b/>
          <w:bCs/>
        </w:rPr>
        <w:t>4.1.3.1</w:t>
      </w:r>
      <w:r w:rsidRPr="004C2E15">
        <w:rPr>
          <w:b/>
          <w:bCs/>
        </w:rPr>
        <w:tab/>
        <w:t>На шинах, относящихся к категории использования "шина специального назначения", может быть нанесена надпись M+S, M.S или M&amp;S</w:t>
      </w:r>
      <w:r w:rsidRPr="00524FF6">
        <w:t xml:space="preserve">». </w:t>
      </w:r>
    </w:p>
    <w:p w:rsidR="0001738C" w:rsidRPr="00BA6BD3" w:rsidRDefault="0001738C" w:rsidP="0001738C">
      <w:pPr>
        <w:pStyle w:val="SingleTxtGR"/>
        <w:spacing w:before="120"/>
        <w:rPr>
          <w:rFonts w:eastAsiaTheme="minorEastAsia"/>
          <w:lang w:eastAsia="zh-CN"/>
        </w:rPr>
      </w:pPr>
      <w:r w:rsidRPr="00BA6BD3">
        <w:rPr>
          <w:rFonts w:eastAsiaTheme="minorEastAsia"/>
          <w:i/>
          <w:lang w:eastAsia="zh-CN"/>
        </w:rPr>
        <w:t>Пункт 6.1.5.4</w:t>
      </w:r>
      <w:r w:rsidRPr="00BA6BD3">
        <w:rPr>
          <w:rFonts w:eastAsiaTheme="minorEastAsia"/>
          <w:lang w:eastAsia="zh-CN"/>
        </w:rPr>
        <w:t xml:space="preserve"> изменить следующим образом:</w:t>
      </w:r>
    </w:p>
    <w:p w:rsidR="0001738C" w:rsidRPr="00BA6BD3" w:rsidRDefault="0001738C" w:rsidP="0001738C">
      <w:pPr>
        <w:pStyle w:val="SingleTxtGR"/>
        <w:ind w:left="2268" w:hanging="113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«</w:t>
      </w:r>
      <w:r w:rsidRPr="00BA6BD3">
        <w:rPr>
          <w:rFonts w:eastAsiaTheme="minorEastAsia"/>
          <w:lang w:eastAsia="zh-CN"/>
        </w:rPr>
        <w:t>6.1.5.4</w:t>
      </w:r>
      <w:r w:rsidRPr="00BA6BD3">
        <w:rPr>
          <w:rFonts w:eastAsiaTheme="minorEastAsia"/>
          <w:lang w:eastAsia="zh-CN"/>
        </w:rPr>
        <w:tab/>
        <w:t xml:space="preserve">в случае </w:t>
      </w:r>
      <w:r w:rsidRPr="00C301FE">
        <w:rPr>
          <w:rFonts w:eastAsiaTheme="minorEastAsia"/>
          <w:strike/>
          <w:lang w:eastAsia="zh-CN"/>
        </w:rPr>
        <w:t>зимних</w:t>
      </w:r>
      <w:r w:rsidRPr="00BA6BD3">
        <w:rPr>
          <w:rFonts w:eastAsiaTheme="minorEastAsia"/>
          <w:lang w:eastAsia="zh-CN"/>
        </w:rPr>
        <w:t xml:space="preserve"> шин </w:t>
      </w:r>
      <w:r w:rsidRPr="00C176FA">
        <w:rPr>
          <w:rFonts w:eastAsiaTheme="minorEastAsia"/>
          <w:b/>
          <w:bCs/>
          <w:lang w:eastAsia="zh-CN"/>
        </w:rPr>
        <w:t>категории использования «зимняя шина»</w:t>
      </w:r>
      <w:r>
        <w:rPr>
          <w:rFonts w:eastAsiaTheme="minorEastAsia"/>
          <w:b/>
          <w:bCs/>
          <w:lang w:eastAsia="zh-CN"/>
        </w:rPr>
        <w:t xml:space="preserve"> </w:t>
      </w:r>
      <w:r w:rsidRPr="00BA6BD3">
        <w:rPr>
          <w:rFonts w:eastAsiaTheme="minorEastAsia"/>
          <w:lang w:eastAsia="zh-CN"/>
        </w:rPr>
        <w:t>наружный диаметр не должен превышать следующее значение:</w:t>
      </w:r>
    </w:p>
    <w:p w:rsidR="0001738C" w:rsidRPr="00BA6BD3" w:rsidRDefault="0001738C" w:rsidP="0001738C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ab/>
        <w:t>D</w:t>
      </w:r>
      <w:r w:rsidRPr="00BA6BD3">
        <w:rPr>
          <w:rFonts w:eastAsiaTheme="minorEastAsia"/>
          <w:vertAlign w:val="subscript"/>
          <w:lang w:eastAsia="zh-CN"/>
        </w:rPr>
        <w:t xml:space="preserve">max,snow </w:t>
      </w:r>
      <w:r w:rsidRPr="00BA6BD3">
        <w:rPr>
          <w:rFonts w:eastAsiaTheme="minorEastAsia"/>
          <w:lang w:eastAsia="zh-CN"/>
        </w:rPr>
        <w:t>= 1,01 • D</w:t>
      </w:r>
      <w:r w:rsidRPr="00BA6BD3">
        <w:rPr>
          <w:rFonts w:eastAsiaTheme="minorEastAsia"/>
          <w:vertAlign w:val="subscript"/>
          <w:lang w:eastAsia="zh-CN"/>
        </w:rPr>
        <w:t>max</w:t>
      </w:r>
      <w:r>
        <w:rPr>
          <w:rFonts w:eastAsiaTheme="minorEastAsia"/>
          <w:lang w:eastAsia="zh-CN"/>
        </w:rPr>
        <w:t>,</w:t>
      </w:r>
      <w:r w:rsidRPr="00BA6BD3"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ab/>
        <w:t xml:space="preserve">округленное до целого </w:t>
      </w:r>
      <w:r>
        <w:rPr>
          <w:rFonts w:eastAsiaTheme="minorEastAsia"/>
          <w:lang w:eastAsia="zh-CN"/>
        </w:rPr>
        <w:t>мм</w:t>
      </w:r>
      <w:r w:rsidRPr="00BA6BD3">
        <w:rPr>
          <w:rFonts w:eastAsiaTheme="minorEastAsia"/>
          <w:lang w:eastAsia="zh-CN"/>
        </w:rPr>
        <w:t>,</w:t>
      </w:r>
    </w:p>
    <w:p w:rsidR="0001738C" w:rsidRPr="00BA6BD3" w:rsidRDefault="0001738C" w:rsidP="0001738C">
      <w:pPr>
        <w:pStyle w:val="SingleTxtGR"/>
        <w:ind w:left="2268" w:hanging="1134"/>
        <w:rPr>
          <w:rFonts w:eastAsiaTheme="minorEastAsia"/>
          <w:lang w:eastAsia="zh-CN"/>
        </w:rPr>
      </w:pPr>
      <w:r w:rsidRPr="00BA6BD3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ab/>
      </w:r>
      <w:r w:rsidRPr="00BA6BD3">
        <w:rPr>
          <w:rFonts w:eastAsiaTheme="minorEastAsia"/>
          <w:lang w:eastAsia="zh-CN"/>
        </w:rPr>
        <w:tab/>
        <w:t>где D</w:t>
      </w:r>
      <w:r w:rsidRPr="00BA6BD3">
        <w:rPr>
          <w:rFonts w:eastAsiaTheme="minorEastAsia"/>
          <w:vertAlign w:val="subscript"/>
          <w:lang w:eastAsia="zh-CN"/>
        </w:rPr>
        <w:t>max</w:t>
      </w:r>
      <w:r w:rsidRPr="00BA6BD3">
        <w:rPr>
          <w:rFonts w:eastAsiaTheme="minorEastAsia"/>
          <w:lang w:eastAsia="zh-CN"/>
        </w:rPr>
        <w:t xml:space="preserve"> – максимальный наружный диаметр, определяемый в соответствии с указанной выше формулой».</w:t>
      </w:r>
    </w:p>
    <w:p w:rsidR="0001738C" w:rsidRPr="00BA6BD3" w:rsidRDefault="0001738C" w:rsidP="0001738C">
      <w:pPr>
        <w:pStyle w:val="SingleTxtGR"/>
        <w:rPr>
          <w:rFonts w:eastAsiaTheme="minorEastAsia"/>
          <w:i/>
          <w:lang w:eastAsia="zh-CN"/>
        </w:rPr>
      </w:pPr>
      <w:r>
        <w:rPr>
          <w:rFonts w:eastAsiaTheme="minorEastAsia"/>
          <w:i/>
          <w:lang w:eastAsia="zh-CN"/>
        </w:rPr>
        <w:t>Заголовок п</w:t>
      </w:r>
      <w:r w:rsidRPr="00BA6BD3">
        <w:rPr>
          <w:rFonts w:eastAsiaTheme="minorEastAsia"/>
          <w:i/>
          <w:lang w:eastAsia="zh-CN"/>
        </w:rPr>
        <w:t>ункт</w:t>
      </w:r>
      <w:r>
        <w:rPr>
          <w:rFonts w:eastAsiaTheme="minorEastAsia"/>
          <w:i/>
          <w:lang w:eastAsia="zh-CN"/>
        </w:rPr>
        <w:t>а</w:t>
      </w:r>
      <w:r w:rsidRPr="00BA6BD3">
        <w:rPr>
          <w:rFonts w:eastAsiaTheme="minorEastAsia"/>
          <w:i/>
          <w:lang w:eastAsia="zh-CN"/>
        </w:rPr>
        <w:t xml:space="preserve"> 12 </w:t>
      </w:r>
      <w:r w:rsidRPr="00BA6BD3">
        <w:rPr>
          <w:rFonts w:eastAsiaTheme="minorEastAsia"/>
          <w:lang w:eastAsia="zh-CN"/>
        </w:rPr>
        <w:t>изменить следующим образом:</w:t>
      </w:r>
    </w:p>
    <w:p w:rsidR="0001738C" w:rsidRPr="00C176FA" w:rsidRDefault="0001738C" w:rsidP="0001738C">
      <w:pPr>
        <w:pStyle w:val="SingleTxtGR"/>
        <w:suppressAutoHyphens/>
        <w:ind w:left="2268" w:hanging="1134"/>
        <w:jc w:val="left"/>
        <w:rPr>
          <w:rFonts w:eastAsiaTheme="minorEastAsia"/>
        </w:rPr>
      </w:pPr>
      <w:r w:rsidRPr="00C176FA">
        <w:rPr>
          <w:rFonts w:eastAsiaTheme="minorEastAsia"/>
          <w:position w:val="4"/>
        </w:rPr>
        <w:t>«</w:t>
      </w:r>
      <w:r w:rsidRPr="00C176FA">
        <w:rPr>
          <w:rFonts w:eastAsiaTheme="minorEastAsia"/>
        </w:rPr>
        <w:t>12.</w:t>
      </w:r>
      <w:r w:rsidRPr="00C176FA">
        <w:rPr>
          <w:rFonts w:eastAsiaTheme="minorEastAsia"/>
        </w:rPr>
        <w:tab/>
      </w:r>
      <w:r w:rsidRPr="00C176FA">
        <w:rPr>
          <w:rFonts w:eastAsiaTheme="minorEastAsia"/>
        </w:rPr>
        <w:tab/>
        <w:t>Названия и адреса технических служб, уполномоченных проводить испытания для</w:t>
      </w:r>
      <w:r w:rsidRPr="00C176FA">
        <w:rPr>
          <w:rFonts w:eastAsiaTheme="minorEastAsia"/>
          <w:lang w:val="en-US"/>
        </w:rPr>
        <w:t> </w:t>
      </w:r>
      <w:r w:rsidRPr="00C176FA">
        <w:rPr>
          <w:rFonts w:eastAsiaTheme="minorEastAsia"/>
        </w:rPr>
        <w:t xml:space="preserve">официального утверждения, </w:t>
      </w:r>
      <w:r>
        <w:rPr>
          <w:rFonts w:eastAsiaTheme="minorEastAsia"/>
          <w:b/>
          <w:bCs/>
        </w:rPr>
        <w:t xml:space="preserve">испытательных лабораторий </w:t>
      </w:r>
      <w:r w:rsidRPr="00C176FA">
        <w:rPr>
          <w:rFonts w:eastAsiaTheme="minorEastAsia"/>
        </w:rPr>
        <w:t>и органов по</w:t>
      </w:r>
      <w:r w:rsidRPr="00C176FA">
        <w:rPr>
          <w:rFonts w:eastAsiaTheme="minorEastAsia"/>
          <w:lang w:val="en-US"/>
        </w:rPr>
        <w:t> </w:t>
      </w:r>
      <w:r w:rsidRPr="00C176FA">
        <w:rPr>
          <w:rFonts w:eastAsiaTheme="minorEastAsia"/>
        </w:rPr>
        <w:t>официальному утверждению типа</w:t>
      </w:r>
      <w:r>
        <w:rPr>
          <w:rFonts w:eastAsiaTheme="minorEastAsia"/>
        </w:rPr>
        <w:t>».</w:t>
      </w:r>
    </w:p>
    <w:p w:rsidR="0001738C" w:rsidRPr="005518F8" w:rsidRDefault="0001738C" w:rsidP="0001738C">
      <w:pPr>
        <w:pStyle w:val="HChGR"/>
        <w:rPr>
          <w:rFonts w:eastAsiaTheme="minorEastAsia"/>
        </w:rPr>
      </w:pPr>
      <w:r w:rsidRPr="005518F8">
        <w:rPr>
          <w:rFonts w:eastAsiaTheme="minorEastAsia"/>
        </w:rPr>
        <w:tab/>
        <w:t>II.</w:t>
      </w:r>
      <w:r w:rsidRPr="005518F8">
        <w:rPr>
          <w:rFonts w:eastAsiaTheme="minorEastAsia"/>
        </w:rPr>
        <w:tab/>
      </w:r>
      <w:r w:rsidRPr="005518F8">
        <w:t>Обоснование</w:t>
      </w:r>
    </w:p>
    <w:p w:rsidR="0001738C" w:rsidRDefault="0001738C" w:rsidP="0001738C">
      <w:pPr>
        <w:pStyle w:val="SingleTxtGR"/>
      </w:pPr>
      <w:r>
        <w:rPr>
          <w:rFonts w:eastAsiaTheme="minorEastAsia"/>
        </w:rPr>
        <w:t>1.</w:t>
      </w:r>
      <w:r w:rsidRPr="005518F8">
        <w:rPr>
          <w:rFonts w:eastAsiaTheme="minorEastAsia"/>
        </w:rPr>
        <w:tab/>
      </w:r>
      <w:r>
        <w:t>В нынешнем тексте Правил № 30 ООН не предусмотрен случай, когда шина, предназначенная для «специального» применения, может соответствовать также определению «зимней» шины. В таком случае, если об этом заявит изготовитель, на шину надлежит наносить маркировку M+S, M.S или M&amp;S, хотя она остается в категории использования «шина специального назначения».</w:t>
      </w:r>
    </w:p>
    <w:p w:rsidR="0001738C" w:rsidRDefault="0001738C" w:rsidP="0001738C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 xml:space="preserve">Добавить в заголовке </w:t>
      </w:r>
      <w:r w:rsidRPr="0001738C">
        <w:t>пункта</w:t>
      </w:r>
      <w:r>
        <w:rPr>
          <w:rFonts w:eastAsiaTheme="minorEastAsia"/>
        </w:rPr>
        <w:t xml:space="preserve"> 12 фразу «испытательные лаборатории», использованную в подпункте 12.1 документа </w:t>
      </w:r>
      <w:r>
        <w:rPr>
          <w:lang w:val="en-US"/>
        </w:rPr>
        <w:t>ECE</w:t>
      </w:r>
      <w:r w:rsidRPr="00D00CDB">
        <w:t>/</w:t>
      </w:r>
      <w:r>
        <w:rPr>
          <w:lang w:val="en-US"/>
        </w:rPr>
        <w:t>TRANS</w:t>
      </w:r>
      <w:r w:rsidRPr="00D00CDB">
        <w:t>/</w:t>
      </w:r>
      <w:r>
        <w:rPr>
          <w:lang w:val="en-US"/>
        </w:rPr>
        <w:t>WP</w:t>
      </w:r>
      <w:r w:rsidRPr="00D00CDB">
        <w:t>.29/2016/</w:t>
      </w:r>
      <w:r w:rsidRPr="00D00CDB">
        <w:rPr>
          <w:rFonts w:eastAsiaTheme="minorEastAsia" w:hint="eastAsia"/>
          <w:lang w:eastAsia="zh-CN"/>
        </w:rPr>
        <w:t>5</w:t>
      </w:r>
      <w:r w:rsidRPr="00D00CDB">
        <w:t>1</w:t>
      </w:r>
      <w:r>
        <w:t xml:space="preserve">, который был рассмотрен на сессии </w:t>
      </w:r>
      <w:r>
        <w:rPr>
          <w:lang w:val="en-US"/>
        </w:rPr>
        <w:t>WP</w:t>
      </w:r>
      <w:r w:rsidRPr="00D00CDB">
        <w:t>.29</w:t>
      </w:r>
      <w:r>
        <w:t xml:space="preserve"> в июне 2016 года, в целях согласования различных правил.</w:t>
      </w:r>
    </w:p>
    <w:p w:rsidR="0001738C" w:rsidRPr="0001738C" w:rsidRDefault="0001738C" w:rsidP="0001738C">
      <w:pPr>
        <w:spacing w:before="240"/>
        <w:jc w:val="center"/>
        <w:rPr>
          <w:rFonts w:eastAsiaTheme="minorEastAsia"/>
          <w:u w:val="single"/>
          <w:lang w:eastAsia="zh-CN"/>
        </w:rPr>
      </w:pPr>
      <w:r>
        <w:rPr>
          <w:rFonts w:eastAsiaTheme="minorEastAsia"/>
          <w:u w:val="single"/>
          <w:lang w:eastAsia="zh-CN"/>
        </w:rPr>
        <w:lastRenderedPageBreak/>
        <w:tab/>
      </w:r>
      <w:r>
        <w:rPr>
          <w:rFonts w:eastAsiaTheme="minorEastAsia"/>
          <w:u w:val="single"/>
          <w:lang w:eastAsia="zh-CN"/>
        </w:rPr>
        <w:tab/>
      </w:r>
      <w:r>
        <w:rPr>
          <w:rFonts w:eastAsiaTheme="minorEastAsia"/>
          <w:u w:val="single"/>
          <w:lang w:eastAsia="zh-CN"/>
        </w:rPr>
        <w:tab/>
      </w:r>
    </w:p>
    <w:sectPr w:rsidR="0001738C" w:rsidRPr="0001738C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4B" w:rsidRDefault="00255A4B" w:rsidP="00B471C5">
      <w:r>
        <w:separator/>
      </w:r>
    </w:p>
  </w:endnote>
  <w:endnote w:type="continuationSeparator" w:id="0">
    <w:p w:rsidR="00255A4B" w:rsidRDefault="00255A4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CB3568" w:rsidRDefault="007005EE" w:rsidP="007005EE">
    <w:pPr>
      <w:pStyle w:val="Pieddepage"/>
      <w:rPr>
        <w:rFonts w:eastAsiaTheme="minorEastAsia"/>
        <w:lang w:val="en-US" w:eastAsia="zh-CN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D506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B3568">
      <w:rPr>
        <w:rFonts w:eastAsiaTheme="minorEastAsia" w:hint="eastAsia"/>
        <w:lang w:val="en-US" w:eastAsia="zh-CN"/>
      </w:rPr>
      <w:t>11609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D5069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1738C" w:rsidRDefault="00A9606E" w:rsidP="007B199D">
          <w:pPr>
            <w:spacing w:after="40"/>
            <w:rPr>
              <w:rFonts w:ascii="C39T30Lfz" w:eastAsiaTheme="minorEastAsia" w:hAnsi="C39T30Lfz"/>
              <w:spacing w:val="0"/>
              <w:w w:val="100"/>
              <w:kern w:val="0"/>
              <w:lang w:val="en-US" w:eastAsia="zh-CN"/>
            </w:rPr>
          </w:pPr>
          <w:r w:rsidRPr="001C3ABC">
            <w:rPr>
              <w:lang w:val="en-US"/>
            </w:rPr>
            <w:t>GE.16-</w:t>
          </w:r>
          <w:r w:rsidR="0001738C">
            <w:rPr>
              <w:rFonts w:eastAsiaTheme="minorEastAsia" w:hint="eastAsia"/>
              <w:lang w:val="en-US" w:eastAsia="zh-CN"/>
            </w:rPr>
            <w:t>11609</w:t>
          </w:r>
          <w:r w:rsidRPr="001C3ABC">
            <w:rPr>
              <w:lang w:val="en-US"/>
            </w:rPr>
            <w:t xml:space="preserve"> (R)</w:t>
          </w:r>
          <w:r w:rsidR="0001738C">
            <w:rPr>
              <w:rFonts w:eastAsiaTheme="minorEastAsia" w:hint="eastAsia"/>
              <w:lang w:val="en-US" w:eastAsia="zh-CN"/>
            </w:rPr>
            <w:t xml:space="preserve">  210716   210716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B3568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RF/2016/3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3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1738C" w:rsidRDefault="0001738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173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173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173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173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173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173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173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173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0173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4B" w:rsidRPr="009141DC" w:rsidRDefault="00255A4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55A4B" w:rsidRPr="00D1261C" w:rsidRDefault="00255A4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1738C" w:rsidRPr="00C31ACE" w:rsidRDefault="0001738C" w:rsidP="0001738C">
      <w:pPr>
        <w:pStyle w:val="Notedebasdepage"/>
        <w:rPr>
          <w:lang w:val="ru-RU"/>
        </w:rPr>
      </w:pPr>
      <w:r>
        <w:tab/>
      </w:r>
      <w:r w:rsidRPr="00C31ACE">
        <w:rPr>
          <w:rStyle w:val="Appelnotedebasdep"/>
          <w:sz w:val="20"/>
          <w:vertAlign w:val="baseline"/>
          <w:lang w:val="ru-RU"/>
        </w:rPr>
        <w:t>*</w:t>
      </w:r>
      <w:r w:rsidRPr="00C31ACE">
        <w:rPr>
          <w:lang w:val="ru-RU"/>
        </w:rPr>
        <w:t xml:space="preserve"> </w:t>
      </w:r>
      <w:r w:rsidRPr="00C31ACE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4A1B7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CB3568" w:rsidRPr="00CB3568">
      <w:rPr>
        <w:lang w:val="en-US"/>
      </w:rPr>
      <w:t>TRANS/WP.29/GRRF/2016/34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C"/>
    <w:rsid w:val="0001738C"/>
    <w:rsid w:val="000450D1"/>
    <w:rsid w:val="000B1FD5"/>
    <w:rsid w:val="000F2A4F"/>
    <w:rsid w:val="00203F84"/>
    <w:rsid w:val="00255A4B"/>
    <w:rsid w:val="00275188"/>
    <w:rsid w:val="0028687D"/>
    <w:rsid w:val="002B091C"/>
    <w:rsid w:val="002B3D40"/>
    <w:rsid w:val="002D0CCB"/>
    <w:rsid w:val="002D5069"/>
    <w:rsid w:val="00345C79"/>
    <w:rsid w:val="00366A39"/>
    <w:rsid w:val="0048005C"/>
    <w:rsid w:val="004847E3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B3568"/>
    <w:rsid w:val="00D1261C"/>
    <w:rsid w:val="00D26030"/>
    <w:rsid w:val="00D75DCE"/>
    <w:rsid w:val="00DD35AC"/>
    <w:rsid w:val="00DD479F"/>
    <w:rsid w:val="00E142A3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82724-A7A8-48A5-B49D-B8A61540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7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38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62D1-1BC1-42B8-B45F-3DBDFF17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Bénédicte Boudol</cp:lastModifiedBy>
  <cp:revision>2</cp:revision>
  <cp:lastPrinted>2016-07-21T17:01:00Z</cp:lastPrinted>
  <dcterms:created xsi:type="dcterms:W3CDTF">2016-08-08T07:44:00Z</dcterms:created>
  <dcterms:modified xsi:type="dcterms:W3CDTF">2016-08-08T07:44:00Z</dcterms:modified>
</cp:coreProperties>
</file>