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7B199D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r w:rsidR="00D470E6">
              <w:fldChar w:fldCharType="begin"/>
            </w:r>
            <w:r w:rsidR="00D470E6">
              <w:instrText xml:space="preserve"> FILLIN  "Введите символ после ЕCE/"  \* MERGEFORMAT </w:instrText>
            </w:r>
            <w:r w:rsidR="00D470E6">
              <w:fldChar w:fldCharType="separate"/>
            </w:r>
            <w:r w:rsidR="00A50C97">
              <w:t>TRANS/WP.29/GRSG/2016/18</w:t>
            </w:r>
            <w:r w:rsidR="00D470E6">
              <w:fldChar w:fldCharType="end"/>
            </w:r>
            <w:r w:rsidRPr="00245892">
              <w:t xml:space="preserve">                  </w:t>
            </w:r>
          </w:p>
        </w:tc>
      </w:tr>
      <w:tr w:rsidR="00A658DB" w:rsidRPr="00245892" w:rsidTr="007B199D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7B199D">
            <w:pPr>
              <w:spacing w:before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7B199D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7B199D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D470E6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658DB" w:rsidP="007B199D">
            <w:fldSimple w:instr=" FILLIN  &quot;Введите дату документа&quot; \* MERGEFORMAT ">
              <w:r w:rsidR="00A50C97">
                <w:t>22 July 2016</w:t>
              </w:r>
            </w:fldSimple>
          </w:p>
          <w:p w:rsidR="00A658DB" w:rsidRPr="00245892" w:rsidRDefault="00A658DB" w:rsidP="007B199D">
            <w:r w:rsidRPr="00245892">
              <w:t>Russian</w:t>
            </w:r>
          </w:p>
          <w:p w:rsidR="00A658DB" w:rsidRPr="00245892" w:rsidRDefault="00A658DB" w:rsidP="007B199D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D470E6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7B199D"/>
        </w:tc>
      </w:tr>
    </w:tbl>
    <w:p w:rsidR="00A658DB" w:rsidRDefault="00A658DB" w:rsidP="00A658DB">
      <w:pPr>
        <w:spacing w:before="120"/>
        <w:rPr>
          <w:b/>
          <w:sz w:val="28"/>
          <w:szCs w:val="28"/>
          <w:lang w:val="en-US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A50C97" w:rsidRPr="00D51292" w:rsidRDefault="00A50C97" w:rsidP="00D51292">
      <w:pPr>
        <w:spacing w:before="120" w:after="120"/>
        <w:rPr>
          <w:sz w:val="28"/>
          <w:szCs w:val="28"/>
        </w:rPr>
      </w:pPr>
      <w:r w:rsidRPr="00D51292">
        <w:rPr>
          <w:sz w:val="28"/>
          <w:szCs w:val="28"/>
        </w:rPr>
        <w:t>Комитет по внутреннему транспорту</w:t>
      </w:r>
    </w:p>
    <w:p w:rsidR="00A50C97" w:rsidRPr="00D51292" w:rsidRDefault="00A50C97" w:rsidP="00D51292">
      <w:pPr>
        <w:spacing w:before="120" w:after="120"/>
        <w:rPr>
          <w:b/>
          <w:sz w:val="24"/>
          <w:szCs w:val="24"/>
        </w:rPr>
      </w:pPr>
      <w:r w:rsidRPr="00D51292">
        <w:rPr>
          <w:b/>
          <w:sz w:val="24"/>
          <w:szCs w:val="24"/>
        </w:rPr>
        <w:t xml:space="preserve">Всемирный форум для согласования правил </w:t>
      </w:r>
      <w:r w:rsidR="00D51292" w:rsidRPr="00D51292">
        <w:rPr>
          <w:b/>
          <w:sz w:val="24"/>
          <w:szCs w:val="24"/>
        </w:rPr>
        <w:br/>
      </w:r>
      <w:r w:rsidRPr="00D51292">
        <w:rPr>
          <w:b/>
          <w:sz w:val="24"/>
          <w:szCs w:val="24"/>
        </w:rPr>
        <w:t>в области транспортных средств</w:t>
      </w:r>
    </w:p>
    <w:p w:rsidR="00A50C97" w:rsidRPr="00D51292" w:rsidRDefault="00A50C97" w:rsidP="00D51292">
      <w:pPr>
        <w:spacing w:before="120" w:after="120"/>
        <w:rPr>
          <w:b/>
        </w:rPr>
      </w:pPr>
      <w:r w:rsidRPr="00D51292">
        <w:rPr>
          <w:b/>
        </w:rPr>
        <w:t xml:space="preserve">Рабочая группа по общим предписаниям, </w:t>
      </w:r>
      <w:r w:rsidR="00D51292" w:rsidRPr="00D51292">
        <w:rPr>
          <w:b/>
        </w:rPr>
        <w:br/>
      </w:r>
      <w:r w:rsidRPr="00D51292">
        <w:rPr>
          <w:b/>
        </w:rPr>
        <w:t>касающимся безопасности</w:t>
      </w:r>
    </w:p>
    <w:p w:rsidR="00A50C97" w:rsidRPr="00D51292" w:rsidRDefault="00A50C97" w:rsidP="00A50C97">
      <w:pPr>
        <w:rPr>
          <w:b/>
        </w:rPr>
      </w:pPr>
      <w:r w:rsidRPr="00D51292">
        <w:rPr>
          <w:b/>
        </w:rPr>
        <w:t>111-я сессия</w:t>
      </w:r>
    </w:p>
    <w:p w:rsidR="00A50C97" w:rsidRPr="00A50C97" w:rsidRDefault="00A50C97" w:rsidP="00A50C97">
      <w:r w:rsidRPr="00A50C97">
        <w:t>Женева, 11−14 октября 2016 года</w:t>
      </w:r>
    </w:p>
    <w:p w:rsidR="00A50C97" w:rsidRPr="00A50C97" w:rsidRDefault="00A50C97" w:rsidP="00A50C97">
      <w:r w:rsidRPr="00A50C97">
        <w:t>Пункт 8 предварительной повестки дня</w:t>
      </w:r>
    </w:p>
    <w:p w:rsidR="00A50C97" w:rsidRPr="00D51292" w:rsidRDefault="00A50C97" w:rsidP="00A50C97">
      <w:pPr>
        <w:rPr>
          <w:b/>
        </w:rPr>
      </w:pPr>
      <w:r w:rsidRPr="00D51292">
        <w:rPr>
          <w:b/>
        </w:rPr>
        <w:t>Правила № 73 (боковые защитные устройства)</w:t>
      </w:r>
    </w:p>
    <w:p w:rsidR="00A50C97" w:rsidRPr="00A50C97" w:rsidRDefault="00D51292" w:rsidP="00D51292">
      <w:pPr>
        <w:pStyle w:val="HChGR"/>
      </w:pPr>
      <w:r>
        <w:rPr>
          <w:lang w:val="en-US"/>
        </w:rPr>
        <w:tab/>
      </w:r>
      <w:r>
        <w:rPr>
          <w:lang w:val="en-US"/>
        </w:rPr>
        <w:tab/>
      </w:r>
      <w:r w:rsidR="00A50C97" w:rsidRPr="00A50C97">
        <w:t>Предложение по поправкам к Правилам № 73 (боковые защитные устройства)</w:t>
      </w:r>
    </w:p>
    <w:p w:rsidR="00A50C97" w:rsidRPr="00A50C97" w:rsidRDefault="00D51292" w:rsidP="00D51292">
      <w:pPr>
        <w:pStyle w:val="H1GR"/>
        <w:rPr>
          <w:vertAlign w:val="superscript"/>
        </w:rPr>
      </w:pPr>
      <w:r>
        <w:rPr>
          <w:lang w:val="en-US"/>
        </w:rPr>
        <w:tab/>
      </w:r>
      <w:r>
        <w:rPr>
          <w:lang w:val="en-US"/>
        </w:rPr>
        <w:tab/>
      </w:r>
      <w:r w:rsidR="00A50C97" w:rsidRPr="00A50C97">
        <w:t>Представлено экспертом от Международной ассоциации изготовителей автомобильных кузовов и прицепов</w:t>
      </w:r>
      <w:r w:rsidRPr="00D51292">
        <w:rPr>
          <w:rStyle w:val="FootnoteReference"/>
          <w:b w:val="0"/>
          <w:sz w:val="20"/>
          <w:vertAlign w:val="baseline"/>
          <w:lang w:eastAsia="en-US"/>
        </w:rPr>
        <w:footnoteReference w:customMarkFollows="1" w:id="1"/>
        <w:t>*</w:t>
      </w:r>
    </w:p>
    <w:p w:rsidR="00A50C97" w:rsidRPr="00A50C97" w:rsidRDefault="00D51292" w:rsidP="00A50C97">
      <w:pPr>
        <w:pStyle w:val="SingleTxtGR"/>
      </w:pPr>
      <w:r>
        <w:rPr>
          <w:lang w:val="en-US"/>
        </w:rPr>
        <w:tab/>
      </w:r>
      <w:r w:rsidR="00A50C97" w:rsidRPr="00A50C97">
        <w:t xml:space="preserve">Воспроизведенный ниже текст был подготовлен экспертом от Международной ассоциации изготовителей автомобильных кузовов и прицепов (МАИАКП) с целью обеспечить установку боковых защитных </w:t>
      </w:r>
      <w:r w:rsidRPr="00D51292">
        <w:br/>
      </w:r>
      <w:r w:rsidR="00A50C97" w:rsidRPr="00A50C97">
        <w:t xml:space="preserve">устройств на как можно большее количество транспортных средств. В его основу положен документ ECE/TRANS/WP.29/GRSG/2016/2 и неофициальный </w:t>
      </w:r>
      <w:r w:rsidRPr="00D51292">
        <w:br/>
      </w:r>
      <w:r w:rsidR="00A50C97" w:rsidRPr="00A50C97">
        <w:t>документ GRSG-110-20-Rev.1, распространенные в ходе 110-й сессии Рабочей группы по общим предписаниям, касающимся безопасности (GRSG) (см. доклад ECE/TRANS/WP.29/GRSG/89, пункты 27 и 28). Изменения к нынешнему тексту Правил выделены жирным шрифтом в случае новых положений и зачеркиванием в случае исключенных элементов.</w:t>
      </w:r>
    </w:p>
    <w:p w:rsidR="00A50C97" w:rsidRPr="00A50C97" w:rsidRDefault="00A50C97" w:rsidP="00A50C97">
      <w:pPr>
        <w:pStyle w:val="SingleTxtGR"/>
      </w:pPr>
      <w:r w:rsidRPr="00A50C97">
        <w:rPr>
          <w:b/>
        </w:rPr>
        <w:br w:type="page"/>
      </w:r>
    </w:p>
    <w:p w:rsidR="00A50C97" w:rsidRPr="00A50C97" w:rsidRDefault="00C7112B" w:rsidP="00C7112B">
      <w:pPr>
        <w:pStyle w:val="HChGR"/>
      </w:pPr>
      <w:r>
        <w:rPr>
          <w:lang w:val="en-GB"/>
        </w:rPr>
        <w:lastRenderedPageBreak/>
        <w:tab/>
      </w:r>
      <w:r w:rsidR="00A50C97" w:rsidRPr="00A50C97">
        <w:rPr>
          <w:lang w:val="en-GB"/>
        </w:rPr>
        <w:t>I</w:t>
      </w:r>
      <w:r w:rsidR="00A50C97" w:rsidRPr="00A50C97">
        <w:t>.</w:t>
      </w:r>
      <w:r w:rsidR="00A50C97" w:rsidRPr="00A50C97">
        <w:tab/>
        <w:t>Предложение</w:t>
      </w:r>
    </w:p>
    <w:p w:rsidR="00A50C97" w:rsidRPr="00A50C97" w:rsidRDefault="00A50C97" w:rsidP="00A50C97">
      <w:pPr>
        <w:pStyle w:val="SingleTxtGR"/>
      </w:pPr>
      <w:r w:rsidRPr="00A50C97">
        <w:rPr>
          <w:i/>
          <w:iCs/>
        </w:rPr>
        <w:t xml:space="preserve">Пункт 1.2 </w:t>
      </w:r>
      <w:r w:rsidRPr="00A50C97">
        <w:t>изменить следующим образом (исключить пункт 1.2.2):</w:t>
      </w:r>
    </w:p>
    <w:p w:rsidR="00A50C97" w:rsidRPr="00A50C97" w:rsidRDefault="00C7112B" w:rsidP="00C7112B">
      <w:pPr>
        <w:pStyle w:val="SingleTxtGR"/>
        <w:tabs>
          <w:tab w:val="clear" w:pos="1701"/>
        </w:tabs>
        <w:ind w:left="2268" w:hanging="1134"/>
      </w:pPr>
      <w:r>
        <w:t>"</w:t>
      </w:r>
      <w:r w:rsidR="00A50C97" w:rsidRPr="00A50C97">
        <w:t>1.2</w:t>
      </w:r>
      <w:r w:rsidR="00A50C97" w:rsidRPr="00A50C97">
        <w:tab/>
        <w:t>Настоящие Правила не применяются:</w:t>
      </w:r>
    </w:p>
    <w:p w:rsidR="00A50C97" w:rsidRPr="00A50C97" w:rsidRDefault="00A50C97" w:rsidP="00C7112B">
      <w:pPr>
        <w:pStyle w:val="SingleTxtGR"/>
        <w:tabs>
          <w:tab w:val="clear" w:pos="1701"/>
        </w:tabs>
        <w:ind w:left="2268" w:hanging="1134"/>
      </w:pPr>
      <w:r w:rsidRPr="00A50C97">
        <w:t>1.2.1</w:t>
      </w:r>
      <w:r w:rsidRPr="00A50C97">
        <w:tab/>
        <w:t>к тягачам полуприцепов.</w:t>
      </w:r>
    </w:p>
    <w:p w:rsidR="00A50C97" w:rsidRPr="00A50C97" w:rsidRDefault="00A50C97" w:rsidP="00C7112B">
      <w:pPr>
        <w:pStyle w:val="SingleTxtGR"/>
        <w:tabs>
          <w:tab w:val="clear" w:pos="1701"/>
        </w:tabs>
        <w:ind w:left="2268" w:hanging="1134"/>
      </w:pPr>
      <w:r w:rsidRPr="00C7112B">
        <w:rPr>
          <w:strike/>
        </w:rPr>
        <w:t>1.2.2</w:t>
      </w:r>
      <w:r w:rsidRPr="00A50C97">
        <w:tab/>
      </w:r>
      <w:r w:rsidRPr="00C7112B">
        <w:rPr>
          <w:strike/>
        </w:rPr>
        <w:t>к транспортным средствам, специально сконструированным и предназначенным для конкретных целей, когда по причинам практического характера их невозможно оборудовать боковыми защитными устройствами</w:t>
      </w:r>
      <w:r w:rsidR="00C7112B">
        <w:t>"</w:t>
      </w:r>
      <w:r w:rsidRPr="00A50C97">
        <w:t>.</w:t>
      </w:r>
    </w:p>
    <w:p w:rsidR="00A50C97" w:rsidRPr="00A50C97" w:rsidRDefault="00A50C97" w:rsidP="00A50C97">
      <w:pPr>
        <w:pStyle w:val="SingleTxtGR"/>
      </w:pPr>
      <w:r w:rsidRPr="00A50C97">
        <w:rPr>
          <w:i/>
          <w:iCs/>
        </w:rPr>
        <w:t xml:space="preserve">Включить новый пункт 13.3 </w:t>
      </w:r>
      <w:r w:rsidRPr="00A50C97">
        <w:t>следующего содержания:</w:t>
      </w:r>
    </w:p>
    <w:p w:rsidR="00A50C97" w:rsidRPr="00A50C97" w:rsidRDefault="00C7112B" w:rsidP="00C7112B">
      <w:pPr>
        <w:pStyle w:val="SingleTxtGR"/>
        <w:tabs>
          <w:tab w:val="clear" w:pos="1701"/>
        </w:tabs>
        <w:ind w:left="2268" w:hanging="1134"/>
      </w:pPr>
      <w:r>
        <w:t>"</w:t>
      </w:r>
      <w:r w:rsidR="00A50C97" w:rsidRPr="00A50C97">
        <w:rPr>
          <w:b/>
          <w:bCs/>
        </w:rPr>
        <w:t>13.3</w:t>
      </w:r>
      <w:r w:rsidR="00A50C97" w:rsidRPr="00A50C97">
        <w:rPr>
          <w:b/>
          <w:bCs/>
        </w:rPr>
        <w:tab/>
        <w:t>По решению органа по официальному утверждению типа транспортные средства, у которых установка какого-либо БЗУ (например, фиксированного, съемного, складного, регулируемого и т.д.) несовместима с их использованием в дорожных условиях, могут быть частично или полностью освобождены от действия настоящих Правил</w:t>
      </w:r>
      <w:r>
        <w:t>"</w:t>
      </w:r>
      <w:r w:rsidR="00A50C97" w:rsidRPr="00A50C97">
        <w:t>.</w:t>
      </w:r>
    </w:p>
    <w:p w:rsidR="00A50C97" w:rsidRPr="00A50C97" w:rsidRDefault="00A50C97" w:rsidP="00A50C97">
      <w:pPr>
        <w:pStyle w:val="SingleTxtGR"/>
      </w:pPr>
      <w:r w:rsidRPr="00A50C97">
        <w:rPr>
          <w:i/>
          <w:iCs/>
        </w:rPr>
        <w:t xml:space="preserve">Включить новый пункт 16.2 </w:t>
      </w:r>
      <w:r w:rsidRPr="00A50C97">
        <w:t>следующего содержания:</w:t>
      </w:r>
    </w:p>
    <w:p w:rsidR="00A50C97" w:rsidRPr="00A50C97" w:rsidRDefault="00C7112B" w:rsidP="00C7112B">
      <w:pPr>
        <w:pStyle w:val="SingleTxtGR"/>
        <w:tabs>
          <w:tab w:val="clear" w:pos="1701"/>
        </w:tabs>
        <w:ind w:left="2268" w:hanging="1134"/>
      </w:pPr>
      <w:r>
        <w:t>"</w:t>
      </w:r>
      <w:r w:rsidR="00A50C97" w:rsidRPr="00A50C97">
        <w:rPr>
          <w:b/>
          <w:bCs/>
        </w:rPr>
        <w:t>16.2</w:t>
      </w:r>
      <w:r w:rsidR="00A50C97" w:rsidRPr="00A50C97">
        <w:rPr>
          <w:b/>
          <w:bCs/>
        </w:rPr>
        <w:tab/>
        <w:t>По решению органа по официальному утверждению типа транспортные средства, у которых установка какого-либо БЗУ (например, фиксированного, съемного, складного, регулируемого и т.д.) несовместима с их использованием в дорожных условиях, могут быть частично или полностью освобождены от действия настоящих Правил</w:t>
      </w:r>
      <w:r>
        <w:t>"</w:t>
      </w:r>
      <w:r w:rsidR="00A50C97" w:rsidRPr="00A50C97">
        <w:t>.</w:t>
      </w:r>
    </w:p>
    <w:p w:rsidR="00A50C97" w:rsidRPr="00A50C97" w:rsidRDefault="00A50C97" w:rsidP="00C7112B">
      <w:pPr>
        <w:pStyle w:val="HChGR"/>
      </w:pPr>
      <w:r w:rsidRPr="00A50C97">
        <w:tab/>
        <w:t>II.</w:t>
      </w:r>
      <w:r w:rsidRPr="00A50C97">
        <w:tab/>
        <w:t>Обоснование</w:t>
      </w:r>
    </w:p>
    <w:p w:rsidR="00A50C97" w:rsidRPr="00A50C97" w:rsidRDefault="00A50C97" w:rsidP="00A50C97">
      <w:pPr>
        <w:pStyle w:val="SingleTxtGR"/>
      </w:pPr>
      <w:r w:rsidRPr="00A50C97">
        <w:t>1.</w:t>
      </w:r>
      <w:r w:rsidRPr="00A50C97">
        <w:tab/>
        <w:t>МАИАКП поддерживает в принципе документ ECE/TRANS/WP.29/</w:t>
      </w:r>
      <w:r w:rsidR="00C7112B" w:rsidRPr="00C7112B">
        <w:br/>
      </w:r>
      <w:r w:rsidRPr="00A50C97">
        <w:t>GRSG/2016/2, представленный Соединенным Королевством Великобритании и Северной Ирландии.</w:t>
      </w:r>
    </w:p>
    <w:p w:rsidR="00A50C97" w:rsidRPr="00A50C97" w:rsidRDefault="00A50C97" w:rsidP="00A50C97">
      <w:pPr>
        <w:pStyle w:val="SingleTxtGR"/>
      </w:pPr>
      <w:r w:rsidRPr="00A50C97">
        <w:t>2.</w:t>
      </w:r>
      <w:r w:rsidRPr="00A50C97">
        <w:tab/>
        <w:t xml:space="preserve">Исключение пункта 1.2.2 без добавления новых пунктов 13.3 и 16.2 создаст трудности для органов по официальному утверждению типа (ООУТ) в процессе сертификации и омологации нишевых изделий. </w:t>
      </w:r>
    </w:p>
    <w:p w:rsidR="00A50C97" w:rsidRPr="00A50C97" w:rsidRDefault="00A50C97" w:rsidP="00A50C97">
      <w:pPr>
        <w:pStyle w:val="SingleTxtGR"/>
      </w:pPr>
      <w:r w:rsidRPr="00A50C97">
        <w:t>3.</w:t>
      </w:r>
      <w:r w:rsidRPr="00A50C97">
        <w:tab/>
        <w:t>Представители соответствующей отрасли не смогут подготовить исчерпывающий перечень отступлений, упомянутых в пункте 13 Правил №</w:t>
      </w:r>
      <w:r w:rsidRPr="00A50C97">
        <w:rPr>
          <w:lang w:val="en-US"/>
        </w:rPr>
        <w:t> </w:t>
      </w:r>
      <w:r w:rsidRPr="00A50C97">
        <w:t>73 ООН. Значительное число членов МАИАКП специализируются на производстве нишевых изделий и должны предлагать решения для заказчиков на внутреннем и международном рынке. Представители отрасли готовы в максимально возможной степени выполнять требования Правил № 73 ООН, однако это не всегда осуществимо. По этой причине у ООУТ должна быть возможность сертификации нишевых изделий в случаях, если указанные требования не могут быть выполнены в полном объеме.</w:t>
      </w:r>
    </w:p>
    <w:p w:rsidR="00A50C97" w:rsidRPr="00A50C97" w:rsidRDefault="00A50C97" w:rsidP="00A50C97">
      <w:pPr>
        <w:pStyle w:val="SingleTxtGR"/>
      </w:pPr>
      <w:r w:rsidRPr="00A50C97">
        <w:t>4.</w:t>
      </w:r>
      <w:r w:rsidRPr="00A50C97">
        <w:tab/>
        <w:t xml:space="preserve">МАИАКП предлагает добавить пункты 13.3 и 16.2, сформулированные по аналогии с пунктом 1.3 документа ECE/TRANS/WP.29/GRSG/2015/17 с поправками к Правилам № 58 ООН (ЗПЗУ), принятого в ходе 108-й сессии GRSG. </w:t>
      </w:r>
    </w:p>
    <w:p w:rsidR="00A50C97" w:rsidRPr="00A50C97" w:rsidRDefault="00A50C97" w:rsidP="00A50C97">
      <w:pPr>
        <w:pStyle w:val="SingleTxtGR"/>
      </w:pPr>
      <w:r w:rsidRPr="00A50C97">
        <w:t>5.</w:t>
      </w:r>
      <w:r w:rsidRPr="00A50C97">
        <w:tab/>
        <w:t>Ниже см. некоторые образцы из неисчерпывающего перечня нишевых изделий.</w:t>
      </w:r>
    </w:p>
    <w:p w:rsidR="00A50C97" w:rsidRPr="00C7112B" w:rsidRDefault="00C7112B" w:rsidP="00C7112B">
      <w:pPr>
        <w:pStyle w:val="H23GR"/>
        <w:rPr>
          <w:b w:val="0"/>
          <w:lang w:val="en-GB"/>
        </w:rPr>
      </w:pPr>
      <w:r w:rsidRPr="00C7112B">
        <w:rPr>
          <w:b w:val="0"/>
          <w:lang w:val="en-US"/>
        </w:rPr>
        <w:lastRenderedPageBreak/>
        <w:tab/>
      </w:r>
      <w:r w:rsidRPr="00C7112B">
        <w:rPr>
          <w:b w:val="0"/>
          <w:lang w:val="en-US"/>
        </w:rPr>
        <w:tab/>
      </w:r>
      <w:r w:rsidR="00A50C97" w:rsidRPr="00C7112B">
        <w:rPr>
          <w:b w:val="0"/>
        </w:rPr>
        <w:t>Рис. 1</w:t>
      </w:r>
    </w:p>
    <w:p w:rsidR="00A50C97" w:rsidRPr="00A50C97" w:rsidRDefault="00A50C97" w:rsidP="00A50C97">
      <w:pPr>
        <w:pStyle w:val="SingleTxtGR"/>
        <w:rPr>
          <w:lang w:val="en-GB"/>
        </w:rPr>
      </w:pPr>
      <w:r w:rsidRPr="00A50C97">
        <w:rPr>
          <w:noProof/>
          <w:lang w:val="en-US"/>
        </w:rPr>
        <w:drawing>
          <wp:inline distT="0" distB="0" distL="0" distR="0" wp14:anchorId="24AFBCDE" wp14:editId="04ED46AD">
            <wp:extent cx="4788667" cy="182236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30" cy="182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97" w:rsidRPr="00C7112B" w:rsidRDefault="00C7112B" w:rsidP="00C7112B">
      <w:pPr>
        <w:pStyle w:val="H23GR"/>
        <w:rPr>
          <w:b w:val="0"/>
          <w:lang w:val="en-GB"/>
        </w:rPr>
      </w:pPr>
      <w:r w:rsidRPr="00C7112B">
        <w:rPr>
          <w:b w:val="0"/>
          <w:lang w:val="en-US"/>
        </w:rPr>
        <w:tab/>
      </w:r>
      <w:r w:rsidRPr="00C7112B">
        <w:rPr>
          <w:b w:val="0"/>
          <w:lang w:val="en-US"/>
        </w:rPr>
        <w:tab/>
      </w:r>
      <w:r w:rsidR="00A50C97" w:rsidRPr="00C7112B">
        <w:rPr>
          <w:b w:val="0"/>
        </w:rPr>
        <w:t>Рис. 2</w:t>
      </w:r>
    </w:p>
    <w:p w:rsidR="00A50C97" w:rsidRPr="00A50C97" w:rsidRDefault="00A50C97" w:rsidP="00A50C97">
      <w:pPr>
        <w:pStyle w:val="SingleTxtGR"/>
        <w:rPr>
          <w:lang w:val="en-GB"/>
        </w:rPr>
      </w:pPr>
      <w:r w:rsidRPr="00A50C97">
        <w:rPr>
          <w:noProof/>
          <w:lang w:val="en-US"/>
        </w:rPr>
        <w:drawing>
          <wp:inline distT="0" distB="0" distL="0" distR="0" wp14:anchorId="1DBD0CE7" wp14:editId="78A4BA47">
            <wp:extent cx="4790941" cy="24066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709" cy="244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97" w:rsidRPr="00C7112B" w:rsidRDefault="00C7112B" w:rsidP="00C7112B">
      <w:pPr>
        <w:pStyle w:val="H23GR"/>
        <w:rPr>
          <w:b w:val="0"/>
          <w:lang w:val="en-GB"/>
        </w:rPr>
      </w:pPr>
      <w:r w:rsidRPr="00C7112B">
        <w:rPr>
          <w:b w:val="0"/>
          <w:lang w:val="en-US"/>
        </w:rPr>
        <w:tab/>
      </w:r>
      <w:r w:rsidRPr="00C7112B">
        <w:rPr>
          <w:b w:val="0"/>
          <w:lang w:val="en-US"/>
        </w:rPr>
        <w:tab/>
      </w:r>
      <w:r w:rsidR="00A50C97" w:rsidRPr="00C7112B">
        <w:rPr>
          <w:b w:val="0"/>
        </w:rPr>
        <w:t>Рис. 3</w:t>
      </w:r>
    </w:p>
    <w:p w:rsidR="00A50C97" w:rsidRPr="00A50C97" w:rsidRDefault="00A50C97" w:rsidP="00A50C97">
      <w:pPr>
        <w:pStyle w:val="SingleTxtGR"/>
        <w:rPr>
          <w:lang w:val="en-GB"/>
        </w:rPr>
      </w:pPr>
      <w:r w:rsidRPr="00A50C97">
        <w:rPr>
          <w:noProof/>
          <w:lang w:val="en-US"/>
        </w:rPr>
        <w:drawing>
          <wp:inline distT="0" distB="0" distL="0" distR="0" wp14:anchorId="628B371E" wp14:editId="11CE675F">
            <wp:extent cx="4790941" cy="25916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71" cy="259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97" w:rsidRPr="00C7112B" w:rsidRDefault="00C7112B" w:rsidP="00C7112B">
      <w:pPr>
        <w:pStyle w:val="H23GR"/>
        <w:rPr>
          <w:b w:val="0"/>
          <w:lang w:val="en-GB"/>
        </w:rPr>
      </w:pPr>
      <w:r w:rsidRPr="00C7112B">
        <w:rPr>
          <w:b w:val="0"/>
          <w:lang w:val="en-US"/>
        </w:rPr>
        <w:lastRenderedPageBreak/>
        <w:tab/>
      </w:r>
      <w:r w:rsidRPr="00C7112B">
        <w:rPr>
          <w:b w:val="0"/>
          <w:lang w:val="en-US"/>
        </w:rPr>
        <w:tab/>
      </w:r>
      <w:r w:rsidR="00A50C97" w:rsidRPr="00C7112B">
        <w:rPr>
          <w:b w:val="0"/>
        </w:rPr>
        <w:t>Рис. 4</w:t>
      </w:r>
    </w:p>
    <w:p w:rsidR="00A50C97" w:rsidRPr="00A50C97" w:rsidRDefault="00A50C97" w:rsidP="00A50C97">
      <w:pPr>
        <w:pStyle w:val="SingleTxtGR"/>
        <w:rPr>
          <w:lang w:val="en-GB"/>
        </w:rPr>
      </w:pPr>
      <w:r w:rsidRPr="00A50C97">
        <w:rPr>
          <w:noProof/>
          <w:lang w:val="en-US"/>
        </w:rPr>
        <w:drawing>
          <wp:inline distT="0" distB="0" distL="0" distR="0" wp14:anchorId="36606973" wp14:editId="2BBA34A0">
            <wp:extent cx="4803820" cy="2372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564" cy="23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97" w:rsidRPr="00A50C97" w:rsidRDefault="00A50C97" w:rsidP="00A50C97">
      <w:pPr>
        <w:spacing w:before="240"/>
        <w:jc w:val="center"/>
        <w:rPr>
          <w:u w:val="single"/>
          <w:lang w:val="en-GB"/>
        </w:rPr>
      </w:pP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</w:p>
    <w:sectPr w:rsidR="00A50C97" w:rsidRPr="00A50C97" w:rsidSect="004D639B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C97" w:rsidRDefault="00A50C97" w:rsidP="00B471C5">
      <w:r>
        <w:separator/>
      </w:r>
    </w:p>
  </w:endnote>
  <w:endnote w:type="continuationSeparator" w:id="0">
    <w:p w:rsidR="00A50C97" w:rsidRDefault="00A50C97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5EE" w:rsidRPr="009A6F4A" w:rsidRDefault="007005EE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D470E6">
      <w:rPr>
        <w:b/>
        <w:noProof/>
        <w:sz w:val="18"/>
        <w:szCs w:val="18"/>
      </w:rPr>
      <w:t>2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GE.16-</w:t>
    </w:r>
    <w:r w:rsidR="00DA7320" w:rsidRPr="00DA7320">
      <w:rPr>
        <w:lang w:val="en-US"/>
      </w:rPr>
      <w:t>12723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5EE" w:rsidRPr="009A6F4A" w:rsidRDefault="007005EE" w:rsidP="007005EE">
    <w:pPr>
      <w:pStyle w:val="Footer"/>
      <w:rPr>
        <w:lang w:val="en-US"/>
      </w:rPr>
    </w:pPr>
    <w:r>
      <w:rPr>
        <w:lang w:val="en-US"/>
      </w:rPr>
      <w:t>GE.16-</w:t>
    </w:r>
    <w:r w:rsidR="00DA7320" w:rsidRPr="00DA7320">
      <w:rPr>
        <w:lang w:val="en-US"/>
      </w:rPr>
      <w:t>12723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D470E6">
      <w:rPr>
        <w:b/>
        <w:noProof/>
        <w:sz w:val="18"/>
        <w:szCs w:val="18"/>
      </w:rPr>
      <w:t>3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A9606E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9606E" w:rsidRPr="001C3ABC" w:rsidRDefault="00A9606E" w:rsidP="007B199D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GE.16-</w:t>
          </w:r>
          <w:r w:rsidR="00DA7320" w:rsidRPr="00DA7320">
            <w:rPr>
              <w:lang w:val="en-US"/>
            </w:rPr>
            <w:t>12723</w:t>
          </w:r>
          <w:r w:rsidRPr="001C3ABC">
            <w:rPr>
              <w:lang w:val="en-US"/>
            </w:rPr>
            <w:t xml:space="preserve"> (R)</w:t>
          </w:r>
          <w:r w:rsidR="00DA7320">
            <w:rPr>
              <w:lang w:val="en-US"/>
            </w:rPr>
            <w:t xml:space="preserve">   110816   120816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A9606E" w:rsidRDefault="00A9606E" w:rsidP="007B199D">
          <w:pPr>
            <w:jc w:val="right"/>
          </w:pPr>
          <w:r>
            <w:rPr>
              <w:b/>
              <w:noProof/>
              <w:lang w:val="en-US"/>
            </w:rPr>
            <w:drawing>
              <wp:inline distT="0" distB="0" distL="0" distR="0" wp14:anchorId="59A7DEBE" wp14:editId="18191051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A9606E" w:rsidRDefault="00DA7320" w:rsidP="007B199D">
          <w:pPr>
            <w:jc w:val="right"/>
          </w:pPr>
          <w:r>
            <w:rPr>
              <w:noProof/>
              <w:lang w:val="en-US"/>
            </w:rPr>
            <w:drawing>
              <wp:inline distT="0" distB="0" distL="0" distR="0">
                <wp:extent cx="579755" cy="579755"/>
                <wp:effectExtent l="0" t="0" r="0" b="0"/>
                <wp:docPr id="3" name="Рисунок 3" descr="http://undocs.org/m2/QRCode.ashx?DS=ECE/TRANS/WP.29/GRSG/2016/18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WP.29/GRSG/2016/18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06E" w:rsidRPr="00797A78" w:rsidTr="007B199D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9606E" w:rsidRPr="00DA7320" w:rsidRDefault="00DA7320" w:rsidP="007B199D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</w:t>
          </w:r>
          <w:r w:rsidRPr="00DA7320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A9606E" w:rsidRDefault="00A9606E" w:rsidP="007B199D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A9606E" w:rsidRDefault="00A9606E" w:rsidP="007B199D"/>
      </w:tc>
    </w:tr>
  </w:tbl>
  <w:p w:rsidR="00A658DB" w:rsidRPr="007005EE" w:rsidRDefault="00A658DB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C97" w:rsidRPr="009141DC" w:rsidRDefault="00A50C97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A50C97" w:rsidRPr="00D1261C" w:rsidRDefault="00A50C97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D51292" w:rsidRPr="00D51292" w:rsidRDefault="00D51292">
      <w:pPr>
        <w:pStyle w:val="FootnoteText"/>
        <w:rPr>
          <w:lang w:val="ru-RU"/>
        </w:rPr>
      </w:pPr>
      <w:r>
        <w:tab/>
      </w:r>
      <w:r w:rsidRPr="00D51292">
        <w:rPr>
          <w:rStyle w:val="FootnoteReference"/>
          <w:vertAlign w:val="baseline"/>
          <w:lang w:val="ru-RU"/>
        </w:rPr>
        <w:t>*</w:t>
      </w:r>
      <w:r w:rsidRPr="00D51292">
        <w:rPr>
          <w:lang w:val="ru-RU"/>
        </w:rPr>
        <w:t xml:space="preserve"> </w:t>
      </w:r>
      <w:r w:rsidRPr="00D51292">
        <w:rPr>
          <w:lang w:val="ru-RU"/>
        </w:rPr>
        <w:tab/>
      </w:r>
      <w:r>
        <w:rPr>
          <w:lang w:val="ru-RU"/>
        </w:rPr>
        <w:t>В соответствии с программой работы Комитета по внутреннему транспорту на 2016</w:t>
      </w:r>
      <w:r w:rsidRPr="00D51292">
        <w:rPr>
          <w:lang w:val="ru-RU"/>
        </w:rPr>
        <w:t>−</w:t>
      </w:r>
      <w:r>
        <w:rPr>
          <w:lang w:val="ru-RU"/>
        </w:rPr>
        <w:t xml:space="preserve">2017 годы (ECE/TRANS/254, пункт 159, и </w:t>
      </w:r>
      <w:r w:rsidR="00401472" w:rsidRPr="00401472">
        <w:rPr>
          <w:lang w:val="ru-RU"/>
        </w:rPr>
        <w:t>ECE/TRANS/2016/28/Add.1</w:t>
      </w:r>
      <w:r w:rsidR="00401472">
        <w:rPr>
          <w:lang w:val="ru-RU"/>
        </w:rPr>
        <w:t xml:space="preserve">, </w:t>
      </w:r>
      <w:r>
        <w:rPr>
          <w:lang w:val="ru-RU"/>
        </w:rPr>
        <w:t>направление деятельности 3.1)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8DB" w:rsidRPr="007005EE" w:rsidRDefault="00DA7320">
    <w:pPr>
      <w:pStyle w:val="Header"/>
      <w:rPr>
        <w:lang w:val="en-US"/>
      </w:rPr>
    </w:pPr>
    <w:r w:rsidRPr="00DA7320">
      <w:rPr>
        <w:lang w:val="en-US"/>
      </w:rPr>
      <w:t>ECE/TRANS/WP.29/GRSG/2016/18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8DB" w:rsidRPr="004D639B" w:rsidRDefault="00DA7320" w:rsidP="007005EE">
    <w:pPr>
      <w:pStyle w:val="Header"/>
      <w:jc w:val="right"/>
      <w:rPr>
        <w:lang w:val="en-US"/>
      </w:rPr>
    </w:pPr>
    <w:r w:rsidRPr="00DA7320">
      <w:rPr>
        <w:lang w:val="en-US"/>
      </w:rPr>
      <w:t>ECE/TRANS/WP.29/GRSG/2016/18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A06E3"/>
    <w:multiLevelType w:val="hybridMultilevel"/>
    <w:tmpl w:val="1CCE7528"/>
    <w:lvl w:ilvl="0" w:tplc="EA7415E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07735"/>
    <w:multiLevelType w:val="hybridMultilevel"/>
    <w:tmpl w:val="C540E61A"/>
    <w:lvl w:ilvl="0" w:tplc="90EAF2D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7"/>
    <w:rsid w:val="000450D1"/>
    <w:rsid w:val="000B1FD5"/>
    <w:rsid w:val="000F2A4F"/>
    <w:rsid w:val="001202ED"/>
    <w:rsid w:val="00203F84"/>
    <w:rsid w:val="00275188"/>
    <w:rsid w:val="0028687D"/>
    <w:rsid w:val="002B091C"/>
    <w:rsid w:val="002B3D40"/>
    <w:rsid w:val="002D0CCB"/>
    <w:rsid w:val="002F6801"/>
    <w:rsid w:val="00345C79"/>
    <w:rsid w:val="00366A39"/>
    <w:rsid w:val="00401472"/>
    <w:rsid w:val="0048005C"/>
    <w:rsid w:val="004D639B"/>
    <w:rsid w:val="004E242B"/>
    <w:rsid w:val="00544379"/>
    <w:rsid w:val="00566944"/>
    <w:rsid w:val="005D56BF"/>
    <w:rsid w:val="0062027E"/>
    <w:rsid w:val="00643644"/>
    <w:rsid w:val="00665D8D"/>
    <w:rsid w:val="006A7A3B"/>
    <w:rsid w:val="006B6B57"/>
    <w:rsid w:val="006F49F1"/>
    <w:rsid w:val="007005EE"/>
    <w:rsid w:val="00705394"/>
    <w:rsid w:val="00743F62"/>
    <w:rsid w:val="00760D3A"/>
    <w:rsid w:val="00773BA8"/>
    <w:rsid w:val="007A1F42"/>
    <w:rsid w:val="007D76DD"/>
    <w:rsid w:val="008717E8"/>
    <w:rsid w:val="008D01AE"/>
    <w:rsid w:val="008E0423"/>
    <w:rsid w:val="009141DC"/>
    <w:rsid w:val="009174A1"/>
    <w:rsid w:val="0098674D"/>
    <w:rsid w:val="00997ACA"/>
    <w:rsid w:val="00A03FB7"/>
    <w:rsid w:val="00A50C97"/>
    <w:rsid w:val="00A55C56"/>
    <w:rsid w:val="00A658DB"/>
    <w:rsid w:val="00A75A11"/>
    <w:rsid w:val="00A9606E"/>
    <w:rsid w:val="00AD7EAD"/>
    <w:rsid w:val="00B35A32"/>
    <w:rsid w:val="00B432C6"/>
    <w:rsid w:val="00B471C5"/>
    <w:rsid w:val="00B6474A"/>
    <w:rsid w:val="00BE1742"/>
    <w:rsid w:val="00C7112B"/>
    <w:rsid w:val="00D1261C"/>
    <w:rsid w:val="00D26030"/>
    <w:rsid w:val="00D470E6"/>
    <w:rsid w:val="00D51292"/>
    <w:rsid w:val="00D75DCE"/>
    <w:rsid w:val="00DA7320"/>
    <w:rsid w:val="00DD35AC"/>
    <w:rsid w:val="00DD479F"/>
    <w:rsid w:val="00E15E48"/>
    <w:rsid w:val="00EB0723"/>
    <w:rsid w:val="00EB2957"/>
    <w:rsid w:val="00EE6F37"/>
    <w:rsid w:val="00F1599F"/>
    <w:rsid w:val="00F3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38F35EE-61AD-498A-947F-263BF785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7382D-CD9A-40AA-9DC7-23A1268D3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Maykov</dc:creator>
  <cp:lastModifiedBy>Caillot</cp:lastModifiedBy>
  <cp:revision>2</cp:revision>
  <dcterms:created xsi:type="dcterms:W3CDTF">2016-08-23T15:46:00Z</dcterms:created>
  <dcterms:modified xsi:type="dcterms:W3CDTF">2016-08-23T15:46:00Z</dcterms:modified>
</cp:coreProperties>
</file>