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21" w:rsidRPr="000B169D" w:rsidRDefault="00D91521" w:rsidP="000B169D">
      <w:pPr>
        <w:pStyle w:val="HChG"/>
        <w:spacing w:after="0"/>
        <w:ind w:right="0"/>
        <w:rPr>
          <w:bCs/>
          <w:szCs w:val="28"/>
        </w:rPr>
      </w:pPr>
      <w:r w:rsidRPr="000B169D">
        <w:rPr>
          <w:bCs/>
          <w:szCs w:val="28"/>
        </w:rPr>
        <w:t xml:space="preserve">Proposal for </w:t>
      </w:r>
      <w:r w:rsidR="00D23430" w:rsidRPr="000B169D">
        <w:rPr>
          <w:bCs/>
          <w:szCs w:val="28"/>
        </w:rPr>
        <w:t>draft</w:t>
      </w:r>
      <w:r w:rsidR="005E7FF5" w:rsidRPr="000B169D">
        <w:rPr>
          <w:bCs/>
          <w:szCs w:val="28"/>
        </w:rPr>
        <w:t xml:space="preserve"> corrigendum</w:t>
      </w:r>
      <w:r w:rsidR="00D23430" w:rsidRPr="000B169D">
        <w:rPr>
          <w:bCs/>
          <w:szCs w:val="28"/>
        </w:rPr>
        <w:t xml:space="preserve"> 2</w:t>
      </w:r>
      <w:r w:rsidR="005E7FF5" w:rsidRPr="000B169D">
        <w:rPr>
          <w:bCs/>
          <w:szCs w:val="28"/>
        </w:rPr>
        <w:t xml:space="preserve"> to</w:t>
      </w:r>
      <w:r w:rsidR="00972D5F" w:rsidRPr="000B169D">
        <w:rPr>
          <w:bCs/>
          <w:szCs w:val="28"/>
        </w:rPr>
        <w:t xml:space="preserve"> Global Technical Regulation 6</w:t>
      </w:r>
      <w:r w:rsidR="000B169D">
        <w:rPr>
          <w:bCs/>
          <w:szCs w:val="28"/>
        </w:rPr>
        <w:t xml:space="preserve"> - </w:t>
      </w:r>
    </w:p>
    <w:p w:rsidR="00972D5F" w:rsidRPr="000B169D" w:rsidRDefault="00972D5F" w:rsidP="000B169D">
      <w:pPr>
        <w:pStyle w:val="HChG"/>
        <w:spacing w:before="0" w:after="0"/>
        <w:ind w:right="0"/>
        <w:rPr>
          <w:bCs/>
          <w:szCs w:val="28"/>
        </w:rPr>
      </w:pPr>
      <w:r w:rsidRPr="000B169D">
        <w:rPr>
          <w:bCs/>
          <w:szCs w:val="28"/>
        </w:rPr>
        <w:t>Safety Glazing</w:t>
      </w:r>
      <w:r w:rsidR="00E42284" w:rsidRPr="000B169D">
        <w:rPr>
          <w:bCs/>
          <w:szCs w:val="28"/>
        </w:rPr>
        <w:t xml:space="preserve"> Materials</w:t>
      </w:r>
      <w:r w:rsidRPr="000B169D">
        <w:rPr>
          <w:bCs/>
          <w:szCs w:val="28"/>
        </w:rPr>
        <w:t xml:space="preserve"> for m</w:t>
      </w:r>
      <w:r w:rsidR="00E42284" w:rsidRPr="000B169D">
        <w:rPr>
          <w:bCs/>
          <w:szCs w:val="28"/>
        </w:rPr>
        <w:t>otor vehicles and motor vehicle</w:t>
      </w:r>
      <w:r w:rsidRPr="000B169D">
        <w:rPr>
          <w:bCs/>
          <w:szCs w:val="28"/>
        </w:rPr>
        <w:t xml:space="preserve"> equipment</w:t>
      </w:r>
    </w:p>
    <w:p w:rsidR="00972D5F" w:rsidRPr="00C241A3" w:rsidRDefault="00F21F0F" w:rsidP="00C241A3">
      <w:pPr>
        <w:pStyle w:val="HChG"/>
        <w:numPr>
          <w:ilvl w:val="0"/>
          <w:numId w:val="31"/>
        </w:numPr>
        <w:tabs>
          <w:tab w:val="clear" w:pos="851"/>
        </w:tabs>
        <w:ind w:right="0"/>
        <w:rPr>
          <w:lang w:val="en-US"/>
        </w:rPr>
      </w:pPr>
      <w:r>
        <w:rPr>
          <w:lang w:val="en-US"/>
        </w:rPr>
        <w:t>Proposal</w:t>
      </w:r>
    </w:p>
    <w:p w:rsidR="00972D5F" w:rsidRPr="00C241A3" w:rsidRDefault="00C241A3" w:rsidP="00C241A3">
      <w:pPr>
        <w:pStyle w:val="SingleTxtG"/>
      </w:pPr>
      <w:r>
        <w:rPr>
          <w:i/>
        </w:rPr>
        <w:t>Part B,</w:t>
      </w:r>
      <w:r w:rsidR="00972D5F" w:rsidRPr="00C241A3">
        <w:rPr>
          <w:i/>
        </w:rPr>
        <w:t xml:space="preserve"> </w:t>
      </w:r>
      <w:r>
        <w:rPr>
          <w:i/>
        </w:rPr>
        <w:t>p</w:t>
      </w:r>
      <w:r w:rsidR="00F94657" w:rsidRPr="00C241A3">
        <w:rPr>
          <w:i/>
        </w:rPr>
        <w:t xml:space="preserve">aragraph </w:t>
      </w:r>
      <w:r w:rsidR="00972D5F" w:rsidRPr="00C241A3">
        <w:rPr>
          <w:i/>
        </w:rPr>
        <w:t>2.</w:t>
      </w:r>
      <w:r w:rsidR="000B169D">
        <w:rPr>
          <w:i/>
        </w:rPr>
        <w:t>,</w:t>
      </w:r>
      <w:r w:rsidR="00972D5F" w:rsidRPr="00C241A3">
        <w:rPr>
          <w:i/>
        </w:rPr>
        <w:t xml:space="preserve"> Application/Scope</w:t>
      </w:r>
      <w:r w:rsidR="00972D5F" w:rsidRPr="00C241A3">
        <w:t>, amend to read:</w:t>
      </w:r>
    </w:p>
    <w:p w:rsidR="00972D5F" w:rsidRPr="00C241A3" w:rsidRDefault="00C241A3" w:rsidP="00C241A3">
      <w:pPr>
        <w:spacing w:after="120"/>
        <w:ind w:left="2268" w:right="992" w:hanging="1134"/>
        <w:jc w:val="both"/>
        <w:rPr>
          <w:iCs/>
          <w:sz w:val="20"/>
          <w:szCs w:val="20"/>
          <w:lang w:val="en-US" w:eastAsia="en-US"/>
        </w:rPr>
      </w:pPr>
      <w:r w:rsidRPr="00C241A3">
        <w:rPr>
          <w:iCs/>
          <w:sz w:val="20"/>
          <w:szCs w:val="20"/>
          <w:lang w:val="en-US" w:eastAsia="en-US"/>
        </w:rPr>
        <w:t>"2.</w:t>
      </w:r>
      <w:r w:rsidRPr="00C241A3">
        <w:rPr>
          <w:iCs/>
          <w:sz w:val="20"/>
          <w:szCs w:val="20"/>
          <w:lang w:val="en-US" w:eastAsia="en-US"/>
        </w:rPr>
        <w:tab/>
      </w:r>
      <w:r w:rsidR="00972D5F" w:rsidRPr="00C241A3">
        <w:rPr>
          <w:iCs/>
          <w:sz w:val="20"/>
          <w:szCs w:val="20"/>
          <w:lang w:val="en-US" w:eastAsia="en-US"/>
        </w:rPr>
        <w:t>This regulation applies to safety glazing intended for installation as windscreens or</w:t>
      </w:r>
      <w:r w:rsidR="009C52CB" w:rsidRPr="00C241A3">
        <w:rPr>
          <w:iCs/>
          <w:sz w:val="20"/>
          <w:szCs w:val="20"/>
          <w:lang w:val="en-US" w:eastAsia="en-US"/>
        </w:rPr>
        <w:t xml:space="preserve"> </w:t>
      </w:r>
      <w:r w:rsidR="009C52CB" w:rsidRPr="00437500">
        <w:rPr>
          <w:iCs/>
          <w:color w:val="FF0000"/>
          <w:sz w:val="20"/>
          <w:szCs w:val="20"/>
          <w:lang w:val="en-US" w:eastAsia="en-US"/>
        </w:rPr>
        <w:t>panes</w:t>
      </w:r>
      <w:r w:rsidR="00972D5F" w:rsidRPr="00437500">
        <w:rPr>
          <w:iCs/>
          <w:color w:val="FF0000"/>
          <w:sz w:val="20"/>
          <w:szCs w:val="20"/>
          <w:lang w:val="en-US" w:eastAsia="en-US"/>
        </w:rPr>
        <w:t xml:space="preserve"> </w:t>
      </w:r>
      <w:r w:rsidR="0002075F" w:rsidRPr="00437500">
        <w:rPr>
          <w:iCs/>
          <w:color w:val="FF0000"/>
          <w:sz w:val="20"/>
          <w:szCs w:val="20"/>
          <w:lang w:val="en-US" w:eastAsia="en-US"/>
        </w:rPr>
        <w:t>or as partitioning,</w:t>
      </w:r>
      <w:r w:rsidR="0002075F" w:rsidRPr="0002075F">
        <w:rPr>
          <w:b/>
          <w:iCs/>
          <w:color w:val="FF0000"/>
          <w:sz w:val="20"/>
          <w:szCs w:val="20"/>
          <w:lang w:val="en-US" w:eastAsia="en-US"/>
        </w:rPr>
        <w:t xml:space="preserve"> </w:t>
      </w:r>
      <w:r w:rsidR="00972D5F" w:rsidRPr="00C241A3">
        <w:rPr>
          <w:iCs/>
          <w:strike/>
          <w:sz w:val="20"/>
          <w:szCs w:val="20"/>
          <w:lang w:val="en-US" w:eastAsia="en-US"/>
        </w:rPr>
        <w:t>use of double windows panes, each pane is considered a separate item of glazing panes</w:t>
      </w:r>
      <w:r w:rsidR="00972D5F" w:rsidRPr="00C241A3">
        <w:rPr>
          <w:iCs/>
          <w:sz w:val="20"/>
          <w:szCs w:val="20"/>
          <w:lang w:val="en-US" w:eastAsia="en-US"/>
        </w:rPr>
        <w:t xml:space="preserve"> on Category 1 and 2 vehicles as defined in Special Resolution No. 1 (S.R.1) concerning the Common Definitions of Vehicle Categories, Masses and Dimensions, to the exclusion however of glazing for lighting and light-</w:t>
      </w:r>
      <w:proofErr w:type="spellStart"/>
      <w:r w:rsidR="00972D5F" w:rsidRPr="00C241A3">
        <w:rPr>
          <w:iCs/>
          <w:sz w:val="20"/>
          <w:szCs w:val="20"/>
          <w:lang w:val="en-US" w:eastAsia="en-US"/>
        </w:rPr>
        <w:t>signalling</w:t>
      </w:r>
      <w:proofErr w:type="spellEnd"/>
      <w:r w:rsidR="00972D5F" w:rsidRPr="00C241A3">
        <w:rPr>
          <w:iCs/>
          <w:sz w:val="20"/>
          <w:szCs w:val="20"/>
          <w:lang w:val="en-US" w:eastAsia="en-US"/>
        </w:rPr>
        <w:t xml:space="preserve"> devices and instrument panels, and of bullet resistant glazing.  In the case of double windows, each pane is conside</w:t>
      </w:r>
      <w:r w:rsidRPr="00C241A3">
        <w:rPr>
          <w:iCs/>
          <w:sz w:val="20"/>
          <w:szCs w:val="20"/>
          <w:lang w:val="en-US" w:eastAsia="en-US"/>
        </w:rPr>
        <w:t>red a separate item of glazing."</w:t>
      </w:r>
    </w:p>
    <w:p w:rsidR="00972D5F" w:rsidRPr="00C241A3" w:rsidRDefault="00BE4A5F" w:rsidP="00C241A3">
      <w:pPr>
        <w:pStyle w:val="SingleTxtG"/>
      </w:pPr>
      <w:r w:rsidRPr="00C241A3">
        <w:rPr>
          <w:i/>
        </w:rPr>
        <w:t>Part B</w:t>
      </w:r>
      <w:r w:rsidR="00C241A3">
        <w:rPr>
          <w:i/>
        </w:rPr>
        <w:t>, p</w:t>
      </w:r>
      <w:r w:rsidR="00972D5F" w:rsidRPr="00C241A3">
        <w:rPr>
          <w:i/>
        </w:rPr>
        <w:t>aragraph 6.3.2.3</w:t>
      </w:r>
      <w:r w:rsidR="00C241A3">
        <w:rPr>
          <w:i/>
        </w:rPr>
        <w:t>.</w:t>
      </w:r>
      <w:r w:rsidR="00972D5F" w:rsidRPr="00C241A3">
        <w:t>, amend to read:</w:t>
      </w:r>
      <w:bookmarkStart w:id="0" w:name="_GoBack"/>
      <w:bookmarkEnd w:id="0"/>
      <w:r w:rsidR="00972D5F" w:rsidRPr="00C241A3">
        <w:t xml:space="preserve"> </w:t>
      </w:r>
    </w:p>
    <w:p w:rsidR="00972D5F" w:rsidRPr="00C241A3" w:rsidRDefault="00C241A3" w:rsidP="00C241A3">
      <w:pPr>
        <w:ind w:left="2268" w:right="993" w:hanging="1134"/>
        <w:jc w:val="both"/>
        <w:rPr>
          <w:iCs/>
          <w:sz w:val="20"/>
          <w:szCs w:val="20"/>
          <w:lang w:val="en-US" w:eastAsia="en-US"/>
        </w:rPr>
      </w:pPr>
      <w:r>
        <w:rPr>
          <w:iCs/>
          <w:sz w:val="20"/>
          <w:szCs w:val="20"/>
          <w:lang w:val="en-US" w:eastAsia="en-US"/>
        </w:rPr>
        <w:t>"6.3.2.3.</w:t>
      </w:r>
      <w:r>
        <w:rPr>
          <w:iCs/>
          <w:sz w:val="20"/>
          <w:szCs w:val="20"/>
          <w:lang w:val="en-US" w:eastAsia="en-US"/>
        </w:rPr>
        <w:tab/>
      </w:r>
      <w:r w:rsidR="00972D5F" w:rsidRPr="00C241A3">
        <w:rPr>
          <w:iCs/>
          <w:sz w:val="20"/>
          <w:szCs w:val="20"/>
          <w:lang w:val="en-US" w:eastAsia="en-US"/>
        </w:rPr>
        <w:t xml:space="preserve">The point of impact shall be within 25 mm of the </w:t>
      </w:r>
      <w:r w:rsidR="00972D5F" w:rsidRPr="00437500">
        <w:rPr>
          <w:color w:val="FF0000"/>
          <w:sz w:val="20"/>
          <w:szCs w:val="20"/>
          <w:lang w:val="en-US" w:eastAsia="en-US"/>
        </w:rPr>
        <w:t>geometric</w:t>
      </w:r>
      <w:r w:rsidR="00972D5F" w:rsidRPr="00C241A3">
        <w:rPr>
          <w:iCs/>
          <w:sz w:val="20"/>
          <w:szCs w:val="20"/>
          <w:lang w:val="en-US" w:eastAsia="en-US"/>
        </w:rPr>
        <w:t xml:space="preserve"> </w:t>
      </w:r>
      <w:proofErr w:type="spellStart"/>
      <w:r w:rsidR="00972D5F" w:rsidRPr="00C241A3">
        <w:rPr>
          <w:iCs/>
          <w:sz w:val="20"/>
          <w:szCs w:val="20"/>
          <w:lang w:val="en-US" w:eastAsia="en-US"/>
        </w:rPr>
        <w:t>centre</w:t>
      </w:r>
      <w:proofErr w:type="spellEnd"/>
      <w:r w:rsidR="00972D5F" w:rsidRPr="00C241A3">
        <w:rPr>
          <w:iCs/>
          <w:sz w:val="20"/>
          <w:szCs w:val="20"/>
          <w:lang w:val="en-US" w:eastAsia="en-US"/>
        </w:rPr>
        <w:t xml:space="preserve"> of the </w:t>
      </w:r>
      <w:r w:rsidR="00972D5F" w:rsidRPr="00437500">
        <w:rPr>
          <w:color w:val="FF0000"/>
          <w:sz w:val="20"/>
          <w:szCs w:val="20"/>
          <w:lang w:val="en-US" w:eastAsia="en-US"/>
        </w:rPr>
        <w:t>test piece</w:t>
      </w:r>
      <w:r w:rsidR="00972D5F" w:rsidRPr="00C241A3">
        <w:rPr>
          <w:sz w:val="20"/>
          <w:szCs w:val="20"/>
          <w:lang w:val="en-US" w:eastAsia="en-US"/>
        </w:rPr>
        <w:t xml:space="preserve"> </w:t>
      </w:r>
      <w:r w:rsidR="00972D5F" w:rsidRPr="00C241A3">
        <w:rPr>
          <w:iCs/>
          <w:strike/>
          <w:sz w:val="20"/>
          <w:szCs w:val="20"/>
          <w:lang w:val="en-US" w:eastAsia="en-US"/>
        </w:rPr>
        <w:t>supported area</w:t>
      </w:r>
      <w:r w:rsidR="00972D5F" w:rsidRPr="00C241A3">
        <w:rPr>
          <w:iCs/>
          <w:sz w:val="20"/>
          <w:szCs w:val="20"/>
          <w:lang w:val="en-US" w:eastAsia="en-US"/>
        </w:rPr>
        <w:t xml:space="preserve"> for a drop height less than or equal to 6 m, and within 50 mm of the </w:t>
      </w:r>
      <w:proofErr w:type="spellStart"/>
      <w:r w:rsidR="00972D5F" w:rsidRPr="00C241A3">
        <w:rPr>
          <w:iCs/>
          <w:sz w:val="20"/>
          <w:szCs w:val="20"/>
          <w:lang w:val="en-US" w:eastAsia="en-US"/>
        </w:rPr>
        <w:t>centre</w:t>
      </w:r>
      <w:proofErr w:type="spellEnd"/>
      <w:r w:rsidR="00972D5F" w:rsidRPr="00C241A3">
        <w:rPr>
          <w:iCs/>
          <w:sz w:val="20"/>
          <w:szCs w:val="20"/>
          <w:lang w:val="en-US" w:eastAsia="en-US"/>
        </w:rPr>
        <w:t xml:space="preserve"> of the </w:t>
      </w:r>
      <w:r w:rsidR="00972D5F" w:rsidRPr="00C241A3">
        <w:rPr>
          <w:iCs/>
          <w:strike/>
          <w:sz w:val="20"/>
          <w:szCs w:val="20"/>
          <w:lang w:val="en-US" w:eastAsia="en-US"/>
        </w:rPr>
        <w:t>supported area</w:t>
      </w:r>
      <w:r w:rsidR="00972D5F" w:rsidRPr="00C241A3">
        <w:rPr>
          <w:iCs/>
          <w:sz w:val="20"/>
          <w:szCs w:val="20"/>
          <w:lang w:val="en-US" w:eastAsia="en-US"/>
        </w:rPr>
        <w:t xml:space="preserve"> </w:t>
      </w:r>
      <w:r w:rsidR="00972D5F" w:rsidRPr="00437500">
        <w:rPr>
          <w:color w:val="FF0000"/>
          <w:sz w:val="20"/>
          <w:szCs w:val="20"/>
          <w:lang w:val="en-US" w:eastAsia="en-US"/>
        </w:rPr>
        <w:t>test piece</w:t>
      </w:r>
      <w:r w:rsidR="00972D5F" w:rsidRPr="00C241A3">
        <w:rPr>
          <w:iCs/>
          <w:sz w:val="20"/>
          <w:szCs w:val="20"/>
          <w:lang w:val="en-US" w:eastAsia="en-US"/>
        </w:rPr>
        <w:t xml:space="preserve">  for </w:t>
      </w:r>
      <w:r>
        <w:rPr>
          <w:iCs/>
          <w:sz w:val="20"/>
          <w:szCs w:val="20"/>
          <w:lang w:val="en-US" w:eastAsia="en-US"/>
        </w:rPr>
        <w:t>a drop height greater than 6 m."</w:t>
      </w:r>
    </w:p>
    <w:p w:rsidR="00F21F0F" w:rsidRPr="00C241A3" w:rsidRDefault="00C241A3" w:rsidP="00C241A3">
      <w:pPr>
        <w:pStyle w:val="HChG"/>
      </w:pPr>
      <w:r>
        <w:tab/>
        <w:t>II.</w:t>
      </w:r>
      <w:r>
        <w:tab/>
      </w:r>
      <w:r w:rsidR="00F21F0F" w:rsidRPr="00051790">
        <w:t>Justification</w:t>
      </w:r>
    </w:p>
    <w:p w:rsidR="00D23430" w:rsidRPr="000B169D" w:rsidRDefault="00D23430" w:rsidP="00C241A3">
      <w:pPr>
        <w:pStyle w:val="SingleTxtG"/>
        <w:rPr>
          <w:b/>
        </w:rPr>
      </w:pPr>
      <w:r w:rsidRPr="000B169D">
        <w:rPr>
          <w:b/>
        </w:rPr>
        <w:t>For scope:</w:t>
      </w:r>
    </w:p>
    <w:p w:rsidR="00C858B5" w:rsidRDefault="00D23430" w:rsidP="00C241A3">
      <w:pPr>
        <w:pStyle w:val="SingleTxtG"/>
      </w:pPr>
      <w:r>
        <w:t>We think there is an obvious mistake in the scope. When reading part A of the gtr, one understands the intention is not to apply the gtr only to windscreens</w:t>
      </w:r>
      <w:r w:rsidR="0070137F">
        <w:t xml:space="preserve"> and double window panes. Also </w:t>
      </w:r>
      <w:r>
        <w:t>scopes of UN R</w:t>
      </w:r>
      <w:r w:rsidR="000B169D">
        <w:t xml:space="preserve">egulation No. </w:t>
      </w:r>
      <w:r>
        <w:t xml:space="preserve">43 and other regional/national  </w:t>
      </w:r>
      <w:r w:rsidR="0070137F">
        <w:t>regulations used as basis for</w:t>
      </w:r>
      <w:r>
        <w:t xml:space="preserve"> the gtr are wider.</w:t>
      </w:r>
    </w:p>
    <w:p w:rsidR="00C858B5" w:rsidRPr="000B169D" w:rsidRDefault="00C858B5" w:rsidP="00C241A3">
      <w:pPr>
        <w:pStyle w:val="SingleTxtG"/>
        <w:rPr>
          <w:b/>
        </w:rPr>
      </w:pPr>
      <w:r w:rsidRPr="000B169D">
        <w:rPr>
          <w:b/>
        </w:rPr>
        <w:t>For paragraph 6.3.2.3.:</w:t>
      </w:r>
    </w:p>
    <w:p w:rsidR="00D23430" w:rsidRPr="00D23430" w:rsidRDefault="00E3539A" w:rsidP="00C241A3">
      <w:pPr>
        <w:pStyle w:val="SingleTxtG"/>
      </w:pPr>
      <w:r>
        <w:t>Corrigendum of the gtr</w:t>
      </w:r>
      <w:r w:rsidRPr="00E3539A">
        <w:t xml:space="preserve"> with respect to</w:t>
      </w:r>
      <w:r>
        <w:t xml:space="preserve"> its technical rationale </w:t>
      </w:r>
      <w:r w:rsidRPr="00E3539A">
        <w:t xml:space="preserve"> (impact test </w:t>
      </w:r>
      <w:r>
        <w:t>procedure same as ISO 3537/ UN R43</w:t>
      </w:r>
      <w:r w:rsidRPr="00E3539A">
        <w:t>).</w:t>
      </w:r>
    </w:p>
    <w:p w:rsidR="00471B60" w:rsidRPr="00B361E6" w:rsidRDefault="00B361E6" w:rsidP="00B361E6">
      <w:pPr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en-US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471B60" w:rsidRPr="00B361E6" w:rsidSect="000844C4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 w:code="9"/>
      <w:pgMar w:top="1134" w:right="1273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D8" w:rsidRDefault="009327D8">
      <w:r>
        <w:separator/>
      </w:r>
    </w:p>
  </w:endnote>
  <w:endnote w:type="continuationSeparator" w:id="0">
    <w:p w:rsidR="009327D8" w:rsidRDefault="0093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13" w:rsidRPr="004B331F" w:rsidRDefault="00260413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C858B5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13" w:rsidRPr="004B331F" w:rsidRDefault="00260413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D8" w:rsidRDefault="009327D8">
      <w:r>
        <w:separator/>
      </w:r>
    </w:p>
  </w:footnote>
  <w:footnote w:type="continuationSeparator" w:id="0">
    <w:p w:rsidR="009327D8" w:rsidRDefault="0093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13" w:rsidRPr="001E3F85" w:rsidRDefault="00260413" w:rsidP="001E3F85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670"/>
      <w:gridCol w:w="5253"/>
    </w:tblGrid>
    <w:tr w:rsidR="000B169D" w:rsidRPr="009327D8" w:rsidTr="006B21D6">
      <w:tblPrEx>
        <w:tblCellMar>
          <w:top w:w="0" w:type="dxa"/>
          <w:bottom w:w="0" w:type="dxa"/>
        </w:tblCellMar>
      </w:tblPrEx>
      <w:tc>
        <w:tcPr>
          <w:tcW w:w="4536" w:type="dxa"/>
          <w:vAlign w:val="center"/>
        </w:tcPr>
        <w:p w:rsidR="000B169D" w:rsidRPr="009327D8" w:rsidRDefault="000B169D" w:rsidP="006B21D6">
          <w:pPr>
            <w:tabs>
              <w:tab w:val="center" w:pos="4677"/>
              <w:tab w:val="right" w:pos="9355"/>
            </w:tabs>
            <w:ind w:left="601"/>
            <w:rPr>
              <w:sz w:val="20"/>
              <w:szCs w:val="20"/>
              <w:lang w:val="en-US"/>
            </w:rPr>
          </w:pPr>
          <w:r w:rsidRPr="009327D8">
            <w:rPr>
              <w:sz w:val="20"/>
              <w:szCs w:val="20"/>
            </w:rPr>
            <w:t>S</w:t>
          </w:r>
          <w:r w:rsidR="00437500" w:rsidRPr="009327D8">
            <w:rPr>
              <w:sz w:val="20"/>
              <w:szCs w:val="20"/>
            </w:rPr>
            <w:t xml:space="preserve">ubmitted by the </w:t>
          </w:r>
          <w:r w:rsidR="00437500" w:rsidRPr="009327D8">
            <w:rPr>
              <w:sz w:val="20"/>
              <w:szCs w:val="20"/>
              <w:lang w:val="en-US"/>
            </w:rPr>
            <w:t>Chair of IWG on</w:t>
          </w:r>
        </w:p>
        <w:p w:rsidR="00437500" w:rsidRPr="009327D8" w:rsidRDefault="00437500" w:rsidP="006B21D6">
          <w:pPr>
            <w:tabs>
              <w:tab w:val="center" w:pos="4677"/>
              <w:tab w:val="right" w:pos="9355"/>
            </w:tabs>
            <w:ind w:left="601"/>
            <w:rPr>
              <w:sz w:val="20"/>
              <w:szCs w:val="20"/>
              <w:lang w:val="en-US"/>
            </w:rPr>
          </w:pPr>
          <w:r w:rsidRPr="009327D8">
            <w:rPr>
              <w:sz w:val="20"/>
              <w:szCs w:val="20"/>
              <w:lang w:val="en-US"/>
            </w:rPr>
            <w:t>Panorama Sunroof Glazing (PSG)</w:t>
          </w:r>
        </w:p>
      </w:tc>
      <w:tc>
        <w:tcPr>
          <w:tcW w:w="5103" w:type="dxa"/>
        </w:tcPr>
        <w:p w:rsidR="000B169D" w:rsidRPr="009327D8" w:rsidRDefault="000B169D" w:rsidP="006B21D6">
          <w:pPr>
            <w:ind w:left="1310"/>
            <w:rPr>
              <w:sz w:val="20"/>
              <w:szCs w:val="20"/>
              <w:lang w:val="en-TT"/>
            </w:rPr>
          </w:pPr>
          <w:r w:rsidRPr="009327D8">
            <w:rPr>
              <w:sz w:val="20"/>
              <w:szCs w:val="20"/>
              <w:u w:val="single"/>
              <w:lang w:val="en-TT"/>
            </w:rPr>
            <w:t>Informal document</w:t>
          </w:r>
          <w:r w:rsidRPr="009327D8">
            <w:rPr>
              <w:sz w:val="20"/>
              <w:szCs w:val="20"/>
              <w:lang w:val="en-TT"/>
            </w:rPr>
            <w:t xml:space="preserve"> </w:t>
          </w:r>
          <w:r w:rsidR="00437500" w:rsidRPr="009327D8">
            <w:rPr>
              <w:b/>
              <w:sz w:val="20"/>
              <w:szCs w:val="20"/>
              <w:lang w:val="en-TT"/>
            </w:rPr>
            <w:t>GRSG-111</w:t>
          </w:r>
          <w:r w:rsidRPr="009327D8">
            <w:rPr>
              <w:b/>
              <w:sz w:val="20"/>
              <w:szCs w:val="20"/>
              <w:lang w:val="en-TT"/>
            </w:rPr>
            <w:t>-</w:t>
          </w:r>
          <w:r w:rsidR="009C79FF">
            <w:rPr>
              <w:b/>
              <w:sz w:val="20"/>
              <w:szCs w:val="20"/>
              <w:lang w:val="en-TT"/>
            </w:rPr>
            <w:t>34</w:t>
          </w:r>
        </w:p>
        <w:p w:rsidR="000B169D" w:rsidRPr="009327D8" w:rsidRDefault="00437500" w:rsidP="006B21D6">
          <w:pPr>
            <w:ind w:left="1310"/>
            <w:rPr>
              <w:sz w:val="20"/>
              <w:szCs w:val="20"/>
              <w:lang w:val="en-TT"/>
            </w:rPr>
          </w:pPr>
          <w:r w:rsidRPr="009327D8">
            <w:rPr>
              <w:sz w:val="20"/>
              <w:szCs w:val="20"/>
              <w:lang w:val="en-TT"/>
            </w:rPr>
            <w:t>(111th GRSG, 11-14 Oct., 2016</w:t>
          </w:r>
        </w:p>
        <w:p w:rsidR="000B169D" w:rsidRPr="009327D8" w:rsidRDefault="00437500" w:rsidP="006B21D6">
          <w:pPr>
            <w:ind w:left="1310"/>
            <w:rPr>
              <w:sz w:val="20"/>
              <w:szCs w:val="20"/>
              <w:u w:val="single"/>
              <w:lang w:val="en-TT"/>
            </w:rPr>
          </w:pPr>
          <w:r w:rsidRPr="009327D8">
            <w:rPr>
              <w:sz w:val="20"/>
              <w:szCs w:val="20"/>
              <w:lang w:val="en-TT"/>
            </w:rPr>
            <w:t xml:space="preserve"> agenda item 17</w:t>
          </w:r>
          <w:r w:rsidR="000B169D" w:rsidRPr="009327D8">
            <w:rPr>
              <w:sz w:val="20"/>
              <w:szCs w:val="20"/>
              <w:lang w:val="en-TT"/>
            </w:rPr>
            <w:t>)</w:t>
          </w:r>
        </w:p>
      </w:tc>
    </w:tr>
  </w:tbl>
  <w:p w:rsidR="000B169D" w:rsidRDefault="000B169D" w:rsidP="009C7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359846BA"/>
    <w:multiLevelType w:val="hybridMultilevel"/>
    <w:tmpl w:val="C2C80E40"/>
    <w:lvl w:ilvl="0" w:tplc="8D20A2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4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30"/>
  </w:num>
  <w:num w:numId="6">
    <w:abstractNumId w:val="4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3"/>
  </w:num>
  <w:num w:numId="14">
    <w:abstractNumId w:val="27"/>
  </w:num>
  <w:num w:numId="15">
    <w:abstractNumId w:val="22"/>
  </w:num>
  <w:num w:numId="16">
    <w:abstractNumId w:val="25"/>
  </w:num>
  <w:num w:numId="17">
    <w:abstractNumId w:val="23"/>
  </w:num>
  <w:num w:numId="18">
    <w:abstractNumId w:val="13"/>
  </w:num>
  <w:num w:numId="19">
    <w:abstractNumId w:val="21"/>
  </w:num>
  <w:num w:numId="20">
    <w:abstractNumId w:val="26"/>
  </w:num>
  <w:num w:numId="21">
    <w:abstractNumId w:val="12"/>
  </w:num>
  <w:num w:numId="22">
    <w:abstractNumId w:val="9"/>
  </w:num>
  <w:num w:numId="23">
    <w:abstractNumId w:val="11"/>
  </w:num>
  <w:num w:numId="24">
    <w:abstractNumId w:val="28"/>
  </w:num>
  <w:num w:numId="25">
    <w:abstractNumId w:val="29"/>
  </w:num>
  <w:num w:numId="26">
    <w:abstractNumId w:val="14"/>
  </w:num>
  <w:num w:numId="27">
    <w:abstractNumId w:val="20"/>
  </w:num>
  <w:num w:numId="28">
    <w:abstractNumId w:val="19"/>
  </w:num>
  <w:num w:numId="29">
    <w:abstractNumId w:val="10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082"/>
    <w:rsid w:val="000018D3"/>
    <w:rsid w:val="00001E26"/>
    <w:rsid w:val="00011099"/>
    <w:rsid w:val="00014281"/>
    <w:rsid w:val="0002075F"/>
    <w:rsid w:val="000228DB"/>
    <w:rsid w:val="00025215"/>
    <w:rsid w:val="000265D7"/>
    <w:rsid w:val="00036291"/>
    <w:rsid w:val="000369BF"/>
    <w:rsid w:val="000421E4"/>
    <w:rsid w:val="00046191"/>
    <w:rsid w:val="00050C6C"/>
    <w:rsid w:val="00052E5C"/>
    <w:rsid w:val="00053FEA"/>
    <w:rsid w:val="000602DD"/>
    <w:rsid w:val="000614B9"/>
    <w:rsid w:val="00065399"/>
    <w:rsid w:val="000657AB"/>
    <w:rsid w:val="000722FB"/>
    <w:rsid w:val="00073D36"/>
    <w:rsid w:val="000771D9"/>
    <w:rsid w:val="00081149"/>
    <w:rsid w:val="000816D1"/>
    <w:rsid w:val="00081E4F"/>
    <w:rsid w:val="00083220"/>
    <w:rsid w:val="00083EC2"/>
    <w:rsid w:val="000844C4"/>
    <w:rsid w:val="00087199"/>
    <w:rsid w:val="00092E11"/>
    <w:rsid w:val="0009401D"/>
    <w:rsid w:val="00096040"/>
    <w:rsid w:val="0009739A"/>
    <w:rsid w:val="00097C59"/>
    <w:rsid w:val="000A1E69"/>
    <w:rsid w:val="000A2EE3"/>
    <w:rsid w:val="000B169D"/>
    <w:rsid w:val="000B16DF"/>
    <w:rsid w:val="000B61D8"/>
    <w:rsid w:val="000C0CD6"/>
    <w:rsid w:val="000C690D"/>
    <w:rsid w:val="000C717B"/>
    <w:rsid w:val="000C75C9"/>
    <w:rsid w:val="000D3C09"/>
    <w:rsid w:val="000D4DC2"/>
    <w:rsid w:val="000D6C0A"/>
    <w:rsid w:val="000E0E10"/>
    <w:rsid w:val="000E4CC4"/>
    <w:rsid w:val="000F1E85"/>
    <w:rsid w:val="000F4E58"/>
    <w:rsid w:val="000F791C"/>
    <w:rsid w:val="001078B6"/>
    <w:rsid w:val="0012023F"/>
    <w:rsid w:val="00121027"/>
    <w:rsid w:val="00123098"/>
    <w:rsid w:val="001237BE"/>
    <w:rsid w:val="00123846"/>
    <w:rsid w:val="00124312"/>
    <w:rsid w:val="00125426"/>
    <w:rsid w:val="001273BD"/>
    <w:rsid w:val="0013336B"/>
    <w:rsid w:val="00136437"/>
    <w:rsid w:val="00137ACC"/>
    <w:rsid w:val="00140143"/>
    <w:rsid w:val="00144004"/>
    <w:rsid w:val="00145D1D"/>
    <w:rsid w:val="00147968"/>
    <w:rsid w:val="00152788"/>
    <w:rsid w:val="00152C76"/>
    <w:rsid w:val="00155E7B"/>
    <w:rsid w:val="00157B85"/>
    <w:rsid w:val="00164E4B"/>
    <w:rsid w:val="00166906"/>
    <w:rsid w:val="00170411"/>
    <w:rsid w:val="00172665"/>
    <w:rsid w:val="00176D06"/>
    <w:rsid w:val="001807EC"/>
    <w:rsid w:val="00182670"/>
    <w:rsid w:val="0018409C"/>
    <w:rsid w:val="001848B1"/>
    <w:rsid w:val="00186B7A"/>
    <w:rsid w:val="00197771"/>
    <w:rsid w:val="001A0E28"/>
    <w:rsid w:val="001A431B"/>
    <w:rsid w:val="001B02A0"/>
    <w:rsid w:val="001B3CC4"/>
    <w:rsid w:val="001B521F"/>
    <w:rsid w:val="001B54CF"/>
    <w:rsid w:val="001B75B6"/>
    <w:rsid w:val="001D2149"/>
    <w:rsid w:val="001D2E01"/>
    <w:rsid w:val="001E0059"/>
    <w:rsid w:val="001E1A51"/>
    <w:rsid w:val="001E38C7"/>
    <w:rsid w:val="001E3F85"/>
    <w:rsid w:val="002126EC"/>
    <w:rsid w:val="0022125F"/>
    <w:rsid w:val="00223AE3"/>
    <w:rsid w:val="002277BD"/>
    <w:rsid w:val="00230E7E"/>
    <w:rsid w:val="00232C41"/>
    <w:rsid w:val="00232C46"/>
    <w:rsid w:val="00240516"/>
    <w:rsid w:val="00245FBE"/>
    <w:rsid w:val="00256747"/>
    <w:rsid w:val="00256BD5"/>
    <w:rsid w:val="0025763B"/>
    <w:rsid w:val="0025773B"/>
    <w:rsid w:val="00260077"/>
    <w:rsid w:val="00260413"/>
    <w:rsid w:val="002613B5"/>
    <w:rsid w:val="00262ADB"/>
    <w:rsid w:val="00270D0F"/>
    <w:rsid w:val="00271897"/>
    <w:rsid w:val="00276892"/>
    <w:rsid w:val="00281F58"/>
    <w:rsid w:val="00285B85"/>
    <w:rsid w:val="00285DBE"/>
    <w:rsid w:val="0029013C"/>
    <w:rsid w:val="002A039F"/>
    <w:rsid w:val="002A65C7"/>
    <w:rsid w:val="002A6C04"/>
    <w:rsid w:val="002B04D3"/>
    <w:rsid w:val="002B1665"/>
    <w:rsid w:val="002C3A4E"/>
    <w:rsid w:val="002C55A2"/>
    <w:rsid w:val="002D290D"/>
    <w:rsid w:val="002D5863"/>
    <w:rsid w:val="002E32FD"/>
    <w:rsid w:val="002E3D9C"/>
    <w:rsid w:val="002F0049"/>
    <w:rsid w:val="002F601F"/>
    <w:rsid w:val="002F68DB"/>
    <w:rsid w:val="002F6A73"/>
    <w:rsid w:val="00303380"/>
    <w:rsid w:val="003048E4"/>
    <w:rsid w:val="00305A3B"/>
    <w:rsid w:val="0030734F"/>
    <w:rsid w:val="0031140D"/>
    <w:rsid w:val="003135AD"/>
    <w:rsid w:val="00315BEC"/>
    <w:rsid w:val="00316103"/>
    <w:rsid w:val="00325050"/>
    <w:rsid w:val="0033107F"/>
    <w:rsid w:val="00351B21"/>
    <w:rsid w:val="003553A5"/>
    <w:rsid w:val="003560DB"/>
    <w:rsid w:val="0036371F"/>
    <w:rsid w:val="00365867"/>
    <w:rsid w:val="00374B18"/>
    <w:rsid w:val="00375080"/>
    <w:rsid w:val="003819A4"/>
    <w:rsid w:val="003841DE"/>
    <w:rsid w:val="003A089F"/>
    <w:rsid w:val="003A1AE8"/>
    <w:rsid w:val="003A5598"/>
    <w:rsid w:val="003C06FB"/>
    <w:rsid w:val="003C1BBD"/>
    <w:rsid w:val="003C2029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39A9"/>
    <w:rsid w:val="0042492E"/>
    <w:rsid w:val="00432CC6"/>
    <w:rsid w:val="00437500"/>
    <w:rsid w:val="00437575"/>
    <w:rsid w:val="00437B2F"/>
    <w:rsid w:val="00444B6B"/>
    <w:rsid w:val="00444D70"/>
    <w:rsid w:val="00445329"/>
    <w:rsid w:val="0044709F"/>
    <w:rsid w:val="004504AC"/>
    <w:rsid w:val="00452EAA"/>
    <w:rsid w:val="00456EB7"/>
    <w:rsid w:val="004637F5"/>
    <w:rsid w:val="00466906"/>
    <w:rsid w:val="00471B60"/>
    <w:rsid w:val="004754B2"/>
    <w:rsid w:val="00481FA0"/>
    <w:rsid w:val="00482A16"/>
    <w:rsid w:val="00486322"/>
    <w:rsid w:val="004911B5"/>
    <w:rsid w:val="00493048"/>
    <w:rsid w:val="004A7A6D"/>
    <w:rsid w:val="004B252D"/>
    <w:rsid w:val="004B331F"/>
    <w:rsid w:val="004C6990"/>
    <w:rsid w:val="004D0670"/>
    <w:rsid w:val="004E0E53"/>
    <w:rsid w:val="004E17AA"/>
    <w:rsid w:val="004E39D9"/>
    <w:rsid w:val="004E7EB4"/>
    <w:rsid w:val="004F506D"/>
    <w:rsid w:val="004F6610"/>
    <w:rsid w:val="00502EE5"/>
    <w:rsid w:val="0050588B"/>
    <w:rsid w:val="005102B6"/>
    <w:rsid w:val="00515E4C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25A0"/>
    <w:rsid w:val="005575C9"/>
    <w:rsid w:val="00561D2F"/>
    <w:rsid w:val="0056562D"/>
    <w:rsid w:val="00567C71"/>
    <w:rsid w:val="005748FC"/>
    <w:rsid w:val="00575762"/>
    <w:rsid w:val="00576233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C06A0"/>
    <w:rsid w:val="005C6D56"/>
    <w:rsid w:val="005D484A"/>
    <w:rsid w:val="005E7FF5"/>
    <w:rsid w:val="005F1845"/>
    <w:rsid w:val="005F3064"/>
    <w:rsid w:val="005F35B5"/>
    <w:rsid w:val="005F7ECB"/>
    <w:rsid w:val="00602033"/>
    <w:rsid w:val="00605C17"/>
    <w:rsid w:val="00610786"/>
    <w:rsid w:val="0061147B"/>
    <w:rsid w:val="00620D33"/>
    <w:rsid w:val="00621FA4"/>
    <w:rsid w:val="00623B60"/>
    <w:rsid w:val="00636865"/>
    <w:rsid w:val="0066005C"/>
    <w:rsid w:val="00675210"/>
    <w:rsid w:val="0067697C"/>
    <w:rsid w:val="0068778F"/>
    <w:rsid w:val="006930A7"/>
    <w:rsid w:val="006A01CB"/>
    <w:rsid w:val="006A1658"/>
    <w:rsid w:val="006A522A"/>
    <w:rsid w:val="006A6045"/>
    <w:rsid w:val="006A6AEF"/>
    <w:rsid w:val="006A73A1"/>
    <w:rsid w:val="006B18D3"/>
    <w:rsid w:val="006B21D6"/>
    <w:rsid w:val="006B6853"/>
    <w:rsid w:val="006C2A4A"/>
    <w:rsid w:val="006C3413"/>
    <w:rsid w:val="006C6C6C"/>
    <w:rsid w:val="006D098C"/>
    <w:rsid w:val="006D0D04"/>
    <w:rsid w:val="006D1D02"/>
    <w:rsid w:val="006D5DCB"/>
    <w:rsid w:val="006D7606"/>
    <w:rsid w:val="006E1821"/>
    <w:rsid w:val="006F06DE"/>
    <w:rsid w:val="006F58A1"/>
    <w:rsid w:val="006F6A7F"/>
    <w:rsid w:val="007001D4"/>
    <w:rsid w:val="0070137F"/>
    <w:rsid w:val="00703915"/>
    <w:rsid w:val="00711041"/>
    <w:rsid w:val="00712940"/>
    <w:rsid w:val="00712F97"/>
    <w:rsid w:val="00714C0A"/>
    <w:rsid w:val="00715A09"/>
    <w:rsid w:val="00720714"/>
    <w:rsid w:val="00721FDE"/>
    <w:rsid w:val="0072251C"/>
    <w:rsid w:val="00730B4F"/>
    <w:rsid w:val="007321B9"/>
    <w:rsid w:val="007323B8"/>
    <w:rsid w:val="00734CCD"/>
    <w:rsid w:val="007403AF"/>
    <w:rsid w:val="0074173B"/>
    <w:rsid w:val="007420AD"/>
    <w:rsid w:val="00742A78"/>
    <w:rsid w:val="007461C3"/>
    <w:rsid w:val="0075471D"/>
    <w:rsid w:val="007552E8"/>
    <w:rsid w:val="00755711"/>
    <w:rsid w:val="0076436C"/>
    <w:rsid w:val="00767E89"/>
    <w:rsid w:val="00782057"/>
    <w:rsid w:val="00783C92"/>
    <w:rsid w:val="00790F47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5AF5"/>
    <w:rsid w:val="007B7DFD"/>
    <w:rsid w:val="007C6A2B"/>
    <w:rsid w:val="007D334E"/>
    <w:rsid w:val="007D4F7D"/>
    <w:rsid w:val="007D57FE"/>
    <w:rsid w:val="007D5F5F"/>
    <w:rsid w:val="007D7FBB"/>
    <w:rsid w:val="007E6C4A"/>
    <w:rsid w:val="007E71AF"/>
    <w:rsid w:val="007F0082"/>
    <w:rsid w:val="007F45B5"/>
    <w:rsid w:val="007F59D9"/>
    <w:rsid w:val="0080234C"/>
    <w:rsid w:val="0080406F"/>
    <w:rsid w:val="00805B9C"/>
    <w:rsid w:val="00814AB6"/>
    <w:rsid w:val="00816D88"/>
    <w:rsid w:val="008205DC"/>
    <w:rsid w:val="0082155F"/>
    <w:rsid w:val="008238E1"/>
    <w:rsid w:val="00823CEA"/>
    <w:rsid w:val="00833FD8"/>
    <w:rsid w:val="00836447"/>
    <w:rsid w:val="00836D55"/>
    <w:rsid w:val="00840080"/>
    <w:rsid w:val="00842277"/>
    <w:rsid w:val="00846D57"/>
    <w:rsid w:val="00851BF4"/>
    <w:rsid w:val="00852FA8"/>
    <w:rsid w:val="008565D5"/>
    <w:rsid w:val="008604C8"/>
    <w:rsid w:val="008605C0"/>
    <w:rsid w:val="00864BEB"/>
    <w:rsid w:val="00865AF2"/>
    <w:rsid w:val="00865CE6"/>
    <w:rsid w:val="00866AFA"/>
    <w:rsid w:val="00866D26"/>
    <w:rsid w:val="0086787A"/>
    <w:rsid w:val="00870EFA"/>
    <w:rsid w:val="0087551C"/>
    <w:rsid w:val="00885090"/>
    <w:rsid w:val="008862FE"/>
    <w:rsid w:val="008877AA"/>
    <w:rsid w:val="008921A6"/>
    <w:rsid w:val="008A0034"/>
    <w:rsid w:val="008A5622"/>
    <w:rsid w:val="008B3E61"/>
    <w:rsid w:val="008C0D7E"/>
    <w:rsid w:val="008D04C4"/>
    <w:rsid w:val="008D5339"/>
    <w:rsid w:val="008D6031"/>
    <w:rsid w:val="008D6A1E"/>
    <w:rsid w:val="008D7EB1"/>
    <w:rsid w:val="008D7EF1"/>
    <w:rsid w:val="008F4208"/>
    <w:rsid w:val="008F52A2"/>
    <w:rsid w:val="008F5AC7"/>
    <w:rsid w:val="008F76BE"/>
    <w:rsid w:val="00904502"/>
    <w:rsid w:val="00911492"/>
    <w:rsid w:val="00912D70"/>
    <w:rsid w:val="009221F9"/>
    <w:rsid w:val="0092299A"/>
    <w:rsid w:val="00926CEC"/>
    <w:rsid w:val="0092779B"/>
    <w:rsid w:val="009327D8"/>
    <w:rsid w:val="009328E7"/>
    <w:rsid w:val="00932976"/>
    <w:rsid w:val="00933DBE"/>
    <w:rsid w:val="0093586E"/>
    <w:rsid w:val="00935DAD"/>
    <w:rsid w:val="0093635B"/>
    <w:rsid w:val="0094158B"/>
    <w:rsid w:val="00941A60"/>
    <w:rsid w:val="00944900"/>
    <w:rsid w:val="00953D48"/>
    <w:rsid w:val="00954217"/>
    <w:rsid w:val="0095560C"/>
    <w:rsid w:val="00955E60"/>
    <w:rsid w:val="009562DD"/>
    <w:rsid w:val="00956598"/>
    <w:rsid w:val="009618DA"/>
    <w:rsid w:val="009635EA"/>
    <w:rsid w:val="00967032"/>
    <w:rsid w:val="00970577"/>
    <w:rsid w:val="00972389"/>
    <w:rsid w:val="00972D5F"/>
    <w:rsid w:val="00975DB2"/>
    <w:rsid w:val="00987FF3"/>
    <w:rsid w:val="00991396"/>
    <w:rsid w:val="00997061"/>
    <w:rsid w:val="009978F5"/>
    <w:rsid w:val="009A7450"/>
    <w:rsid w:val="009B7EF9"/>
    <w:rsid w:val="009C0389"/>
    <w:rsid w:val="009C0DFF"/>
    <w:rsid w:val="009C52CB"/>
    <w:rsid w:val="009C68F7"/>
    <w:rsid w:val="009C79FF"/>
    <w:rsid w:val="009D0703"/>
    <w:rsid w:val="009D2DBB"/>
    <w:rsid w:val="009D3AD0"/>
    <w:rsid w:val="009E0E47"/>
    <w:rsid w:val="009E2EFD"/>
    <w:rsid w:val="009F008E"/>
    <w:rsid w:val="009F14A2"/>
    <w:rsid w:val="009F16CA"/>
    <w:rsid w:val="009F1C85"/>
    <w:rsid w:val="009F5671"/>
    <w:rsid w:val="009F65E7"/>
    <w:rsid w:val="00A079BD"/>
    <w:rsid w:val="00A11424"/>
    <w:rsid w:val="00A149BC"/>
    <w:rsid w:val="00A1550E"/>
    <w:rsid w:val="00A17476"/>
    <w:rsid w:val="00A202DD"/>
    <w:rsid w:val="00A3531D"/>
    <w:rsid w:val="00A50B2B"/>
    <w:rsid w:val="00A57862"/>
    <w:rsid w:val="00A61ACE"/>
    <w:rsid w:val="00A62AAE"/>
    <w:rsid w:val="00A62BA9"/>
    <w:rsid w:val="00A63CDE"/>
    <w:rsid w:val="00A71719"/>
    <w:rsid w:val="00A741FE"/>
    <w:rsid w:val="00A74AE7"/>
    <w:rsid w:val="00A75DF1"/>
    <w:rsid w:val="00A76BD6"/>
    <w:rsid w:val="00A81D28"/>
    <w:rsid w:val="00A91060"/>
    <w:rsid w:val="00A914AA"/>
    <w:rsid w:val="00A95AE4"/>
    <w:rsid w:val="00A96B20"/>
    <w:rsid w:val="00AA3EEB"/>
    <w:rsid w:val="00AA438B"/>
    <w:rsid w:val="00AA44B8"/>
    <w:rsid w:val="00AA57E1"/>
    <w:rsid w:val="00AA684E"/>
    <w:rsid w:val="00AB1066"/>
    <w:rsid w:val="00AB416B"/>
    <w:rsid w:val="00AB4F8F"/>
    <w:rsid w:val="00AC2A03"/>
    <w:rsid w:val="00AC3194"/>
    <w:rsid w:val="00AC3561"/>
    <w:rsid w:val="00AC4A16"/>
    <w:rsid w:val="00AE3115"/>
    <w:rsid w:val="00AE5082"/>
    <w:rsid w:val="00AE5D9E"/>
    <w:rsid w:val="00AF6569"/>
    <w:rsid w:val="00AF7934"/>
    <w:rsid w:val="00AF795C"/>
    <w:rsid w:val="00B03A34"/>
    <w:rsid w:val="00B04B88"/>
    <w:rsid w:val="00B07174"/>
    <w:rsid w:val="00B07594"/>
    <w:rsid w:val="00B11558"/>
    <w:rsid w:val="00B11F55"/>
    <w:rsid w:val="00B12BC6"/>
    <w:rsid w:val="00B206C0"/>
    <w:rsid w:val="00B24692"/>
    <w:rsid w:val="00B35ADB"/>
    <w:rsid w:val="00B361E6"/>
    <w:rsid w:val="00B37796"/>
    <w:rsid w:val="00B43992"/>
    <w:rsid w:val="00B54027"/>
    <w:rsid w:val="00B61D0B"/>
    <w:rsid w:val="00B6336D"/>
    <w:rsid w:val="00B73010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63E"/>
    <w:rsid w:val="00B93757"/>
    <w:rsid w:val="00B94BFE"/>
    <w:rsid w:val="00B97972"/>
    <w:rsid w:val="00B97BE0"/>
    <w:rsid w:val="00BA03F4"/>
    <w:rsid w:val="00BA3B47"/>
    <w:rsid w:val="00BA4018"/>
    <w:rsid w:val="00BA5D1D"/>
    <w:rsid w:val="00BB23CB"/>
    <w:rsid w:val="00BC3632"/>
    <w:rsid w:val="00BC600B"/>
    <w:rsid w:val="00BD1C4E"/>
    <w:rsid w:val="00BD461D"/>
    <w:rsid w:val="00BE1CD6"/>
    <w:rsid w:val="00BE315C"/>
    <w:rsid w:val="00BE4A5F"/>
    <w:rsid w:val="00BE6446"/>
    <w:rsid w:val="00BF3FA0"/>
    <w:rsid w:val="00BF4FDD"/>
    <w:rsid w:val="00BF54FA"/>
    <w:rsid w:val="00BF5816"/>
    <w:rsid w:val="00BF5BE4"/>
    <w:rsid w:val="00BF6D67"/>
    <w:rsid w:val="00C02321"/>
    <w:rsid w:val="00C03B07"/>
    <w:rsid w:val="00C03CC4"/>
    <w:rsid w:val="00C16E16"/>
    <w:rsid w:val="00C202CA"/>
    <w:rsid w:val="00C2089D"/>
    <w:rsid w:val="00C21B91"/>
    <w:rsid w:val="00C241A3"/>
    <w:rsid w:val="00C259A5"/>
    <w:rsid w:val="00C26749"/>
    <w:rsid w:val="00C30136"/>
    <w:rsid w:val="00C303AB"/>
    <w:rsid w:val="00C327F7"/>
    <w:rsid w:val="00C37AF9"/>
    <w:rsid w:val="00C42B55"/>
    <w:rsid w:val="00C43ED1"/>
    <w:rsid w:val="00C465AF"/>
    <w:rsid w:val="00C46BBD"/>
    <w:rsid w:val="00C50643"/>
    <w:rsid w:val="00C521B6"/>
    <w:rsid w:val="00C53C53"/>
    <w:rsid w:val="00C57A45"/>
    <w:rsid w:val="00C614AD"/>
    <w:rsid w:val="00C61DBB"/>
    <w:rsid w:val="00C62183"/>
    <w:rsid w:val="00C62FB4"/>
    <w:rsid w:val="00C66435"/>
    <w:rsid w:val="00C756A5"/>
    <w:rsid w:val="00C76195"/>
    <w:rsid w:val="00C80814"/>
    <w:rsid w:val="00C80F8A"/>
    <w:rsid w:val="00C858B5"/>
    <w:rsid w:val="00C92FE9"/>
    <w:rsid w:val="00C9588B"/>
    <w:rsid w:val="00C95A34"/>
    <w:rsid w:val="00C96929"/>
    <w:rsid w:val="00CA0119"/>
    <w:rsid w:val="00CA0EE0"/>
    <w:rsid w:val="00CA470E"/>
    <w:rsid w:val="00CB5632"/>
    <w:rsid w:val="00CB64B2"/>
    <w:rsid w:val="00CC26EB"/>
    <w:rsid w:val="00CC3E40"/>
    <w:rsid w:val="00CD0CB4"/>
    <w:rsid w:val="00CD2BAB"/>
    <w:rsid w:val="00CD489E"/>
    <w:rsid w:val="00CE7323"/>
    <w:rsid w:val="00CF1285"/>
    <w:rsid w:val="00CF506C"/>
    <w:rsid w:val="00D02E19"/>
    <w:rsid w:val="00D0384E"/>
    <w:rsid w:val="00D05082"/>
    <w:rsid w:val="00D10D4C"/>
    <w:rsid w:val="00D1213B"/>
    <w:rsid w:val="00D12925"/>
    <w:rsid w:val="00D14E45"/>
    <w:rsid w:val="00D20A05"/>
    <w:rsid w:val="00D20A40"/>
    <w:rsid w:val="00D20BBB"/>
    <w:rsid w:val="00D22A70"/>
    <w:rsid w:val="00D23430"/>
    <w:rsid w:val="00D339B2"/>
    <w:rsid w:val="00D342AA"/>
    <w:rsid w:val="00D40ADD"/>
    <w:rsid w:val="00D40D2D"/>
    <w:rsid w:val="00D42200"/>
    <w:rsid w:val="00D47C3D"/>
    <w:rsid w:val="00D51F01"/>
    <w:rsid w:val="00D62EDF"/>
    <w:rsid w:val="00D63C56"/>
    <w:rsid w:val="00D64E5F"/>
    <w:rsid w:val="00D655D6"/>
    <w:rsid w:val="00D710BA"/>
    <w:rsid w:val="00D81D02"/>
    <w:rsid w:val="00D823FF"/>
    <w:rsid w:val="00D84648"/>
    <w:rsid w:val="00D8666F"/>
    <w:rsid w:val="00D866EE"/>
    <w:rsid w:val="00D871EE"/>
    <w:rsid w:val="00D87F21"/>
    <w:rsid w:val="00D90A07"/>
    <w:rsid w:val="00D91521"/>
    <w:rsid w:val="00D93392"/>
    <w:rsid w:val="00D9409B"/>
    <w:rsid w:val="00D9477C"/>
    <w:rsid w:val="00DA097D"/>
    <w:rsid w:val="00DA2345"/>
    <w:rsid w:val="00DA41CC"/>
    <w:rsid w:val="00DB209F"/>
    <w:rsid w:val="00DB6B60"/>
    <w:rsid w:val="00DC033B"/>
    <w:rsid w:val="00DC3055"/>
    <w:rsid w:val="00DC322B"/>
    <w:rsid w:val="00DD3158"/>
    <w:rsid w:val="00DD6A31"/>
    <w:rsid w:val="00DD6AC1"/>
    <w:rsid w:val="00DD6B6C"/>
    <w:rsid w:val="00DE5D2D"/>
    <w:rsid w:val="00DF3539"/>
    <w:rsid w:val="00DF5836"/>
    <w:rsid w:val="00DF6EA4"/>
    <w:rsid w:val="00E06A7C"/>
    <w:rsid w:val="00E11EE8"/>
    <w:rsid w:val="00E15447"/>
    <w:rsid w:val="00E169DA"/>
    <w:rsid w:val="00E17F2F"/>
    <w:rsid w:val="00E20EE4"/>
    <w:rsid w:val="00E21952"/>
    <w:rsid w:val="00E25BE8"/>
    <w:rsid w:val="00E3115F"/>
    <w:rsid w:val="00E31B04"/>
    <w:rsid w:val="00E3539A"/>
    <w:rsid w:val="00E42284"/>
    <w:rsid w:val="00E4417A"/>
    <w:rsid w:val="00E44978"/>
    <w:rsid w:val="00E51ED0"/>
    <w:rsid w:val="00E5335C"/>
    <w:rsid w:val="00E540AD"/>
    <w:rsid w:val="00E5795B"/>
    <w:rsid w:val="00E60D2E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20A0"/>
    <w:rsid w:val="00EA29E8"/>
    <w:rsid w:val="00EA46AB"/>
    <w:rsid w:val="00EA7D59"/>
    <w:rsid w:val="00EB0A4B"/>
    <w:rsid w:val="00EB17AD"/>
    <w:rsid w:val="00EB238A"/>
    <w:rsid w:val="00EB5A58"/>
    <w:rsid w:val="00EC1823"/>
    <w:rsid w:val="00ED2021"/>
    <w:rsid w:val="00ED3813"/>
    <w:rsid w:val="00EE25EE"/>
    <w:rsid w:val="00EE3470"/>
    <w:rsid w:val="00EF2CC5"/>
    <w:rsid w:val="00EF3830"/>
    <w:rsid w:val="00EF50B1"/>
    <w:rsid w:val="00EF60E6"/>
    <w:rsid w:val="00F0017C"/>
    <w:rsid w:val="00F052E0"/>
    <w:rsid w:val="00F11314"/>
    <w:rsid w:val="00F12567"/>
    <w:rsid w:val="00F16AB6"/>
    <w:rsid w:val="00F17B42"/>
    <w:rsid w:val="00F213A7"/>
    <w:rsid w:val="00F21F0F"/>
    <w:rsid w:val="00F22262"/>
    <w:rsid w:val="00F25961"/>
    <w:rsid w:val="00F27FFA"/>
    <w:rsid w:val="00F31A35"/>
    <w:rsid w:val="00F32C8B"/>
    <w:rsid w:val="00F35854"/>
    <w:rsid w:val="00F41D56"/>
    <w:rsid w:val="00F42F88"/>
    <w:rsid w:val="00F43728"/>
    <w:rsid w:val="00F501D8"/>
    <w:rsid w:val="00F513E6"/>
    <w:rsid w:val="00F61A46"/>
    <w:rsid w:val="00F62E4D"/>
    <w:rsid w:val="00F66AB8"/>
    <w:rsid w:val="00F72FCC"/>
    <w:rsid w:val="00F81883"/>
    <w:rsid w:val="00F81F12"/>
    <w:rsid w:val="00F8252C"/>
    <w:rsid w:val="00F84586"/>
    <w:rsid w:val="00F868F2"/>
    <w:rsid w:val="00F8750E"/>
    <w:rsid w:val="00F876D0"/>
    <w:rsid w:val="00F91C8C"/>
    <w:rsid w:val="00F94657"/>
    <w:rsid w:val="00F956F1"/>
    <w:rsid w:val="00F97C2E"/>
    <w:rsid w:val="00FA0D55"/>
    <w:rsid w:val="00FB0FC7"/>
    <w:rsid w:val="00FB47A4"/>
    <w:rsid w:val="00FB4A09"/>
    <w:rsid w:val="00FC2E06"/>
    <w:rsid w:val="00FC4F9B"/>
    <w:rsid w:val="00FC6257"/>
    <w:rsid w:val="00FD258D"/>
    <w:rsid w:val="00FD273F"/>
    <w:rsid w:val="00FD6745"/>
    <w:rsid w:val="00FD7A13"/>
    <w:rsid w:val="00FE0A24"/>
    <w:rsid w:val="00FE1388"/>
    <w:rsid w:val="00FE508C"/>
    <w:rsid w:val="00FE521A"/>
    <w:rsid w:val="00FF34D7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CE5F-0B66-47FB-ADBD-CA30CF26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2</cp:revision>
  <cp:lastPrinted>2014-05-06T16:20:00Z</cp:lastPrinted>
  <dcterms:created xsi:type="dcterms:W3CDTF">2016-10-12T16:18:00Z</dcterms:created>
  <dcterms:modified xsi:type="dcterms:W3CDTF">2016-10-12T16:18:00Z</dcterms:modified>
</cp:coreProperties>
</file>