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EF1182">
            <w:pPr>
              <w:suppressAutoHyphens w:val="0"/>
              <w:spacing w:after="20"/>
              <w:jc w:val="right"/>
              <w:rPr>
                <w:b/>
                <w:sz w:val="28"/>
                <w:szCs w:val="28"/>
              </w:rPr>
            </w:pPr>
            <w:r w:rsidRPr="008268C5">
              <w:rPr>
                <w:b/>
                <w:sz w:val="28"/>
                <w:szCs w:val="28"/>
              </w:rPr>
              <w:t>INF.</w:t>
            </w:r>
            <w:r w:rsidR="00EF1182">
              <w:rPr>
                <w:b/>
                <w:sz w:val="28"/>
                <w:szCs w:val="28"/>
              </w:rPr>
              <w:t>5</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proofErr w:type="gramStart"/>
      <w:r>
        <w:rPr>
          <w:b/>
        </w:rPr>
        <w:t>10</w:t>
      </w:r>
      <w:r w:rsidR="00FB1A29">
        <w:rPr>
          <w:b/>
        </w:rPr>
        <w:t>3</w:t>
      </w:r>
      <w:r w:rsidR="00A95D61">
        <w:rPr>
          <w:b/>
        </w:rPr>
        <w:t>r</w:t>
      </w:r>
      <w:r>
        <w:rPr>
          <w:b/>
        </w:rPr>
        <w:t>d</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8C678F">
        <w:rPr>
          <w:b/>
        </w:rPr>
        <w:t>1</w:t>
      </w:r>
      <w:r w:rsidR="00EF1182">
        <w:rPr>
          <w:b/>
        </w:rPr>
        <w:t>6</w:t>
      </w:r>
      <w:r w:rsidR="008C678F">
        <w:rPr>
          <w:b/>
        </w:rPr>
        <w:t xml:space="preserve"> October</w:t>
      </w:r>
      <w:r>
        <w:rPr>
          <w:b/>
        </w:rPr>
        <w:t xml:space="preserve"> 2017</w:t>
      </w:r>
    </w:p>
    <w:p w:rsidR="00AB32F7" w:rsidRPr="008268C5" w:rsidRDefault="00AB32F7" w:rsidP="00AB32F7">
      <w:r w:rsidRPr="008268C5">
        <w:t xml:space="preserve">Geneva, </w:t>
      </w:r>
      <w:r w:rsidR="00FB1A29">
        <w:t>6</w:t>
      </w:r>
      <w:r w:rsidR="00875C74">
        <w:t>-</w:t>
      </w:r>
      <w:r w:rsidR="00B25EB2" w:rsidRPr="008268C5">
        <w:t>1</w:t>
      </w:r>
      <w:r w:rsidR="00FB1A29">
        <w:t>0</w:t>
      </w:r>
      <w:r w:rsidRPr="008268C5">
        <w:t xml:space="preserve"> </w:t>
      </w:r>
      <w:r w:rsidR="00FB1A29">
        <w:t>November</w:t>
      </w:r>
      <w:r w:rsidRPr="008268C5">
        <w:t xml:space="preserve"> </w:t>
      </w:r>
      <w:r w:rsidR="00B25EB2" w:rsidRPr="008268C5">
        <w:t>201</w:t>
      </w:r>
      <w:r w:rsidR="00A44D24">
        <w:t>7</w:t>
      </w:r>
    </w:p>
    <w:p w:rsidR="00EF1182" w:rsidRPr="00BC69D7" w:rsidRDefault="00EF1182" w:rsidP="00EF1182">
      <w:r w:rsidRPr="00BC69D7">
        <w:t>Item 5 (a) of the provisional agenda</w:t>
      </w:r>
    </w:p>
    <w:p w:rsidR="00EF1182" w:rsidRPr="00EF1182" w:rsidRDefault="00EF1182" w:rsidP="00EF1182">
      <w:pPr>
        <w:rPr>
          <w:b/>
        </w:rPr>
      </w:pPr>
      <w:r w:rsidRPr="00EF1182">
        <w:rPr>
          <w:b/>
        </w:rPr>
        <w:t>Proposals for amendments to Annexes A and B of ADR:</w:t>
      </w:r>
    </w:p>
    <w:p w:rsidR="002F3C64" w:rsidRPr="00D105AA" w:rsidRDefault="00EF1182" w:rsidP="00EF1182">
      <w:pPr>
        <w:rPr>
          <w:b/>
        </w:rPr>
      </w:pPr>
      <w:proofErr w:type="gramStart"/>
      <w:r w:rsidRPr="00EF1182">
        <w:rPr>
          <w:b/>
        </w:rPr>
        <w:t>construction</w:t>
      </w:r>
      <w:proofErr w:type="gramEnd"/>
      <w:r w:rsidRPr="00EF1182">
        <w:rPr>
          <w:b/>
        </w:rPr>
        <w:t xml:space="preserve"> and approval of vehicles</w:t>
      </w:r>
    </w:p>
    <w:p w:rsidR="00A30C84" w:rsidRPr="00EF1182" w:rsidRDefault="003D3380" w:rsidP="00EF1182">
      <w:pPr>
        <w:pStyle w:val="HChG"/>
      </w:pPr>
      <w:r w:rsidRPr="008268C5">
        <w:rPr>
          <w:lang w:val="en-GB"/>
        </w:rPr>
        <w:tab/>
      </w:r>
      <w:r w:rsidRPr="008268C5">
        <w:rPr>
          <w:lang w:val="en-GB"/>
        </w:rPr>
        <w:tab/>
      </w:r>
      <w:r w:rsidR="00EF1182" w:rsidRPr="00BC69D7">
        <w:t>Clarification of the requirements for EX/II and EX/III vehicles in 9.3.4.2 of ADR</w:t>
      </w:r>
    </w:p>
    <w:p w:rsidR="00A30C84" w:rsidRDefault="00A30C84" w:rsidP="00A30C84">
      <w:pPr>
        <w:pStyle w:val="H1G"/>
      </w:pPr>
      <w:r>
        <w:tab/>
      </w:r>
      <w:r>
        <w:tab/>
        <w:t xml:space="preserve">Transmitted by the Government of </w:t>
      </w:r>
      <w:r w:rsidR="00EF1182">
        <w:t>Germany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EF1182" w:rsidRPr="00BC69D7" w:rsidTr="00EF1182">
        <w:trPr>
          <w:jc w:val="center"/>
        </w:trPr>
        <w:tc>
          <w:tcPr>
            <w:tcW w:w="9629" w:type="dxa"/>
            <w:tcBorders>
              <w:bottom w:val="nil"/>
            </w:tcBorders>
            <w:shd w:val="clear" w:color="auto" w:fill="auto"/>
          </w:tcPr>
          <w:p w:rsidR="00EF1182" w:rsidRPr="00BC69D7" w:rsidRDefault="00EF1182" w:rsidP="003E0CB0">
            <w:pPr>
              <w:tabs>
                <w:tab w:val="left" w:pos="255"/>
              </w:tabs>
              <w:suppressAutoHyphens w:val="0"/>
              <w:spacing w:before="240" w:after="120"/>
              <w:rPr>
                <w:rFonts w:eastAsia="Arial"/>
                <w:sz w:val="24"/>
              </w:rPr>
            </w:pPr>
            <w:r w:rsidRPr="00BC69D7">
              <w:br w:type="page"/>
            </w:r>
            <w:r w:rsidRPr="00BC69D7">
              <w:rPr>
                <w:rFonts w:eastAsia="Arial"/>
              </w:rPr>
              <w:tab/>
            </w:r>
            <w:r w:rsidRPr="00BC69D7">
              <w:rPr>
                <w:rFonts w:eastAsia="Arial"/>
                <w:i/>
                <w:sz w:val="24"/>
              </w:rPr>
              <w:t>Summary</w:t>
            </w:r>
          </w:p>
        </w:tc>
      </w:tr>
      <w:tr w:rsidR="00EF1182" w:rsidRPr="00BC69D7" w:rsidTr="00EF1182">
        <w:trPr>
          <w:jc w:val="center"/>
        </w:trPr>
        <w:tc>
          <w:tcPr>
            <w:tcW w:w="9629" w:type="dxa"/>
            <w:tcBorders>
              <w:top w:val="nil"/>
              <w:bottom w:val="nil"/>
            </w:tcBorders>
            <w:shd w:val="clear" w:color="auto" w:fill="auto"/>
          </w:tcPr>
          <w:p w:rsidR="00EF1182" w:rsidRPr="00BC69D7" w:rsidRDefault="00EF1182" w:rsidP="003E0CB0">
            <w:pPr>
              <w:tabs>
                <w:tab w:val="left" w:pos="3260"/>
              </w:tabs>
              <w:spacing w:after="120"/>
              <w:ind w:left="3260" w:right="1134" w:hanging="2126"/>
              <w:jc w:val="both"/>
              <w:rPr>
                <w:b/>
                <w:szCs w:val="22"/>
              </w:rPr>
            </w:pPr>
            <w:r w:rsidRPr="00BC69D7">
              <w:rPr>
                <w:b/>
                <w:szCs w:val="22"/>
              </w:rPr>
              <w:t>Executive summary</w:t>
            </w:r>
            <w:r w:rsidRPr="00BC69D7">
              <w:rPr>
                <w:szCs w:val="22"/>
              </w:rPr>
              <w:t>:</w:t>
            </w:r>
            <w:r w:rsidRPr="00BC69D7">
              <w:rPr>
                <w:szCs w:val="22"/>
              </w:rPr>
              <w:tab/>
            </w:r>
            <w:r w:rsidRPr="00BC69D7">
              <w:t xml:space="preserve">Additional guidance on the German proposal 2017/20 for WP.15 as well as presentation of the results and of technical data from the fire test performed in accordance with DIN EN 13823:2002-06 (SBI test) by the Materials Testing Institute for Building in Hanover (MPA </w:t>
            </w:r>
            <w:proofErr w:type="spellStart"/>
            <w:r w:rsidRPr="00BC69D7">
              <w:t>Bau</w:t>
            </w:r>
            <w:proofErr w:type="spellEnd"/>
            <w:r w:rsidRPr="00BC69D7">
              <w:t xml:space="preserve"> Hannover).</w:t>
            </w:r>
          </w:p>
        </w:tc>
      </w:tr>
      <w:tr w:rsidR="00EF1182" w:rsidRPr="00BC69D7" w:rsidTr="00EF1182">
        <w:trPr>
          <w:jc w:val="center"/>
        </w:trPr>
        <w:tc>
          <w:tcPr>
            <w:tcW w:w="9629" w:type="dxa"/>
            <w:tcBorders>
              <w:top w:val="nil"/>
              <w:bottom w:val="nil"/>
            </w:tcBorders>
            <w:shd w:val="clear" w:color="auto" w:fill="auto"/>
          </w:tcPr>
          <w:p w:rsidR="00EF1182" w:rsidRPr="00BC69D7" w:rsidRDefault="00EF1182" w:rsidP="00DA4212">
            <w:pPr>
              <w:tabs>
                <w:tab w:val="left" w:pos="3260"/>
              </w:tabs>
              <w:spacing w:after="120"/>
              <w:ind w:left="3260" w:right="1134" w:hanging="2126"/>
              <w:jc w:val="both"/>
              <w:rPr>
                <w:rFonts w:eastAsia="Arial"/>
              </w:rPr>
            </w:pPr>
            <w:r w:rsidRPr="00BC69D7">
              <w:rPr>
                <w:rFonts w:eastAsia="Arial"/>
                <w:b/>
              </w:rPr>
              <w:t>Action to be taken</w:t>
            </w:r>
            <w:r w:rsidRPr="00BC69D7">
              <w:rPr>
                <w:rFonts w:eastAsia="Arial"/>
              </w:rPr>
              <w:t>:</w:t>
            </w:r>
            <w:r w:rsidRPr="00BC69D7">
              <w:rPr>
                <w:rFonts w:eastAsia="Arial"/>
              </w:rPr>
              <w:tab/>
            </w:r>
            <w:r w:rsidRPr="00BC69D7">
              <w:t>Discussion</w:t>
            </w:r>
          </w:p>
        </w:tc>
      </w:tr>
      <w:tr w:rsidR="00EF1182" w:rsidRPr="00BC69D7" w:rsidTr="00EF1182">
        <w:trPr>
          <w:jc w:val="center"/>
        </w:trPr>
        <w:tc>
          <w:tcPr>
            <w:tcW w:w="9629" w:type="dxa"/>
            <w:tcBorders>
              <w:top w:val="nil"/>
              <w:bottom w:val="nil"/>
            </w:tcBorders>
            <w:shd w:val="clear" w:color="auto" w:fill="auto"/>
          </w:tcPr>
          <w:p w:rsidR="00EF1182" w:rsidRPr="00BC69D7" w:rsidRDefault="00EF1182" w:rsidP="003E0CB0">
            <w:pPr>
              <w:tabs>
                <w:tab w:val="left" w:pos="3260"/>
              </w:tabs>
              <w:spacing w:after="120"/>
              <w:ind w:left="3260" w:right="1134" w:hanging="2126"/>
              <w:jc w:val="both"/>
              <w:rPr>
                <w:lang w:eastAsia="fr-FR"/>
              </w:rPr>
            </w:pPr>
            <w:r w:rsidRPr="00BC69D7">
              <w:rPr>
                <w:rFonts w:eastAsia="Arial"/>
                <w:b/>
              </w:rPr>
              <w:t>Reference documents</w:t>
            </w:r>
            <w:r w:rsidRPr="00BC69D7">
              <w:rPr>
                <w:rFonts w:eastAsia="Arial"/>
              </w:rPr>
              <w:t>:</w:t>
            </w:r>
            <w:r w:rsidRPr="00BC69D7">
              <w:rPr>
                <w:rFonts w:eastAsia="Arial"/>
              </w:rPr>
              <w:tab/>
            </w:r>
            <w:r w:rsidRPr="00BC69D7">
              <w:rPr>
                <w:lang w:eastAsia="fr-FR"/>
              </w:rPr>
              <w:t>Working Document (ECE-TRANS-WP15-2017-20e)</w:t>
            </w:r>
          </w:p>
          <w:p w:rsidR="00EF1182" w:rsidRPr="00BC69D7" w:rsidRDefault="00EF1182" w:rsidP="00EF1182">
            <w:pPr>
              <w:tabs>
                <w:tab w:val="left" w:pos="3260"/>
              </w:tabs>
              <w:spacing w:after="120"/>
              <w:ind w:left="3260" w:right="1134"/>
              <w:jc w:val="both"/>
              <w:rPr>
                <w:lang w:val="en-US"/>
              </w:rPr>
            </w:pPr>
            <w:r w:rsidRPr="00BC69D7">
              <w:rPr>
                <w:lang w:eastAsia="fr-FR"/>
              </w:rPr>
              <w:t>Report of the 102nd WP.15 meeting (ECE/TRANS/WP.15/237; paragraphs 20-23)</w:t>
            </w:r>
          </w:p>
        </w:tc>
      </w:tr>
      <w:tr w:rsidR="00EF1182" w:rsidRPr="00BC69D7" w:rsidTr="00EF1182">
        <w:trPr>
          <w:jc w:val="center"/>
        </w:trPr>
        <w:tc>
          <w:tcPr>
            <w:tcW w:w="9629" w:type="dxa"/>
            <w:tcBorders>
              <w:top w:val="nil"/>
            </w:tcBorders>
            <w:shd w:val="clear" w:color="auto" w:fill="auto"/>
          </w:tcPr>
          <w:p w:rsidR="00EF1182" w:rsidRPr="00BC69D7" w:rsidRDefault="00EF1182" w:rsidP="003E0CB0">
            <w:pPr>
              <w:suppressAutoHyphens w:val="0"/>
              <w:rPr>
                <w:rFonts w:eastAsia="Arial"/>
              </w:rPr>
            </w:pPr>
          </w:p>
        </w:tc>
      </w:tr>
    </w:tbl>
    <w:p w:rsidR="00EF1182" w:rsidRPr="00BC69D7" w:rsidRDefault="00A30C84" w:rsidP="00EF1182">
      <w:pPr>
        <w:pStyle w:val="HChG"/>
      </w:pPr>
      <w:r>
        <w:tab/>
      </w:r>
      <w:r>
        <w:tab/>
      </w:r>
      <w:r w:rsidR="00EF1182" w:rsidRPr="00BC69D7">
        <w:t>Information</w:t>
      </w:r>
    </w:p>
    <w:p w:rsidR="00EF1182" w:rsidRPr="00BC69D7" w:rsidRDefault="00EF1182" w:rsidP="00EF1182">
      <w:pPr>
        <w:pStyle w:val="SingleTxtG"/>
      </w:pPr>
      <w:r w:rsidRPr="00BC69D7">
        <w:t>1.</w:t>
      </w:r>
      <w:r w:rsidRPr="00BC69D7">
        <w:tab/>
        <w:t>Germany asked WP.15 how the requirements in 9.3.4.2 of ADR were to be understood with regard to the materials used for the construction of the inside of the body of EX/III vehicles. The issue was discussed during the last (102</w:t>
      </w:r>
      <w:r w:rsidRPr="00BC69D7">
        <w:rPr>
          <w:vertAlign w:val="superscript"/>
        </w:rPr>
        <w:t>nd</w:t>
      </w:r>
      <w:r w:rsidRPr="00BC69D7">
        <w:t>) session of WP.15 in May 2017. In the end, tests and further data to serve as a basis for decision by WP.15 were requested. (see Report ECE/TRANS/WP.15/237; paragraphs 20-23)</w:t>
      </w:r>
    </w:p>
    <w:p w:rsidR="00EF1182" w:rsidRPr="00BC69D7" w:rsidRDefault="00EF1182" w:rsidP="00EF1182">
      <w:pPr>
        <w:pStyle w:val="SingleTxtG"/>
      </w:pPr>
      <w:r w:rsidRPr="00BC69D7">
        <w:t>2.</w:t>
      </w:r>
      <w:r w:rsidRPr="00BC69D7">
        <w:tab/>
        <w:t xml:space="preserve">Germany follows the recommendation made by WP.15. The requested test results and technical data of a sandwich panel from the submitted expert opinion are presented in the </w:t>
      </w:r>
      <w:proofErr w:type="spellStart"/>
      <w:r w:rsidR="00A57342">
        <w:rPr>
          <w:lang w:val="fr-CH"/>
        </w:rPr>
        <w:t>present</w:t>
      </w:r>
      <w:proofErr w:type="spellEnd"/>
      <w:r w:rsidR="00A57342">
        <w:rPr>
          <w:lang w:val="fr-CH"/>
        </w:rPr>
        <w:t xml:space="preserve"> </w:t>
      </w:r>
      <w:proofErr w:type="spellStart"/>
      <w:r w:rsidR="00A57342">
        <w:rPr>
          <w:lang w:val="fr-CH"/>
        </w:rPr>
        <w:t>informal</w:t>
      </w:r>
      <w:proofErr w:type="spellEnd"/>
      <w:r w:rsidR="00A57342">
        <w:rPr>
          <w:lang w:val="fr-CH"/>
        </w:rPr>
        <w:t xml:space="preserve"> document and addendum</w:t>
      </w:r>
      <w:r w:rsidRPr="00BC69D7">
        <w:t>.</w:t>
      </w:r>
    </w:p>
    <w:p w:rsidR="00EF1182" w:rsidRPr="00BC69D7" w:rsidRDefault="00EF1182" w:rsidP="00EF1182">
      <w:pPr>
        <w:pStyle w:val="SingleTxtG"/>
      </w:pPr>
      <w:r w:rsidRPr="00BC69D7">
        <w:t>3.</w:t>
      </w:r>
      <w:r w:rsidRPr="00BC69D7">
        <w:tab/>
        <w:t xml:space="preserve">MPA </w:t>
      </w:r>
      <w:proofErr w:type="spellStart"/>
      <w:r w:rsidRPr="00BC69D7">
        <w:t>Bau</w:t>
      </w:r>
      <w:proofErr w:type="spellEnd"/>
      <w:r w:rsidRPr="00BC69D7">
        <w:t xml:space="preserve"> Hannover performed a fire test in accordance with DIN EN 13823:2002-06 (SBI test). The applied procedure is described on the first page of the material test report of MPA </w:t>
      </w:r>
      <w:proofErr w:type="spellStart"/>
      <w:r w:rsidRPr="00BC69D7">
        <w:t>Bau</w:t>
      </w:r>
      <w:proofErr w:type="spellEnd"/>
      <w:r w:rsidRPr="00BC69D7">
        <w:t xml:space="preserve"> Hannover (100149-Dra). Information on the test results can be found on pages 2 to 12 and is provided in full in </w:t>
      </w:r>
      <w:r w:rsidR="00A57342">
        <w:rPr>
          <w:lang w:val="fr-CH"/>
        </w:rPr>
        <w:t>Addendum 1</w:t>
      </w:r>
      <w:bookmarkStart w:id="0" w:name="_GoBack"/>
      <w:bookmarkEnd w:id="0"/>
      <w:r w:rsidRPr="00BC69D7">
        <w:t xml:space="preserve"> (German only).</w:t>
      </w:r>
    </w:p>
    <w:p w:rsidR="00EF1182" w:rsidRPr="00BC69D7" w:rsidRDefault="00EF1182" w:rsidP="00EF1182">
      <w:pPr>
        <w:pStyle w:val="SingleTxtG"/>
      </w:pPr>
      <w:r w:rsidRPr="00BC69D7">
        <w:t>4.</w:t>
      </w:r>
      <w:r w:rsidRPr="00BC69D7">
        <w:tab/>
        <w:t>In the following, Germany summarizes the results of the material test report carried out by the Hanover Materials Testing Institute for Building (100149-Dra).</w:t>
      </w:r>
    </w:p>
    <w:p w:rsidR="00EF1182" w:rsidRPr="00BC69D7" w:rsidRDefault="00EF1182" w:rsidP="00EF1182">
      <w:pPr>
        <w:pStyle w:val="HChG"/>
      </w:pPr>
      <w:r w:rsidRPr="00BC69D7">
        <w:lastRenderedPageBreak/>
        <w:tab/>
      </w:r>
      <w:r w:rsidRPr="00BC69D7">
        <w:tab/>
        <w:t>Introduction</w:t>
      </w:r>
    </w:p>
    <w:p w:rsidR="00EF1182" w:rsidRPr="00BC69D7" w:rsidRDefault="00EF1182" w:rsidP="00EF1182">
      <w:pPr>
        <w:pStyle w:val="SingleTxtG"/>
      </w:pPr>
      <w:r w:rsidRPr="00BC69D7">
        <w:t>5.</w:t>
      </w:r>
      <w:r w:rsidRPr="00BC69D7">
        <w:tab/>
        <w:t xml:space="preserve">9.3.4.2 of ADR requires using materials that, in accordance with standard EN 13501-1:2007 + A1:2009, are assigned to class B-s3-d2. To comply with the requirements of the above-mentioned standard, the material must meet the criteria of standard EN ISO 11925-2 (exposure period 30 seconds, flame spread after an additional 30 seconds must not exceed 150 mm above flame point). </w:t>
      </w:r>
    </w:p>
    <w:p w:rsidR="00EF1182" w:rsidRPr="00BC69D7" w:rsidRDefault="00EF1182" w:rsidP="00EF1182">
      <w:pPr>
        <w:pStyle w:val="SingleTxtG"/>
      </w:pPr>
      <w:r w:rsidRPr="00BC69D7">
        <w:t>6.</w:t>
      </w:r>
      <w:r w:rsidRPr="00BC69D7">
        <w:tab/>
        <w:t>After this has been proven (EN ISO 11925-2), the following criteria of EN 13823 must additionally be met: FIGRA0.2MJ ≤ 120W/s (fire growth rate) and THR600s ≤ 7.5MJ (total heat release).</w:t>
      </w:r>
    </w:p>
    <w:p w:rsidR="00EF1182" w:rsidRPr="00BC69D7" w:rsidRDefault="00EF1182" w:rsidP="00EF1182">
      <w:pPr>
        <w:pStyle w:val="SingleTxtG"/>
      </w:pPr>
      <w:r w:rsidRPr="00BC69D7">
        <w:t>7.</w:t>
      </w:r>
      <w:r w:rsidRPr="00BC69D7">
        <w:tab/>
        <w:t>Under 14.1 of standard EN 13501-1, the following comment can be found with regard to the values “s3” (smoke production) and “d2” (flaming droplets/particles): if the classification of a construction product contains the addition “s3” and/or “d2”, this means that the construction product does not need to comply with threshold values.</w:t>
      </w:r>
    </w:p>
    <w:p w:rsidR="00EF1182" w:rsidRPr="00BC69D7" w:rsidRDefault="00EF1182" w:rsidP="00EF1182">
      <w:pPr>
        <w:pStyle w:val="SingleTxtG"/>
      </w:pPr>
      <w:r w:rsidRPr="00BC69D7">
        <w:t>8.</w:t>
      </w:r>
      <w:r w:rsidRPr="00BC69D7">
        <w:tab/>
        <w:t>Description of the test setup and sample preparation</w:t>
      </w:r>
    </w:p>
    <w:p w:rsidR="00EF1182" w:rsidRPr="00BC69D7" w:rsidRDefault="00EF1182" w:rsidP="00EF1182">
      <w:pPr>
        <w:pStyle w:val="SingleTxtG"/>
      </w:pPr>
      <w:r w:rsidRPr="00BC69D7">
        <w:t xml:space="preserve">The pages one to three of the test report describe the sample and the test setup. </w:t>
      </w:r>
    </w:p>
    <w:p w:rsidR="00EF1182" w:rsidRPr="00BC69D7" w:rsidRDefault="00EF1182" w:rsidP="00DA4212">
      <w:pPr>
        <w:pStyle w:val="Bullet1G"/>
      </w:pPr>
      <w:r w:rsidRPr="00BC69D7">
        <w:t>sandwich panel element corner made of solid material insulating layer as well as steel and aluminium sheets;</w:t>
      </w:r>
    </w:p>
    <w:p w:rsidR="00EF1182" w:rsidRPr="00BC69D7" w:rsidRDefault="00EF1182" w:rsidP="00DA4212">
      <w:pPr>
        <w:pStyle w:val="Bullet1G"/>
      </w:pPr>
      <w:r w:rsidRPr="00BC69D7">
        <w:t>long side with vertical joint and special soft rubber sealing;</w:t>
      </w:r>
    </w:p>
    <w:p w:rsidR="00EF1182" w:rsidRPr="00BC69D7" w:rsidRDefault="00EF1182" w:rsidP="00DA4212">
      <w:pPr>
        <w:pStyle w:val="Bullet1G"/>
      </w:pPr>
      <w:proofErr w:type="gramStart"/>
      <w:r w:rsidRPr="00BC69D7">
        <w:t>short</w:t>
      </w:r>
      <w:proofErr w:type="gramEnd"/>
      <w:r w:rsidRPr="00BC69D7">
        <w:t xml:space="preserve"> side with EPDM sealing and cover on the side where the flame is to be applied).</w:t>
      </w:r>
    </w:p>
    <w:p w:rsidR="00EF1182" w:rsidRPr="00BC69D7" w:rsidRDefault="00EF1182" w:rsidP="00EF1182">
      <w:pPr>
        <w:pStyle w:val="SingleTxtG"/>
      </w:pPr>
      <w:r w:rsidRPr="00BC69D7">
        <w:t>9.</w:t>
      </w:r>
      <w:r w:rsidRPr="00BC69D7">
        <w:tab/>
        <w:t>Results of the test report</w:t>
      </w:r>
    </w:p>
    <w:p w:rsidR="00EF1182" w:rsidRPr="00BC69D7" w:rsidRDefault="00EF1182" w:rsidP="00EF1182">
      <w:pPr>
        <w:pStyle w:val="SingleTxtG"/>
      </w:pPr>
      <w:r w:rsidRPr="00BC69D7">
        <w:t xml:space="preserve">A summary of the test results can be found on page three under item 7. The above-mentioned required criteria are specified in table 2. </w:t>
      </w:r>
    </w:p>
    <w:p w:rsidR="00EF1182" w:rsidRPr="00BC69D7" w:rsidRDefault="00EF1182" w:rsidP="00EF1182">
      <w:pPr>
        <w:pStyle w:val="SingleTxtG"/>
      </w:pPr>
      <w:r w:rsidRPr="00BC69D7">
        <w:t xml:space="preserve">From the test report it can be seen that the obtained values stay far below the threshold values (FIGRA0.2MJ ≤ 15.2W/s and THR600s ≤ 2.03MJ). </w:t>
      </w:r>
    </w:p>
    <w:p w:rsidR="00EF1182" w:rsidRPr="00BC69D7" w:rsidRDefault="00EF1182" w:rsidP="00EF1182">
      <w:pPr>
        <w:pStyle w:val="SingleTxtG"/>
      </w:pPr>
      <w:r w:rsidRPr="00BC69D7">
        <w:t>10.</w:t>
      </w:r>
      <w:r w:rsidRPr="00BC69D7">
        <w:tab/>
        <w:t>Therefore, as a conclusion, it can be noted that the sample complies with the required standard in accordance with 9.3.4.2 and, for this reason, the material can be used for the construction of vehicles that carry dangerous goods of category EX/III.</w:t>
      </w:r>
    </w:p>
    <w:p w:rsidR="00EF1182" w:rsidRPr="00BC69D7" w:rsidRDefault="00EF1182" w:rsidP="00EF1182">
      <w:pPr>
        <w:spacing w:before="240"/>
        <w:ind w:left="1134" w:right="1134"/>
        <w:jc w:val="center"/>
        <w:rPr>
          <w:u w:val="single"/>
        </w:rPr>
      </w:pPr>
      <w:r w:rsidRPr="00BC69D7">
        <w:rPr>
          <w:u w:val="single"/>
        </w:rPr>
        <w:tab/>
      </w:r>
      <w:r w:rsidRPr="00BC69D7">
        <w:rPr>
          <w:u w:val="single"/>
        </w:rPr>
        <w:tab/>
      </w:r>
      <w:r w:rsidRPr="00BC69D7">
        <w:rPr>
          <w:u w:val="single"/>
        </w:rPr>
        <w:tab/>
      </w:r>
    </w:p>
    <w:sectPr w:rsidR="00EF1182" w:rsidRPr="00BC69D7" w:rsidSect="00AC36B7">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09" w:rsidRDefault="00BC7D09"/>
  </w:endnote>
  <w:endnote w:type="continuationSeparator" w:id="0">
    <w:p w:rsidR="00BC7D09" w:rsidRDefault="00BC7D09"/>
  </w:endnote>
  <w:endnote w:type="continuationNotice" w:id="1">
    <w:p w:rsidR="00BC7D09" w:rsidRDefault="00BC7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A57342">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EF1182">
      <w:rPr>
        <w:b/>
        <w:noProof/>
        <w:sz w:val="18"/>
      </w:rPr>
      <w:t>3</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09" w:rsidRPr="000B175B" w:rsidRDefault="00BC7D09" w:rsidP="000B175B">
      <w:pPr>
        <w:tabs>
          <w:tab w:val="right" w:pos="2155"/>
        </w:tabs>
        <w:spacing w:after="80"/>
        <w:ind w:left="680"/>
        <w:rPr>
          <w:u w:val="single"/>
        </w:rPr>
      </w:pPr>
      <w:r>
        <w:rPr>
          <w:u w:val="single"/>
        </w:rPr>
        <w:tab/>
      </w:r>
    </w:p>
  </w:footnote>
  <w:footnote w:type="continuationSeparator" w:id="0">
    <w:p w:rsidR="00BC7D09" w:rsidRPr="00FC68B7" w:rsidRDefault="00BC7D09" w:rsidP="00FC68B7">
      <w:pPr>
        <w:tabs>
          <w:tab w:val="left" w:pos="2155"/>
        </w:tabs>
        <w:spacing w:after="80"/>
        <w:ind w:left="680"/>
        <w:rPr>
          <w:u w:val="single"/>
        </w:rPr>
      </w:pPr>
      <w:r>
        <w:rPr>
          <w:u w:val="single"/>
        </w:rPr>
        <w:tab/>
      </w:r>
    </w:p>
  </w:footnote>
  <w:footnote w:type="continuationNotice" w:id="1">
    <w:p w:rsidR="00BC7D09" w:rsidRDefault="00BC7D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EF1182">
      <w:rPr>
        <w:szCs w:val="18"/>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0D7449">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48011DD7"/>
    <w:multiLevelType w:val="multilevel"/>
    <w:tmpl w:val="0409001D"/>
    <w:numStyleLink w:val="1ai"/>
  </w:abstractNum>
  <w:abstractNum w:abstractNumId="17"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5A913DDA"/>
    <w:multiLevelType w:val="hybridMultilevel"/>
    <w:tmpl w:val="EE5C001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22"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9"/>
  </w:num>
  <w:num w:numId="15">
    <w:abstractNumId w:val="12"/>
  </w:num>
  <w:num w:numId="16">
    <w:abstractNumId w:val="11"/>
  </w:num>
  <w:num w:numId="17">
    <w:abstractNumId w:val="22"/>
  </w:num>
  <w:num w:numId="18">
    <w:abstractNumId w:val="20"/>
  </w:num>
  <w:num w:numId="19">
    <w:abstractNumId w:val="15"/>
  </w:num>
  <w:num w:numId="20">
    <w:abstractNumId w:val="17"/>
  </w:num>
  <w:num w:numId="21">
    <w:abstractNumId w:val="21"/>
  </w:num>
  <w:num w:numId="22">
    <w:abstractNumId w:val="16"/>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5B8"/>
    <w:rsid w:val="00013E97"/>
    <w:rsid w:val="000149A1"/>
    <w:rsid w:val="000218B5"/>
    <w:rsid w:val="000260EE"/>
    <w:rsid w:val="000375AD"/>
    <w:rsid w:val="00037F9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D7449"/>
    <w:rsid w:val="000E0415"/>
    <w:rsid w:val="000E5C70"/>
    <w:rsid w:val="000E6237"/>
    <w:rsid w:val="00101DB8"/>
    <w:rsid w:val="00103CC1"/>
    <w:rsid w:val="00104CDA"/>
    <w:rsid w:val="001103AA"/>
    <w:rsid w:val="0011119B"/>
    <w:rsid w:val="0011666B"/>
    <w:rsid w:val="0012118B"/>
    <w:rsid w:val="001211F5"/>
    <w:rsid w:val="001362A8"/>
    <w:rsid w:val="00141383"/>
    <w:rsid w:val="00142AB2"/>
    <w:rsid w:val="00154657"/>
    <w:rsid w:val="00155068"/>
    <w:rsid w:val="001644E3"/>
    <w:rsid w:val="00165F3A"/>
    <w:rsid w:val="00177CE8"/>
    <w:rsid w:val="0018210E"/>
    <w:rsid w:val="00186D7B"/>
    <w:rsid w:val="00193CA7"/>
    <w:rsid w:val="0019451E"/>
    <w:rsid w:val="001A1DCF"/>
    <w:rsid w:val="001A6E55"/>
    <w:rsid w:val="001B08A2"/>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21AA"/>
    <w:rsid w:val="0022321E"/>
    <w:rsid w:val="00225730"/>
    <w:rsid w:val="00233955"/>
    <w:rsid w:val="0023539C"/>
    <w:rsid w:val="00236A96"/>
    <w:rsid w:val="0023771B"/>
    <w:rsid w:val="0024023A"/>
    <w:rsid w:val="00243217"/>
    <w:rsid w:val="00246DAC"/>
    <w:rsid w:val="00247BDC"/>
    <w:rsid w:val="00250A58"/>
    <w:rsid w:val="00252290"/>
    <w:rsid w:val="00252EEE"/>
    <w:rsid w:val="00267F5F"/>
    <w:rsid w:val="00280A1D"/>
    <w:rsid w:val="00284DBC"/>
    <w:rsid w:val="00286343"/>
    <w:rsid w:val="00286B4D"/>
    <w:rsid w:val="00291E09"/>
    <w:rsid w:val="002A0CC5"/>
    <w:rsid w:val="002A3C85"/>
    <w:rsid w:val="002A603B"/>
    <w:rsid w:val="002B46EB"/>
    <w:rsid w:val="002B742C"/>
    <w:rsid w:val="002C63B0"/>
    <w:rsid w:val="002D0CE4"/>
    <w:rsid w:val="002D2E24"/>
    <w:rsid w:val="002D4643"/>
    <w:rsid w:val="002D4B6C"/>
    <w:rsid w:val="002E20D5"/>
    <w:rsid w:val="002F175C"/>
    <w:rsid w:val="002F3C64"/>
    <w:rsid w:val="00301D76"/>
    <w:rsid w:val="00302E18"/>
    <w:rsid w:val="0030606F"/>
    <w:rsid w:val="00312976"/>
    <w:rsid w:val="003173A5"/>
    <w:rsid w:val="003229D8"/>
    <w:rsid w:val="00324058"/>
    <w:rsid w:val="0033230E"/>
    <w:rsid w:val="003358CF"/>
    <w:rsid w:val="00335D02"/>
    <w:rsid w:val="0034605E"/>
    <w:rsid w:val="00350BA2"/>
    <w:rsid w:val="00352709"/>
    <w:rsid w:val="00354ED9"/>
    <w:rsid w:val="0035741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418"/>
    <w:rsid w:val="003C2CC4"/>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5737E"/>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659C3"/>
    <w:rsid w:val="00584FAE"/>
    <w:rsid w:val="00586DB8"/>
    <w:rsid w:val="005933E3"/>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309EF"/>
    <w:rsid w:val="00633CDB"/>
    <w:rsid w:val="00640B26"/>
    <w:rsid w:val="00642081"/>
    <w:rsid w:val="00644CD3"/>
    <w:rsid w:val="00651B2F"/>
    <w:rsid w:val="00652D0A"/>
    <w:rsid w:val="0066005F"/>
    <w:rsid w:val="00661C95"/>
    <w:rsid w:val="006623D5"/>
    <w:rsid w:val="00662531"/>
    <w:rsid w:val="00662BB6"/>
    <w:rsid w:val="006634C7"/>
    <w:rsid w:val="00667F8F"/>
    <w:rsid w:val="00670BBE"/>
    <w:rsid w:val="006713A7"/>
    <w:rsid w:val="00671F98"/>
    <w:rsid w:val="00673C44"/>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6F303E"/>
    <w:rsid w:val="006F3CCF"/>
    <w:rsid w:val="00702574"/>
    <w:rsid w:val="00703577"/>
    <w:rsid w:val="00705894"/>
    <w:rsid w:val="0071793F"/>
    <w:rsid w:val="0072632A"/>
    <w:rsid w:val="007327D5"/>
    <w:rsid w:val="007418F1"/>
    <w:rsid w:val="00743E81"/>
    <w:rsid w:val="00753674"/>
    <w:rsid w:val="00754592"/>
    <w:rsid w:val="007611CF"/>
    <w:rsid w:val="007612FF"/>
    <w:rsid w:val="007629C8"/>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777A4"/>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B5119"/>
    <w:rsid w:val="008C400E"/>
    <w:rsid w:val="008C678F"/>
    <w:rsid w:val="008C7AFF"/>
    <w:rsid w:val="008D7341"/>
    <w:rsid w:val="008E0678"/>
    <w:rsid w:val="008E33CD"/>
    <w:rsid w:val="008E6480"/>
    <w:rsid w:val="008F03A8"/>
    <w:rsid w:val="008F5ACB"/>
    <w:rsid w:val="008F6CE6"/>
    <w:rsid w:val="00907BA5"/>
    <w:rsid w:val="0091190D"/>
    <w:rsid w:val="009223CA"/>
    <w:rsid w:val="00927829"/>
    <w:rsid w:val="00933E40"/>
    <w:rsid w:val="00934137"/>
    <w:rsid w:val="009408BB"/>
    <w:rsid w:val="00940F93"/>
    <w:rsid w:val="00943E66"/>
    <w:rsid w:val="0094558F"/>
    <w:rsid w:val="00946884"/>
    <w:rsid w:val="009536F9"/>
    <w:rsid w:val="00956168"/>
    <w:rsid w:val="00961690"/>
    <w:rsid w:val="0097110C"/>
    <w:rsid w:val="009760F3"/>
    <w:rsid w:val="00977203"/>
    <w:rsid w:val="00995AB4"/>
    <w:rsid w:val="0099754E"/>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33E7"/>
    <w:rsid w:val="00A5402C"/>
    <w:rsid w:val="00A56AAB"/>
    <w:rsid w:val="00A57342"/>
    <w:rsid w:val="00A72F22"/>
    <w:rsid w:val="00A7360F"/>
    <w:rsid w:val="00A748A6"/>
    <w:rsid w:val="00A769F4"/>
    <w:rsid w:val="00A776B4"/>
    <w:rsid w:val="00A86F6A"/>
    <w:rsid w:val="00A915B4"/>
    <w:rsid w:val="00A94361"/>
    <w:rsid w:val="00A95D61"/>
    <w:rsid w:val="00A970A8"/>
    <w:rsid w:val="00AA1F98"/>
    <w:rsid w:val="00AA293C"/>
    <w:rsid w:val="00AA5165"/>
    <w:rsid w:val="00AA55D5"/>
    <w:rsid w:val="00AA66C0"/>
    <w:rsid w:val="00AB32F7"/>
    <w:rsid w:val="00AB4050"/>
    <w:rsid w:val="00AC36B7"/>
    <w:rsid w:val="00AC5045"/>
    <w:rsid w:val="00AC6EC4"/>
    <w:rsid w:val="00AD44C2"/>
    <w:rsid w:val="00AD48FA"/>
    <w:rsid w:val="00AE0B20"/>
    <w:rsid w:val="00AE50F3"/>
    <w:rsid w:val="00AF7B8E"/>
    <w:rsid w:val="00B0614C"/>
    <w:rsid w:val="00B101E9"/>
    <w:rsid w:val="00B117CF"/>
    <w:rsid w:val="00B11BB4"/>
    <w:rsid w:val="00B11D71"/>
    <w:rsid w:val="00B12557"/>
    <w:rsid w:val="00B12CA6"/>
    <w:rsid w:val="00B2148A"/>
    <w:rsid w:val="00B21F96"/>
    <w:rsid w:val="00B22BC2"/>
    <w:rsid w:val="00B24F79"/>
    <w:rsid w:val="00B25EB2"/>
    <w:rsid w:val="00B27148"/>
    <w:rsid w:val="00B27885"/>
    <w:rsid w:val="00B30179"/>
    <w:rsid w:val="00B31424"/>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1184"/>
    <w:rsid w:val="00BB5635"/>
    <w:rsid w:val="00BB7CD1"/>
    <w:rsid w:val="00BC2725"/>
    <w:rsid w:val="00BC3FA0"/>
    <w:rsid w:val="00BC626B"/>
    <w:rsid w:val="00BC67E1"/>
    <w:rsid w:val="00BC74E9"/>
    <w:rsid w:val="00BC7D09"/>
    <w:rsid w:val="00BE4F17"/>
    <w:rsid w:val="00BF3CC6"/>
    <w:rsid w:val="00BF68A8"/>
    <w:rsid w:val="00BF6B31"/>
    <w:rsid w:val="00C00247"/>
    <w:rsid w:val="00C0468A"/>
    <w:rsid w:val="00C10FE6"/>
    <w:rsid w:val="00C11A03"/>
    <w:rsid w:val="00C11B49"/>
    <w:rsid w:val="00C217A5"/>
    <w:rsid w:val="00C22C0C"/>
    <w:rsid w:val="00C23978"/>
    <w:rsid w:val="00C25E1A"/>
    <w:rsid w:val="00C30215"/>
    <w:rsid w:val="00C33407"/>
    <w:rsid w:val="00C3410A"/>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285E"/>
    <w:rsid w:val="00CD2BAF"/>
    <w:rsid w:val="00CD46A7"/>
    <w:rsid w:val="00CD57D2"/>
    <w:rsid w:val="00CE1761"/>
    <w:rsid w:val="00CE1CFD"/>
    <w:rsid w:val="00CE3E6E"/>
    <w:rsid w:val="00CE4A8F"/>
    <w:rsid w:val="00CE4E67"/>
    <w:rsid w:val="00CF3164"/>
    <w:rsid w:val="00CF7AC0"/>
    <w:rsid w:val="00D13F4D"/>
    <w:rsid w:val="00D2031B"/>
    <w:rsid w:val="00D224BF"/>
    <w:rsid w:val="00D22523"/>
    <w:rsid w:val="00D25FE2"/>
    <w:rsid w:val="00D43252"/>
    <w:rsid w:val="00D44198"/>
    <w:rsid w:val="00D47EEA"/>
    <w:rsid w:val="00D47F36"/>
    <w:rsid w:val="00D5385E"/>
    <w:rsid w:val="00D550D4"/>
    <w:rsid w:val="00D56292"/>
    <w:rsid w:val="00D62742"/>
    <w:rsid w:val="00D63158"/>
    <w:rsid w:val="00D7419E"/>
    <w:rsid w:val="00D773DF"/>
    <w:rsid w:val="00D810EE"/>
    <w:rsid w:val="00D876F8"/>
    <w:rsid w:val="00D91A8D"/>
    <w:rsid w:val="00D9255F"/>
    <w:rsid w:val="00D95303"/>
    <w:rsid w:val="00D97453"/>
    <w:rsid w:val="00D978C6"/>
    <w:rsid w:val="00DA3C1C"/>
    <w:rsid w:val="00DA4212"/>
    <w:rsid w:val="00DA5024"/>
    <w:rsid w:val="00DB1304"/>
    <w:rsid w:val="00DB43CD"/>
    <w:rsid w:val="00DB6E62"/>
    <w:rsid w:val="00DC12A9"/>
    <w:rsid w:val="00DE37C6"/>
    <w:rsid w:val="00DE4970"/>
    <w:rsid w:val="00DE7486"/>
    <w:rsid w:val="00DF418D"/>
    <w:rsid w:val="00E01B7D"/>
    <w:rsid w:val="00E02661"/>
    <w:rsid w:val="00E046DF"/>
    <w:rsid w:val="00E14853"/>
    <w:rsid w:val="00E15557"/>
    <w:rsid w:val="00E21502"/>
    <w:rsid w:val="00E261FA"/>
    <w:rsid w:val="00E26778"/>
    <w:rsid w:val="00E27346"/>
    <w:rsid w:val="00E51E40"/>
    <w:rsid w:val="00E54F0D"/>
    <w:rsid w:val="00E5731F"/>
    <w:rsid w:val="00E62A14"/>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182"/>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1A29"/>
    <w:rsid w:val="00FB4C10"/>
    <w:rsid w:val="00FB613B"/>
    <w:rsid w:val="00FB7B98"/>
    <w:rsid w:val="00FC1945"/>
    <w:rsid w:val="00FC2EA1"/>
    <w:rsid w:val="00FC3938"/>
    <w:rsid w:val="00FC3C87"/>
    <w:rsid w:val="00FC68B7"/>
    <w:rsid w:val="00FD3588"/>
    <w:rsid w:val="00FE0275"/>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7D47242"/>
  <w15:chartTrackingRefBased/>
  <w15:docId w15:val="{DFF9A738-621B-45B7-88DF-E4FB45E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8503-8832-4790-BF34-A916C55C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3345</Characters>
  <Application>Microsoft Office Word</Application>
  <DocSecurity>0</DocSecurity>
  <Lines>27</Lines>
  <Paragraphs>7</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5</cp:revision>
  <cp:lastPrinted>2017-10-16T07:11:00Z</cp:lastPrinted>
  <dcterms:created xsi:type="dcterms:W3CDTF">2017-10-16T07:56:00Z</dcterms:created>
  <dcterms:modified xsi:type="dcterms:W3CDTF">2017-10-16T14:12:00Z</dcterms:modified>
</cp:coreProperties>
</file>