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DA7745"/>
        </w:tc>
        <w:tc>
          <w:tcPr>
            <w:tcW w:w="2268" w:type="dxa"/>
            <w:tcBorders>
              <w:bottom w:val="single" w:sz="4" w:space="0" w:color="auto"/>
            </w:tcBorders>
            <w:vAlign w:val="bottom"/>
          </w:tcPr>
          <w:p w:rsidR="00F35BAF" w:rsidRPr="00DB58B5" w:rsidRDefault="00F35BAF" w:rsidP="004140B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DA7745" w:rsidP="00013F5A">
            <w:pPr>
              <w:jc w:val="right"/>
            </w:pPr>
            <w:r w:rsidRPr="00DA7745">
              <w:rPr>
                <w:sz w:val="40"/>
              </w:rPr>
              <w:t>ECE</w:t>
            </w:r>
            <w:r>
              <w:t>/TRANS/WP.15/201</w:t>
            </w:r>
            <w:r w:rsidR="00013F5A">
              <w:t>7</w:t>
            </w:r>
            <w:r>
              <w:t>/</w:t>
            </w:r>
            <w:r w:rsidR="00013F5A">
              <w:t>3</w:t>
            </w:r>
          </w:p>
        </w:tc>
      </w:tr>
      <w:tr w:rsidR="00F35BAF" w:rsidRPr="00DB58B5" w:rsidTr="004140B7">
        <w:trPr>
          <w:trHeight w:hRule="exact" w:val="2835"/>
        </w:trPr>
        <w:tc>
          <w:tcPr>
            <w:tcW w:w="1276" w:type="dxa"/>
            <w:tcBorders>
              <w:top w:val="single" w:sz="4" w:space="0" w:color="auto"/>
              <w:bottom w:val="single" w:sz="12" w:space="0" w:color="auto"/>
            </w:tcBorders>
          </w:tcPr>
          <w:p w:rsidR="00F35BAF" w:rsidRPr="00DB58B5" w:rsidRDefault="00185A1D" w:rsidP="004140B7">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140B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DA7745" w:rsidP="004140B7">
            <w:pPr>
              <w:spacing w:before="240"/>
            </w:pPr>
            <w:r>
              <w:t>Distr. générale</w:t>
            </w:r>
          </w:p>
          <w:p w:rsidR="00DA7745" w:rsidRDefault="00237921" w:rsidP="00DA7745">
            <w:pPr>
              <w:spacing w:line="240" w:lineRule="exact"/>
            </w:pPr>
            <w:r>
              <w:t>20</w:t>
            </w:r>
            <w:r w:rsidR="00D105AA">
              <w:t xml:space="preserve"> février</w:t>
            </w:r>
            <w:r w:rsidR="00DA7745">
              <w:t xml:space="preserve"> 201</w:t>
            </w:r>
            <w:r w:rsidR="00013F5A">
              <w:t>7</w:t>
            </w:r>
          </w:p>
          <w:p w:rsidR="00DA7745" w:rsidRDefault="00DA7745" w:rsidP="00DA7745">
            <w:pPr>
              <w:spacing w:line="240" w:lineRule="exact"/>
            </w:pPr>
          </w:p>
          <w:p w:rsidR="00DA7745" w:rsidRPr="00DB58B5" w:rsidRDefault="00DA7745" w:rsidP="00E1615A">
            <w:pPr>
              <w:spacing w:line="240" w:lineRule="exact"/>
            </w:pPr>
            <w:r>
              <w:t xml:space="preserve">Original: </w:t>
            </w:r>
            <w:r w:rsidR="00E1615A">
              <w:t>français</w:t>
            </w:r>
          </w:p>
        </w:tc>
      </w:tr>
    </w:tbl>
    <w:p w:rsidR="007F20FA" w:rsidRPr="000312C0" w:rsidRDefault="007F20FA" w:rsidP="007F20FA">
      <w:pPr>
        <w:spacing w:before="120"/>
        <w:rPr>
          <w:b/>
          <w:sz w:val="28"/>
          <w:szCs w:val="28"/>
        </w:rPr>
      </w:pPr>
      <w:r w:rsidRPr="000312C0">
        <w:rPr>
          <w:b/>
          <w:sz w:val="28"/>
          <w:szCs w:val="28"/>
        </w:rPr>
        <w:t>Commission économique pour l</w:t>
      </w:r>
      <w:r w:rsidR="0046071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E77F73" w:rsidRPr="009E01B8" w:rsidRDefault="00E77F73" w:rsidP="00E85C74">
      <w:pPr>
        <w:spacing w:before="120"/>
        <w:rPr>
          <w:b/>
          <w:sz w:val="24"/>
          <w:szCs w:val="24"/>
        </w:rPr>
      </w:pPr>
      <w:r w:rsidRPr="009E01B8">
        <w:rPr>
          <w:b/>
          <w:sz w:val="24"/>
          <w:szCs w:val="24"/>
        </w:rPr>
        <w:t>Groupe de travail des transports de marchandises dangereuses</w:t>
      </w:r>
    </w:p>
    <w:p w:rsidR="00DA7745" w:rsidRPr="004539A2" w:rsidRDefault="00013F5A" w:rsidP="00DA7745">
      <w:pPr>
        <w:spacing w:before="120"/>
        <w:rPr>
          <w:rFonts w:eastAsia="SimSun"/>
          <w:b/>
        </w:rPr>
      </w:pPr>
      <w:r>
        <w:rPr>
          <w:rFonts w:eastAsia="SimSun"/>
          <w:b/>
        </w:rPr>
        <w:t>102e</w:t>
      </w:r>
      <w:r w:rsidR="00DA7745" w:rsidRPr="004539A2">
        <w:rPr>
          <w:rFonts w:eastAsia="SimSun"/>
          <w:b/>
        </w:rPr>
        <w:t xml:space="preserve"> session </w:t>
      </w:r>
    </w:p>
    <w:p w:rsidR="00DA7745" w:rsidRPr="004539A2" w:rsidRDefault="00DA7745" w:rsidP="00DA7745">
      <w:pPr>
        <w:rPr>
          <w:rFonts w:eastAsia="SimSun"/>
        </w:rPr>
      </w:pPr>
      <w:r w:rsidRPr="004539A2">
        <w:rPr>
          <w:rFonts w:eastAsia="SimSun"/>
        </w:rPr>
        <w:t xml:space="preserve">Genève, </w:t>
      </w:r>
      <w:r w:rsidR="00013F5A">
        <w:rPr>
          <w:rFonts w:eastAsia="SimSun"/>
        </w:rPr>
        <w:t>8</w:t>
      </w:r>
      <w:r>
        <w:rPr>
          <w:rFonts w:eastAsia="SimSun"/>
        </w:rPr>
        <w:t>-</w:t>
      </w:r>
      <w:r w:rsidR="000C376B">
        <w:rPr>
          <w:rFonts w:eastAsia="SimSun"/>
        </w:rPr>
        <w:t>1</w:t>
      </w:r>
      <w:r w:rsidR="00013F5A">
        <w:rPr>
          <w:rFonts w:eastAsia="SimSun"/>
        </w:rPr>
        <w:t>2</w:t>
      </w:r>
      <w:r w:rsidRPr="004539A2">
        <w:rPr>
          <w:rFonts w:eastAsia="SimSun"/>
        </w:rPr>
        <w:t xml:space="preserve"> mai 201</w:t>
      </w:r>
      <w:r w:rsidR="00013F5A">
        <w:rPr>
          <w:rFonts w:eastAsia="SimSun"/>
        </w:rPr>
        <w:t>7</w:t>
      </w:r>
      <w:r w:rsidRPr="004539A2">
        <w:rPr>
          <w:rFonts w:eastAsia="SimSun"/>
        </w:rPr>
        <w:t xml:space="preserve"> </w:t>
      </w:r>
    </w:p>
    <w:p w:rsidR="00DA7745" w:rsidRPr="004539A2" w:rsidRDefault="00DA7745" w:rsidP="00DA7745">
      <w:r w:rsidRPr="004539A2">
        <w:rPr>
          <w:rFonts w:eastAsia="SimSun"/>
        </w:rPr>
        <w:t>Point</w:t>
      </w:r>
      <w:r>
        <w:rPr>
          <w:rFonts w:eastAsia="SimSun"/>
        </w:rPr>
        <w:t xml:space="preserve"> </w:t>
      </w:r>
      <w:r w:rsidR="00013F5A">
        <w:t>5</w:t>
      </w:r>
      <w:r w:rsidR="00D105AA">
        <w:t xml:space="preserve"> b)</w:t>
      </w:r>
      <w:r w:rsidRPr="004539A2">
        <w:t xml:space="preserve"> de l</w:t>
      </w:r>
      <w:r w:rsidR="00460713">
        <w:t>’</w:t>
      </w:r>
      <w:r w:rsidRPr="004539A2">
        <w:t>ordre du jour provisoire</w:t>
      </w:r>
    </w:p>
    <w:p w:rsidR="00F9573C" w:rsidRPr="00D105AA" w:rsidRDefault="00D105AA" w:rsidP="00DA7745">
      <w:pPr>
        <w:rPr>
          <w:b/>
        </w:rPr>
      </w:pPr>
      <w:r w:rsidRPr="00D105AA">
        <w:rPr>
          <w:b/>
        </w:rPr>
        <w:t>Propositions d'amendement aux annexes A et B de l'ADR:</w:t>
      </w:r>
    </w:p>
    <w:p w:rsidR="000C376B" w:rsidRPr="00D105AA" w:rsidRDefault="00D105AA" w:rsidP="00DA7745">
      <w:pPr>
        <w:rPr>
          <w:b/>
        </w:rPr>
      </w:pPr>
      <w:r>
        <w:rPr>
          <w:b/>
          <w:lang w:val="fr-FR"/>
        </w:rPr>
        <w:t>p</w:t>
      </w:r>
      <w:r w:rsidRPr="00D105AA">
        <w:rPr>
          <w:b/>
          <w:lang w:val="fr-FR"/>
        </w:rPr>
        <w:t>ropositions diverses</w:t>
      </w:r>
    </w:p>
    <w:p w:rsidR="00DA7745" w:rsidRPr="004539A2" w:rsidRDefault="00DA7745" w:rsidP="00DA7745">
      <w:pPr>
        <w:pStyle w:val="HChG"/>
        <w:rPr>
          <w:sz w:val="20"/>
        </w:rPr>
      </w:pPr>
      <w:r w:rsidRPr="004539A2">
        <w:tab/>
      </w:r>
      <w:r w:rsidRPr="004539A2">
        <w:tab/>
      </w:r>
      <w:r w:rsidR="005C5AF2">
        <w:t xml:space="preserve">Application des restrictions en tunnel </w:t>
      </w:r>
      <w:r w:rsidR="00E1615A">
        <w:t>pour les rubriques des moteurs et machines</w:t>
      </w:r>
      <w:r w:rsidR="00391929">
        <w:t>,</w:t>
      </w:r>
      <w:r w:rsidR="00E1615A">
        <w:t xml:space="preserve"> </w:t>
      </w:r>
      <w:r w:rsidR="002E3DB8">
        <w:t xml:space="preserve">Nos ONU </w:t>
      </w:r>
      <w:r w:rsidR="00E1615A">
        <w:t>3528, 3529 et 3530</w:t>
      </w:r>
    </w:p>
    <w:p w:rsidR="00DA7745" w:rsidRDefault="00DA7745" w:rsidP="00DA7745">
      <w:pPr>
        <w:pStyle w:val="H1G"/>
      </w:pPr>
      <w:r w:rsidRPr="004539A2">
        <w:rPr>
          <w:sz w:val="20"/>
        </w:rPr>
        <w:tab/>
      </w:r>
      <w:r w:rsidRPr="004539A2">
        <w:rPr>
          <w:sz w:val="20"/>
        </w:rPr>
        <w:tab/>
      </w:r>
      <w:r w:rsidR="000C376B">
        <w:t>Communication du</w:t>
      </w:r>
      <w:r w:rsidR="000C376B" w:rsidRPr="009D5E1C">
        <w:t xml:space="preserve"> Gouvernement de la Suisse</w:t>
      </w:r>
      <w:r w:rsidR="00237921" w:rsidRPr="00DE7F48">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E1615A" w:rsidRPr="007667F8" w:rsidTr="00F30AA0">
        <w:trPr>
          <w:jc w:val="center"/>
        </w:trPr>
        <w:tc>
          <w:tcPr>
            <w:tcW w:w="9637" w:type="dxa"/>
            <w:tcBorders>
              <w:bottom w:val="nil"/>
            </w:tcBorders>
            <w:shd w:val="clear" w:color="auto" w:fill="auto"/>
          </w:tcPr>
          <w:p w:rsidR="00E1615A" w:rsidRPr="007667F8" w:rsidRDefault="00E1615A" w:rsidP="00F30AA0">
            <w:pPr>
              <w:tabs>
                <w:tab w:val="left" w:pos="255"/>
              </w:tabs>
              <w:suppressAutoHyphens w:val="0"/>
              <w:spacing w:before="200" w:after="80"/>
              <w:rPr>
                <w:sz w:val="24"/>
              </w:rPr>
            </w:pPr>
            <w:r w:rsidRPr="007667F8">
              <w:tab/>
            </w:r>
            <w:r>
              <w:rPr>
                <w:i/>
                <w:sz w:val="24"/>
              </w:rPr>
              <w:t>Résumé</w:t>
            </w:r>
          </w:p>
        </w:tc>
      </w:tr>
      <w:tr w:rsidR="00E1615A" w:rsidRPr="007667F8" w:rsidTr="00F30AA0">
        <w:trPr>
          <w:jc w:val="center"/>
        </w:trPr>
        <w:tc>
          <w:tcPr>
            <w:tcW w:w="9637" w:type="dxa"/>
            <w:tcBorders>
              <w:top w:val="nil"/>
              <w:bottom w:val="nil"/>
            </w:tcBorders>
            <w:shd w:val="clear" w:color="auto" w:fill="auto"/>
          </w:tcPr>
          <w:p w:rsidR="00E1615A" w:rsidRPr="007667F8" w:rsidRDefault="00E1615A" w:rsidP="00237921">
            <w:pPr>
              <w:pStyle w:val="SingleTxtG"/>
              <w:spacing w:line="236" w:lineRule="atLeast"/>
              <w:ind w:left="3402" w:hanging="2268"/>
            </w:pPr>
            <w:r>
              <w:rPr>
                <w:b/>
                <w:szCs w:val="22"/>
              </w:rPr>
              <w:t>Résumé analytique</w:t>
            </w:r>
            <w:r w:rsidRPr="007667F8">
              <w:rPr>
                <w:szCs w:val="22"/>
              </w:rPr>
              <w:t>:</w:t>
            </w:r>
            <w:r w:rsidRPr="007667F8">
              <w:tab/>
            </w:r>
            <w:r w:rsidR="002E3DB8">
              <w:t xml:space="preserve">Soumettre </w:t>
            </w:r>
            <w:r w:rsidR="005C5AF2">
              <w:t xml:space="preserve">aux </w:t>
            </w:r>
            <w:r w:rsidR="00237921">
              <w:t>restrictions</w:t>
            </w:r>
            <w:r w:rsidR="005C5AF2">
              <w:t xml:space="preserve"> de passages dans les tunnels </w:t>
            </w:r>
            <w:r w:rsidR="002E3DB8">
              <w:t>les machines et les moteurs des Nos ONU 3528, 3529 et 3530 qui sont tenu</w:t>
            </w:r>
            <w:r w:rsidR="005C5AF2">
              <w:t>s</w:t>
            </w:r>
            <w:r w:rsidR="002E3DB8">
              <w:t xml:space="preserve"> de disposer d’un document de transport selon la d</w:t>
            </w:r>
            <w:r w:rsidR="00007471">
              <w:t>isposition spéciale 363 g) vi).</w:t>
            </w:r>
          </w:p>
        </w:tc>
      </w:tr>
      <w:tr w:rsidR="00E1615A" w:rsidRPr="00080574" w:rsidTr="00F30AA0">
        <w:trPr>
          <w:jc w:val="center"/>
        </w:trPr>
        <w:tc>
          <w:tcPr>
            <w:tcW w:w="9637" w:type="dxa"/>
            <w:tcBorders>
              <w:top w:val="nil"/>
              <w:bottom w:val="nil"/>
            </w:tcBorders>
            <w:shd w:val="clear" w:color="auto" w:fill="auto"/>
          </w:tcPr>
          <w:p w:rsidR="00E1615A" w:rsidRPr="0045321D" w:rsidRDefault="00E1615A" w:rsidP="005C5AF2">
            <w:pPr>
              <w:pStyle w:val="SingleTxtG"/>
              <w:spacing w:line="236" w:lineRule="atLeast"/>
              <w:ind w:left="3402" w:hanging="2268"/>
            </w:pPr>
            <w:r w:rsidRPr="0045321D">
              <w:rPr>
                <w:b/>
                <w:szCs w:val="22"/>
              </w:rPr>
              <w:t>Mesure à prendre</w:t>
            </w:r>
            <w:r w:rsidRPr="0045321D">
              <w:rPr>
                <w:szCs w:val="22"/>
              </w:rPr>
              <w:t>:</w:t>
            </w:r>
            <w:r w:rsidRPr="0045321D">
              <w:tab/>
            </w:r>
            <w:r w:rsidR="005C5AF2">
              <w:t>Prescrire dans la disposi</w:t>
            </w:r>
            <w:r w:rsidR="0045321D" w:rsidRPr="0045321D">
              <w:t xml:space="preserve">tion spéciale 363 g) vi) l’obligation de </w:t>
            </w:r>
            <w:r w:rsidR="005C5AF2">
              <w:t xml:space="preserve">disposer de panneaux orange selon le </w:t>
            </w:r>
            <w:r w:rsidR="0045321D" w:rsidRPr="0045321D">
              <w:t xml:space="preserve">5.3.2 </w:t>
            </w:r>
            <w:r w:rsidR="00237921">
              <w:t>de l’</w:t>
            </w:r>
            <w:r w:rsidR="0045321D" w:rsidRPr="0045321D">
              <w:t xml:space="preserve">ADR et </w:t>
            </w:r>
            <w:r w:rsidR="005C5AF2">
              <w:t xml:space="preserve">assigner des </w:t>
            </w:r>
            <w:r w:rsidR="0045321D" w:rsidRPr="0045321D">
              <w:t>codes de rest</w:t>
            </w:r>
            <w:r w:rsidR="00237921">
              <w:t>riction en tunnel pour les N</w:t>
            </w:r>
            <w:r w:rsidR="0045321D">
              <w:t>os ONU 3528, 3529 et 3530 dans la col</w:t>
            </w:r>
            <w:r w:rsidR="00237921">
              <w:t xml:space="preserve">onne (15) du tableau A du chapitre </w:t>
            </w:r>
            <w:r w:rsidR="0045321D">
              <w:t>3.2</w:t>
            </w:r>
            <w:r w:rsidR="00007471">
              <w:t>.</w:t>
            </w:r>
          </w:p>
        </w:tc>
      </w:tr>
      <w:tr w:rsidR="00E1615A" w:rsidRPr="007667F8" w:rsidTr="00F30AA0">
        <w:trPr>
          <w:jc w:val="center"/>
        </w:trPr>
        <w:tc>
          <w:tcPr>
            <w:tcW w:w="9637" w:type="dxa"/>
            <w:tcBorders>
              <w:top w:val="nil"/>
              <w:bottom w:val="nil"/>
            </w:tcBorders>
            <w:shd w:val="clear" w:color="auto" w:fill="auto"/>
          </w:tcPr>
          <w:p w:rsidR="00E1615A" w:rsidRPr="007667F8" w:rsidRDefault="00E1615A" w:rsidP="00237921">
            <w:pPr>
              <w:pStyle w:val="SingleTxtG"/>
              <w:spacing w:before="120" w:line="236" w:lineRule="atLeast"/>
              <w:ind w:left="3402" w:hanging="2268"/>
              <w:jc w:val="left"/>
            </w:pPr>
            <w:r>
              <w:rPr>
                <w:b/>
                <w:szCs w:val="22"/>
              </w:rPr>
              <w:t>D</w:t>
            </w:r>
            <w:r w:rsidRPr="007667F8">
              <w:rPr>
                <w:b/>
                <w:szCs w:val="22"/>
              </w:rPr>
              <w:t>ocuments</w:t>
            </w:r>
            <w:r>
              <w:rPr>
                <w:b/>
                <w:szCs w:val="22"/>
              </w:rPr>
              <w:t xml:space="preserve"> de référence</w:t>
            </w:r>
            <w:r w:rsidRPr="007667F8">
              <w:rPr>
                <w:szCs w:val="22"/>
              </w:rPr>
              <w:t>:</w:t>
            </w:r>
            <w:r w:rsidRPr="007667F8">
              <w:tab/>
            </w:r>
            <w:r w:rsidRPr="0045321D">
              <w:rPr>
                <w:lang w:val="fr-FR"/>
              </w:rPr>
              <w:t>ECE/TRANS/WP.15/230</w:t>
            </w:r>
            <w:r w:rsidR="0045321D" w:rsidRPr="0045321D">
              <w:rPr>
                <w:lang w:val="fr-FR"/>
              </w:rPr>
              <w:t>,</w:t>
            </w:r>
            <w:r w:rsidRPr="0045321D">
              <w:rPr>
                <w:lang w:val="fr-FR"/>
              </w:rPr>
              <w:t xml:space="preserve"> </w:t>
            </w:r>
            <w:r w:rsidR="001E388A" w:rsidRPr="0045321D">
              <w:rPr>
                <w:bCs/>
                <w:spacing w:val="-4"/>
              </w:rPr>
              <w:t>ECE/TRANS/WP.15/2016/4</w:t>
            </w:r>
            <w:r w:rsidR="00237921">
              <w:rPr>
                <w:bCs/>
                <w:spacing w:val="-4"/>
              </w:rPr>
              <w:t>, document informel I</w:t>
            </w:r>
            <w:r w:rsidR="0045321D" w:rsidRPr="0045321D">
              <w:rPr>
                <w:bCs/>
                <w:spacing w:val="-4"/>
              </w:rPr>
              <w:t xml:space="preserve">NF.8 </w:t>
            </w:r>
            <w:r w:rsidR="00237921">
              <w:rPr>
                <w:bCs/>
                <w:spacing w:val="-4"/>
              </w:rPr>
              <w:t>de la session de mai 2016 du Groupe de travail.</w:t>
            </w:r>
          </w:p>
        </w:tc>
      </w:tr>
      <w:tr w:rsidR="00E1615A" w:rsidRPr="007667F8" w:rsidTr="00F30AA0">
        <w:trPr>
          <w:jc w:val="center"/>
        </w:trPr>
        <w:tc>
          <w:tcPr>
            <w:tcW w:w="9637" w:type="dxa"/>
            <w:tcBorders>
              <w:top w:val="nil"/>
            </w:tcBorders>
            <w:shd w:val="clear" w:color="auto" w:fill="auto"/>
          </w:tcPr>
          <w:p w:rsidR="00E1615A" w:rsidRPr="007667F8" w:rsidRDefault="00E1615A" w:rsidP="00F30AA0">
            <w:pPr>
              <w:suppressAutoHyphens w:val="0"/>
            </w:pPr>
          </w:p>
        </w:tc>
      </w:tr>
    </w:tbl>
    <w:p w:rsidR="00E1615A" w:rsidRPr="0072378C" w:rsidRDefault="00E1615A" w:rsidP="00E1615A">
      <w:pPr>
        <w:pStyle w:val="HChG"/>
        <w:tabs>
          <w:tab w:val="clear" w:pos="851"/>
        </w:tabs>
        <w:ind w:left="567" w:right="0" w:firstLine="567"/>
      </w:pPr>
      <w:r w:rsidRPr="0072378C">
        <w:lastRenderedPageBreak/>
        <w:t>Introduction</w:t>
      </w:r>
    </w:p>
    <w:p w:rsidR="00142920" w:rsidRPr="00142920" w:rsidRDefault="001642A2" w:rsidP="001642A2">
      <w:pPr>
        <w:pStyle w:val="ListParagraph"/>
        <w:numPr>
          <w:ilvl w:val="0"/>
          <w:numId w:val="17"/>
        </w:numPr>
        <w:kinsoku/>
        <w:overflowPunct/>
        <w:autoSpaceDE/>
        <w:autoSpaceDN/>
        <w:adjustRightInd/>
        <w:snapToGrid/>
        <w:spacing w:after="120"/>
        <w:ind w:left="1134" w:right="1134" w:firstLine="0"/>
        <w:jc w:val="both"/>
        <w:rPr>
          <w:lang w:val="fr-FR"/>
        </w:rPr>
      </w:pPr>
      <w:r>
        <w:t xml:space="preserve">Les machines et moteurs sont exemptés </w:t>
      </w:r>
      <w:r w:rsidR="005C5AF2">
        <w:t xml:space="preserve">de la réglementation </w:t>
      </w:r>
      <w:r>
        <w:t>par la disposition spéciale 363</w:t>
      </w:r>
      <w:r w:rsidR="0045321D">
        <w:t xml:space="preserve"> (DS363)</w:t>
      </w:r>
      <w:r>
        <w:t xml:space="preserve">. </w:t>
      </w:r>
      <w:r w:rsidRPr="00AC7A55">
        <w:rPr>
          <w:lang w:val="fr-FR"/>
        </w:rPr>
        <w:t xml:space="preserve">Le Groupe </w:t>
      </w:r>
      <w:r>
        <w:rPr>
          <w:lang w:val="fr-FR"/>
        </w:rPr>
        <w:t xml:space="preserve">de travail </w:t>
      </w:r>
      <w:r w:rsidRPr="00AC7A55">
        <w:rPr>
          <w:lang w:val="fr-FR"/>
        </w:rPr>
        <w:t xml:space="preserve">WP.15 </w:t>
      </w:r>
      <w:r>
        <w:t xml:space="preserve">lors de la session de mai 2016 a opté </w:t>
      </w:r>
      <w:r w:rsidR="007F462E">
        <w:t xml:space="preserve">pour </w:t>
      </w:r>
      <w:r>
        <w:t xml:space="preserve">attendre le résultat des discussions du </w:t>
      </w:r>
      <w:r>
        <w:rPr>
          <w:lang w:val="fr-FR"/>
        </w:rPr>
        <w:t xml:space="preserve">Sous-Comité </w:t>
      </w:r>
      <w:r>
        <w:t>d’experts du transport des marchandises dangereuses de l’ONU</w:t>
      </w:r>
      <w:r w:rsidR="005C5AF2">
        <w:t xml:space="preserve"> sur le champ d’application de la DS363</w:t>
      </w:r>
      <w:r>
        <w:t xml:space="preserve"> pour traiter la question de l’assujettissement des rubriques </w:t>
      </w:r>
      <w:r w:rsidRPr="00AC7A55">
        <w:t>des Nos ONU 3528</w:t>
      </w:r>
      <w:r>
        <w:t>, 3529</w:t>
      </w:r>
      <w:r w:rsidRPr="00AC7A55">
        <w:t xml:space="preserve"> à 3530 </w:t>
      </w:r>
      <w:r>
        <w:t>aux restrictions des tunnels</w:t>
      </w:r>
      <w:r w:rsidR="00142920" w:rsidRPr="00142920">
        <w:rPr>
          <w:lang w:val="fr-FR"/>
        </w:rPr>
        <w:t>.</w:t>
      </w:r>
    </w:p>
    <w:p w:rsidR="007F462E" w:rsidRDefault="001642A2" w:rsidP="001642A2">
      <w:pPr>
        <w:kinsoku/>
        <w:overflowPunct/>
        <w:autoSpaceDE/>
        <w:autoSpaceDN/>
        <w:adjustRightInd/>
        <w:snapToGrid/>
        <w:spacing w:after="120"/>
        <w:ind w:left="1134" w:right="1134"/>
        <w:jc w:val="both"/>
      </w:pPr>
      <w:r>
        <w:rPr>
          <w:lang w:val="fr-FR"/>
        </w:rPr>
        <w:t>2</w:t>
      </w:r>
      <w:r w:rsidR="006D23D3">
        <w:t>.</w:t>
      </w:r>
      <w:r w:rsidR="006D23D3">
        <w:tab/>
      </w:r>
      <w:r w:rsidR="005C5AF2">
        <w:t>La</w:t>
      </w:r>
      <w:r w:rsidR="006D23D3">
        <w:t xml:space="preserve"> DS363 s’applique sans limites en quantités. Certains types de machines peuvent contenir des milliers de litres de carburant, par ex</w:t>
      </w:r>
      <w:r w:rsidR="00237921">
        <w:t>emple</w:t>
      </w:r>
      <w:r w:rsidR="006D23D3">
        <w:t xml:space="preserve"> </w:t>
      </w:r>
      <w:r w:rsidR="00D0724C">
        <w:t>l</w:t>
      </w:r>
      <w:r w:rsidR="006D23D3">
        <w:t xml:space="preserve">es groupes électrogènes. Les mêmes carburants sont limités dans les tunnels </w:t>
      </w:r>
      <w:r w:rsidR="00D0724C">
        <w:t xml:space="preserve">lorsqu’ils </w:t>
      </w:r>
      <w:r w:rsidR="006D23D3">
        <w:t>sont transport</w:t>
      </w:r>
      <w:r w:rsidR="00D0724C">
        <w:t>é</w:t>
      </w:r>
      <w:r w:rsidR="00237921">
        <w:t xml:space="preserve">s sous d’autres rubriques (Nos ONU </w:t>
      </w:r>
      <w:r w:rsidR="006D23D3">
        <w:t xml:space="preserve">1202, 1203, etc.). </w:t>
      </w:r>
      <w:r w:rsidR="005C5AF2">
        <w:t>D</w:t>
      </w:r>
      <w:r w:rsidR="00F552CF">
        <w:t xml:space="preserve">orénavant ces nouvelles rubriques </w:t>
      </w:r>
      <w:r w:rsidR="007F462E">
        <w:t xml:space="preserve">pour les </w:t>
      </w:r>
      <w:r w:rsidR="00F552CF">
        <w:t>machines sont facilement identifiées</w:t>
      </w:r>
      <w:r w:rsidR="005C5F21">
        <w:t xml:space="preserve">. Par </w:t>
      </w:r>
      <w:r w:rsidR="001E388A">
        <w:t>conséquent</w:t>
      </w:r>
      <w:r w:rsidR="005C5F21">
        <w:t xml:space="preserve"> en appliquant la DS363 il</w:t>
      </w:r>
      <w:r w:rsidR="001E388A">
        <w:t xml:space="preserve"> </w:t>
      </w:r>
      <w:r w:rsidR="0045321D">
        <w:t xml:space="preserve">est </w:t>
      </w:r>
      <w:r w:rsidR="00D0724C">
        <w:t xml:space="preserve">possible et </w:t>
      </w:r>
      <w:r w:rsidR="00E25C6B">
        <w:t xml:space="preserve">cohérent de limiter </w:t>
      </w:r>
      <w:r w:rsidR="00D0724C">
        <w:t>les</w:t>
      </w:r>
      <w:r w:rsidR="00E25C6B">
        <w:t xml:space="preserve"> passages dans les tunnels </w:t>
      </w:r>
      <w:r w:rsidR="005C5AF2">
        <w:t xml:space="preserve">des combustibles </w:t>
      </w:r>
      <w:r w:rsidR="00D0724C">
        <w:t xml:space="preserve">dans </w:t>
      </w:r>
      <w:r w:rsidR="005C5AF2">
        <w:t>des</w:t>
      </w:r>
      <w:r w:rsidR="00D0724C">
        <w:t xml:space="preserve"> proportions</w:t>
      </w:r>
      <w:r w:rsidR="005C5AF2">
        <w:t xml:space="preserve"> semblables à celles </w:t>
      </w:r>
      <w:r w:rsidR="00237921">
        <w:t>auxquelles</w:t>
      </w:r>
      <w:r w:rsidR="005C5AF2">
        <w:t xml:space="preserve"> ces mêmes combustibles sont </w:t>
      </w:r>
      <w:r w:rsidR="0068130C">
        <w:t xml:space="preserve">déjà </w:t>
      </w:r>
      <w:r w:rsidR="00237921">
        <w:t>soumis</w:t>
      </w:r>
      <w:r w:rsidR="005C5AF2">
        <w:t xml:space="preserve"> lorsqu’ils sont transportés en tant que chargement.</w:t>
      </w:r>
    </w:p>
    <w:p w:rsidR="0068130C" w:rsidRDefault="007F462E" w:rsidP="001642A2">
      <w:pPr>
        <w:kinsoku/>
        <w:overflowPunct/>
        <w:autoSpaceDE/>
        <w:autoSpaceDN/>
        <w:adjustRightInd/>
        <w:snapToGrid/>
        <w:spacing w:after="120"/>
        <w:ind w:left="1134" w:right="1134"/>
        <w:jc w:val="both"/>
      </w:pPr>
      <w:r>
        <w:t>3.</w:t>
      </w:r>
      <w:r>
        <w:tab/>
      </w:r>
      <w:r w:rsidR="00D0724C">
        <w:t xml:space="preserve">En relation avec l’apposition de plaques-étiquettes </w:t>
      </w:r>
      <w:r>
        <w:t>la DS363</w:t>
      </w:r>
      <w:r w:rsidR="00E25C6B">
        <w:t xml:space="preserve"> contient elle-même </w:t>
      </w:r>
      <w:r w:rsidR="0045321D">
        <w:t xml:space="preserve">des limites à partir desquelles </w:t>
      </w:r>
      <w:r w:rsidR="00013F5A">
        <w:t>leur apposition est obligatoire</w:t>
      </w:r>
      <w:r w:rsidR="0045321D">
        <w:t xml:space="preserve">: </w:t>
      </w:r>
      <w:r w:rsidR="00F552CF">
        <w:t xml:space="preserve">1000 l </w:t>
      </w:r>
      <w:r w:rsidR="00D0724C">
        <w:t xml:space="preserve">de capacité </w:t>
      </w:r>
      <w:r w:rsidR="00E25C6B">
        <w:t>pou</w:t>
      </w:r>
      <w:r w:rsidR="00F552CF">
        <w:t xml:space="preserve">r les carburants </w:t>
      </w:r>
      <w:r w:rsidR="00D0724C">
        <w:t xml:space="preserve">gazeux et 3000 l en contenu pour les carburants liquides. Pour ce qui </w:t>
      </w:r>
      <w:r>
        <w:t xml:space="preserve">est </w:t>
      </w:r>
      <w:r w:rsidR="00D0724C">
        <w:t>du document de transport, il est exigé pour des contenus en carburant liquide et pour des capacité</w:t>
      </w:r>
      <w:r w:rsidR="001642A2">
        <w:t>s</w:t>
      </w:r>
      <w:r w:rsidR="00D0724C">
        <w:t xml:space="preserve"> en gaz qui dépassent 1000 l</w:t>
      </w:r>
      <w:r w:rsidR="0068130C">
        <w:t xml:space="preserve">. Le document </w:t>
      </w:r>
      <w:r w:rsidR="001642A2">
        <w:t xml:space="preserve">doit porter la mention </w:t>
      </w:r>
      <w:r w:rsidR="00013F5A">
        <w:t>«</w:t>
      </w:r>
      <w:r w:rsidR="00F552CF">
        <w:t>Transport selon la dispositi</w:t>
      </w:r>
      <w:r w:rsidR="00013F5A">
        <w:t>on spéciale 363</w:t>
      </w:r>
      <w:r w:rsidR="001642A2">
        <w:t>»</w:t>
      </w:r>
      <w:r w:rsidR="00F552CF">
        <w:t xml:space="preserve">. </w:t>
      </w:r>
      <w:r w:rsidR="001642A2">
        <w:t>Il est donc simple d’identifier ce type d</w:t>
      </w:r>
      <w:r w:rsidR="0045321D">
        <w:t xml:space="preserve">e transport </w:t>
      </w:r>
      <w:r w:rsidR="001642A2">
        <w:t>à l’aide de la mention qui figure dans le document de transport</w:t>
      </w:r>
      <w:r>
        <w:t xml:space="preserve"> et également grâce au type de marquage.</w:t>
      </w:r>
    </w:p>
    <w:p w:rsidR="00F552CF" w:rsidRDefault="0068130C" w:rsidP="001642A2">
      <w:pPr>
        <w:kinsoku/>
        <w:overflowPunct/>
        <w:autoSpaceDE/>
        <w:autoSpaceDN/>
        <w:adjustRightInd/>
        <w:snapToGrid/>
        <w:spacing w:after="120"/>
        <w:ind w:left="1134" w:right="1134"/>
        <w:jc w:val="both"/>
      </w:pPr>
      <w:r>
        <w:t>4.</w:t>
      </w:r>
      <w:r>
        <w:tab/>
        <w:t>Il faut de plus noter que l’obligation de disposer d’un document de transport fixée au DS363 g) vi) oblige à compléter le document également selon le 5.4.1.1.1 k) lorsqu’il est prévu de passer par un tunnel soumis à des restrictions de passage. Si aucune indication de code de restriction en tunnel n’est fournie en colonne (15) du tableau A, les personnes chargées de rédiger le document de transport exigé ne savent pas comment satisfaire à l’exigence du 5.4.1.1.1 k).</w:t>
      </w:r>
    </w:p>
    <w:p w:rsidR="007F462E" w:rsidRDefault="00F552CF" w:rsidP="00A9188A">
      <w:pPr>
        <w:pStyle w:val="SingleTxtG"/>
      </w:pPr>
      <w:r>
        <w:t>5.</w:t>
      </w:r>
      <w:r>
        <w:tab/>
      </w:r>
      <w:r w:rsidR="008D27F4">
        <w:t>A</w:t>
      </w:r>
      <w:r>
        <w:t>fin de pouvoir soumettre un transport aux restrictions dans les tunnels il faut que l’unité de transport soit soumise à une signalisation orange selon le 5.3.2 ADR. Dans ce but nous proposons d’utiliser les limites qui figurent dans la DS363</w:t>
      </w:r>
      <w:r w:rsidR="0068130C">
        <w:t xml:space="preserve">. Ainsi </w:t>
      </w:r>
      <w:r>
        <w:t>l’</w:t>
      </w:r>
      <w:r w:rsidR="00A9188A">
        <w:t xml:space="preserve">unité de transport transportant une machine qui est soumise </w:t>
      </w:r>
      <w:r w:rsidR="005C5F21">
        <w:t xml:space="preserve">à l’obligation de disposer d’un document de transport </w:t>
      </w:r>
      <w:r w:rsidR="0068130C">
        <w:t xml:space="preserve">doit également être </w:t>
      </w:r>
      <w:r w:rsidR="00A9188A">
        <w:t xml:space="preserve">en plus soumise à la signalisation orange selon le 5.3.2. Pour cela une solution simple </w:t>
      </w:r>
      <w:r w:rsidR="007F462E">
        <w:t>est</w:t>
      </w:r>
      <w:r w:rsidR="00A9188A">
        <w:t xml:space="preserve"> de modifier la DS363 </w:t>
      </w:r>
      <w:r w:rsidR="001E388A">
        <w:t xml:space="preserve">en ajoutant du texte </w:t>
      </w:r>
      <w:r w:rsidR="00A9188A">
        <w:t>sous la DS363 g) v</w:t>
      </w:r>
      <w:r w:rsidR="005C5F21">
        <w:t>i</w:t>
      </w:r>
      <w:r w:rsidR="00A9188A">
        <w:t>)</w:t>
      </w:r>
      <w:r w:rsidR="00133041">
        <w:t xml:space="preserve"> (Proposition 1)</w:t>
      </w:r>
      <w:r w:rsidR="00A9188A">
        <w:t xml:space="preserve">. </w:t>
      </w:r>
    </w:p>
    <w:p w:rsidR="007F462E" w:rsidRDefault="007F462E" w:rsidP="00A9188A">
      <w:pPr>
        <w:pStyle w:val="SingleTxtG"/>
      </w:pPr>
      <w:r>
        <w:t>6.</w:t>
      </w:r>
      <w:r>
        <w:tab/>
      </w:r>
      <w:r w:rsidR="0068130C">
        <w:t>La DS363 qui figure dans l’ADR, b</w:t>
      </w:r>
      <w:r>
        <w:t xml:space="preserve">ien que </w:t>
      </w:r>
      <w:r w:rsidR="00237921">
        <w:t>provenant</w:t>
      </w:r>
      <w:r>
        <w:t xml:space="preserve"> du Règlement type</w:t>
      </w:r>
      <w:r w:rsidR="0068130C">
        <w:t xml:space="preserve">, </w:t>
      </w:r>
      <w:r>
        <w:t>ne correspond déjà pas entièrement à ce qui est prévu dans ledit Règlement. Ainsi</w:t>
      </w:r>
      <w:r w:rsidR="009C3222">
        <w:t xml:space="preserve">, contrairement au Règlement type, dans l’ADR </w:t>
      </w:r>
      <w:r>
        <w:t>on ob</w:t>
      </w:r>
      <w:r w:rsidR="00013F5A">
        <w:t>serve les différences suivantes</w:t>
      </w:r>
      <w:r>
        <w:t>:</w:t>
      </w:r>
    </w:p>
    <w:p w:rsidR="009C3222" w:rsidRDefault="009C3222" w:rsidP="00007471">
      <w:pPr>
        <w:pStyle w:val="SingleTxtG"/>
        <w:ind w:firstLine="567"/>
      </w:pPr>
      <w:r>
        <w:t>1)</w:t>
      </w:r>
      <w:r>
        <w:tab/>
      </w:r>
      <w:r w:rsidR="00013F5A">
        <w:t>P</w:t>
      </w:r>
      <w:r w:rsidR="007F462E">
        <w:t>our les Nos ONU 3528 et 3529, l’ADR ne prévoit pas d’étiquetage pour des quantités de carburant supérieures à 60 l et une</w:t>
      </w:r>
      <w:r w:rsidR="00013F5A">
        <w:t xml:space="preserve"> capacité ne dépassant pas 450</w:t>
      </w:r>
      <w:r w:rsidR="00237921">
        <w:t xml:space="preserve"> l</w:t>
      </w:r>
      <w:r w:rsidR="00013F5A">
        <w:t>;</w:t>
      </w:r>
    </w:p>
    <w:p w:rsidR="009C3222" w:rsidRDefault="009C3222" w:rsidP="00007471">
      <w:pPr>
        <w:pStyle w:val="SingleTxtG"/>
        <w:ind w:firstLine="567"/>
      </w:pPr>
      <w:r>
        <w:t>2)</w:t>
      </w:r>
      <w:r>
        <w:tab/>
      </w:r>
      <w:r w:rsidR="00013F5A">
        <w:t>P</w:t>
      </w:r>
      <w:r>
        <w:t xml:space="preserve">our le No ONU 3529, l’ADR ne prescrit aucun étiquetage pour des </w:t>
      </w:r>
      <w:r w:rsidR="00013F5A">
        <w:t>contenances inférieures à 450 l;</w:t>
      </w:r>
    </w:p>
    <w:p w:rsidR="009C3222" w:rsidRDefault="009C3222" w:rsidP="00007471">
      <w:pPr>
        <w:pStyle w:val="SingleTxtG"/>
        <w:ind w:firstLine="567"/>
      </w:pPr>
      <w:r>
        <w:t>3)</w:t>
      </w:r>
      <w:r>
        <w:tab/>
        <w:t>Le document de transport dans l’ADR n’est pas requis pour les Nos ONU 3528 et 3530 à partir de 60 l de carburant mais à partir de 1000 l et pour les gaz du No ONU 3528 pour une contenance de 1000 l alors que le Règlement n’a pas d</w:t>
      </w:r>
      <w:r w:rsidR="00013F5A">
        <w:t>e limite inférieure dans ce cas;</w:t>
      </w:r>
      <w:r>
        <w:t xml:space="preserve"> </w:t>
      </w:r>
    </w:p>
    <w:p w:rsidR="009C3222" w:rsidRDefault="00013F5A" w:rsidP="00007471">
      <w:pPr>
        <w:pStyle w:val="SingleTxtG"/>
        <w:ind w:firstLine="567"/>
      </w:pPr>
      <w:r>
        <w:lastRenderedPageBreak/>
        <w:t>4)</w:t>
      </w:r>
      <w:r>
        <w:tab/>
      </w:r>
      <w:r w:rsidR="009C3222">
        <w:t>L’ADR distingue</w:t>
      </w:r>
      <w:r w:rsidR="00237921">
        <w:t>,</w:t>
      </w:r>
      <w:r w:rsidR="009C3222">
        <w:t xml:space="preserve"> par un NOTA au DS363 a)</w:t>
      </w:r>
      <w:r w:rsidR="00237921">
        <w:t>,</w:t>
      </w:r>
      <w:r w:rsidR="009C3222">
        <w:t xml:space="preserve"> les carburants utilisés dans les équipements des véhicules pendant le transport</w:t>
      </w:r>
      <w:r w:rsidR="005C5F21">
        <w:t xml:space="preserve"> et ceux qui ne sont pas utilisés durant le transport. Cette </w:t>
      </w:r>
      <w:r w:rsidR="009C3222">
        <w:t>différenc</w:t>
      </w:r>
      <w:r w:rsidR="005C5F21">
        <w:t>iation</w:t>
      </w:r>
      <w:r w:rsidR="009C3222">
        <w:t xml:space="preserve"> n’existe pas dans le Règlement type.</w:t>
      </w:r>
    </w:p>
    <w:p w:rsidR="00133041" w:rsidRDefault="009C3222" w:rsidP="00A9188A">
      <w:pPr>
        <w:pStyle w:val="SingleTxtG"/>
      </w:pPr>
      <w:r>
        <w:t>Vu qu’il existe d</w:t>
      </w:r>
      <w:r w:rsidR="00584E70">
        <w:t>éjà</w:t>
      </w:r>
      <w:r>
        <w:t xml:space="preserve"> des différences entre l’ADR et le Règlement type, il ne semble pas nécessaire de prévoir de solution plus compliquée </w:t>
      </w:r>
      <w:r w:rsidR="005C5F21">
        <w:t xml:space="preserve">visant à </w:t>
      </w:r>
      <w:r>
        <w:t xml:space="preserve">préserver </w:t>
      </w:r>
      <w:r w:rsidR="005C5F21">
        <w:t>l’intégrité du</w:t>
      </w:r>
      <w:r>
        <w:t xml:space="preserve"> texte de la DS363</w:t>
      </w:r>
      <w:r w:rsidR="00133041">
        <w:t xml:space="preserve">. </w:t>
      </w:r>
    </w:p>
    <w:p w:rsidR="000517E8" w:rsidRDefault="00044BBB" w:rsidP="00A9188A">
      <w:pPr>
        <w:pStyle w:val="SingleTxtG"/>
      </w:pPr>
      <w:r>
        <w:t>7</w:t>
      </w:r>
      <w:r w:rsidR="002F452F">
        <w:t>.</w:t>
      </w:r>
      <w:r w:rsidR="002F452F">
        <w:tab/>
      </w:r>
      <w:r w:rsidR="00237921">
        <w:t>Si la</w:t>
      </w:r>
      <w:r w:rsidR="002F452F">
        <w:t xml:space="preserve"> proposition 1</w:t>
      </w:r>
      <w:r>
        <w:t xml:space="preserve"> </w:t>
      </w:r>
      <w:r w:rsidR="00237921">
        <w:t>était</w:t>
      </w:r>
      <w:r w:rsidR="002F452F">
        <w:t xml:space="preserve"> adoptée, </w:t>
      </w:r>
      <w:r w:rsidR="000517E8">
        <w:t>les restrictions dans les tunnels prévues au 1.9.5.3.6 et au 8.6.3.1 s’applique</w:t>
      </w:r>
      <w:r w:rsidR="00237921">
        <w:t>raie</w:t>
      </w:r>
      <w:r w:rsidR="000517E8">
        <w:t>nt automatiquement</w:t>
      </w:r>
      <w:r w:rsidR="00237921">
        <w:t xml:space="preserve"> du fait que les véhicules seraien</w:t>
      </w:r>
      <w:r w:rsidR="000517E8">
        <w:t>t porteurs de panneaux ora</w:t>
      </w:r>
      <w:r w:rsidR="007D141E">
        <w:t>nge.</w:t>
      </w:r>
    </w:p>
    <w:p w:rsidR="00A346FA" w:rsidRDefault="00F303C2" w:rsidP="00F303C2">
      <w:pPr>
        <w:pStyle w:val="SingleTxtG"/>
      </w:pPr>
      <w:r>
        <w:t>8.</w:t>
      </w:r>
      <w:r>
        <w:tab/>
      </w:r>
      <w:r w:rsidR="000517E8">
        <w:t xml:space="preserve">Il reste à préciser dans quels types de tunnels (B, C, D ou E) ces restrictions s’appliquent. Pour cela, </w:t>
      </w:r>
      <w:r w:rsidR="00A346FA">
        <w:t>la réglementation a modulé les interdictions dans les tunnels avec les codes de restrictions en tunnels dans la co</w:t>
      </w:r>
      <w:r w:rsidR="00237921">
        <w:t>lonne (15) du tableau A du chapitre</w:t>
      </w:r>
      <w:r w:rsidR="00A346FA">
        <w:t xml:space="preserve"> 3.2. P</w:t>
      </w:r>
      <w:r w:rsidR="005E6AB3">
        <w:t xml:space="preserve">our ajuster ces interdictions </w:t>
      </w:r>
      <w:r w:rsidR="007D141E">
        <w:t xml:space="preserve">dans le cas des combustibles de machines </w:t>
      </w:r>
      <w:r w:rsidR="005E6AB3">
        <w:t xml:space="preserve">aux limitations déjà prévues par la réglementation pour les </w:t>
      </w:r>
      <w:r w:rsidR="0068130C">
        <w:t>mêmes matières</w:t>
      </w:r>
      <w:r w:rsidR="005E6AB3">
        <w:t xml:space="preserve"> </w:t>
      </w:r>
      <w:r w:rsidR="00A346FA">
        <w:t xml:space="preserve">il convient d’introduire </w:t>
      </w:r>
      <w:r w:rsidR="00D66498">
        <w:t xml:space="preserve">les </w:t>
      </w:r>
      <w:r w:rsidR="00A346FA">
        <w:t xml:space="preserve">codes de restriction en tunnels </w:t>
      </w:r>
      <w:r w:rsidR="00D66498">
        <w:t>correspondant à ces matières pour les Nos ONU 3528, 3529 et 3530</w:t>
      </w:r>
      <w:r w:rsidR="00A346FA">
        <w:t xml:space="preserve">. C’est le but de la proposition </w:t>
      </w:r>
      <w:r w:rsidR="000517E8">
        <w:t>2</w:t>
      </w:r>
      <w:r w:rsidR="00013F5A">
        <w:t>.</w:t>
      </w:r>
      <w:r w:rsidR="00A346FA">
        <w:t xml:space="preserve"> </w:t>
      </w:r>
    </w:p>
    <w:p w:rsidR="002E3DB8" w:rsidRDefault="00A346FA" w:rsidP="00182BBC">
      <w:pPr>
        <w:pStyle w:val="SingleTxtG"/>
      </w:pPr>
      <w:r>
        <w:t>9.</w:t>
      </w:r>
      <w:r>
        <w:tab/>
      </w:r>
      <w:r w:rsidR="007D141E">
        <w:t xml:space="preserve">Au cours de la </w:t>
      </w:r>
      <w:r w:rsidR="00F303C2">
        <w:t>session de mai</w:t>
      </w:r>
      <w:r w:rsidR="007D141E">
        <w:t xml:space="preserve"> 2016 nous avions déjà indiqué que </w:t>
      </w:r>
      <w:r w:rsidR="00F303C2">
        <w:t>des restrictions en tunnels différentes s’</w:t>
      </w:r>
      <w:r w:rsidR="007D141E">
        <w:t>appliquent en fonction du type de combustible.</w:t>
      </w:r>
      <w:r w:rsidR="00F303C2">
        <w:t xml:space="preserve"> Nous avions déjà fourni des explications </w:t>
      </w:r>
      <w:r w:rsidR="00D66498">
        <w:t>dans le document E</w:t>
      </w:r>
      <w:r w:rsidR="00237921">
        <w:t xml:space="preserve">CE/TRANS/WP.15/2016/4 et dans le document informel </w:t>
      </w:r>
      <w:r w:rsidR="00D66498">
        <w:t xml:space="preserve">INF.8 de la même session </w:t>
      </w:r>
      <w:r w:rsidR="00F303C2">
        <w:t xml:space="preserve">qui justifient l’introduction de </w:t>
      </w:r>
      <w:r w:rsidR="007D141E">
        <w:t xml:space="preserve">différents </w:t>
      </w:r>
      <w:r w:rsidR="00F303C2">
        <w:t xml:space="preserve">codes </w:t>
      </w:r>
      <w:r w:rsidR="007D141E">
        <w:t>de restriction en tunnel</w:t>
      </w:r>
      <w:r w:rsidR="00F303C2">
        <w:t>. Ces codes se déduisent du type de c</w:t>
      </w:r>
      <w:r>
        <w:t>ombustibles</w:t>
      </w:r>
      <w:r w:rsidR="00F303C2">
        <w:t xml:space="preserve"> utilisés couramment actuellement</w:t>
      </w:r>
      <w:r w:rsidR="00D66498">
        <w:t xml:space="preserve"> dans la réglementation</w:t>
      </w:r>
      <w:r>
        <w:t>:</w:t>
      </w:r>
      <w:r w:rsidR="00F303C2">
        <w:t xml:space="preserve"> (D/E) pour les combustibles liquides inflammables (No ONU 3528), (B/D) pour les gaz et (D) pour l’hydrogène du No ONU 3468 (UN 3529), et (E) pour un carburant de la classe 9 (UN 3530). </w:t>
      </w:r>
    </w:p>
    <w:p w:rsidR="00A9188A" w:rsidRDefault="002E3DB8" w:rsidP="00182BBC">
      <w:pPr>
        <w:pStyle w:val="SingleTxtG"/>
      </w:pPr>
      <w:r>
        <w:t>10.</w:t>
      </w:r>
      <w:r>
        <w:tab/>
      </w:r>
      <w:r w:rsidR="00F303C2">
        <w:t xml:space="preserve">Vu que selon la DS363 </w:t>
      </w:r>
      <w:r w:rsidR="0083051F">
        <w:t xml:space="preserve">g) vi) </w:t>
      </w:r>
      <w:r w:rsidR="00F303C2">
        <w:t xml:space="preserve">les quantités et capacités possibles </w:t>
      </w:r>
      <w:r w:rsidR="004E0D70">
        <w:t>dépa</w:t>
      </w:r>
      <w:r w:rsidR="00013F5A">
        <w:t>ssent les 1000 </w:t>
      </w:r>
      <w:r w:rsidR="004E0D70">
        <w:t xml:space="preserve">l (volume ou capacité selon le cas) et </w:t>
      </w:r>
      <w:r w:rsidR="00F303C2">
        <w:t xml:space="preserve">sont illimitées, </w:t>
      </w:r>
      <w:r w:rsidR="004E0D70">
        <w:t>il faut admettre que le danger présent équivaut à celui d’</w:t>
      </w:r>
      <w:r w:rsidR="0083051F">
        <w:t>un transport en citerne</w:t>
      </w:r>
      <w:r w:rsidR="004E0D70">
        <w:t xml:space="preserve">. Ceci justifie l’application de codes </w:t>
      </w:r>
      <w:r w:rsidR="007D141E">
        <w:t xml:space="preserve">correspondant aux transports en citernes </w:t>
      </w:r>
      <w:r w:rsidR="004E0D70">
        <w:t>que l’on retrouve pour les combustibles inflammables dans le tableau A (</w:t>
      </w:r>
      <w:r w:rsidR="00F303C2">
        <w:t>(D/E) et (B/D)</w:t>
      </w:r>
      <w:r w:rsidR="004E0D70">
        <w:t>)</w:t>
      </w:r>
      <w:r w:rsidR="007D141E">
        <w:t>.</w:t>
      </w:r>
      <w:r w:rsidR="004E0D70">
        <w:t xml:space="preserve"> Cependant ces codes </w:t>
      </w:r>
      <w:r>
        <w:t xml:space="preserve">sont compliqués à mettre en œuvre. Ils </w:t>
      </w:r>
      <w:r w:rsidR="004E0D70">
        <w:t xml:space="preserve">ont été prévus pour des transports </w:t>
      </w:r>
      <w:r w:rsidR="00307C34">
        <w:t xml:space="preserve">dont les contenants sont </w:t>
      </w:r>
      <w:r w:rsidR="004E0D70">
        <w:t xml:space="preserve">facilement identifiables en tant que citernes ou en tant que colis. </w:t>
      </w:r>
      <w:r w:rsidR="00307C34">
        <w:t>L</w:t>
      </w:r>
      <w:r w:rsidR="004E0D70">
        <w:t xml:space="preserve">es gestionnaires de tunnels peuvent </w:t>
      </w:r>
      <w:r>
        <w:t xml:space="preserve">dans </w:t>
      </w:r>
      <w:r w:rsidR="00D66498">
        <w:t xml:space="preserve">le cas de transport en tant que chargement de colis ou citernes </w:t>
      </w:r>
      <w:r w:rsidR="004E0D70">
        <w:t xml:space="preserve">facilement identifier </w:t>
      </w:r>
      <w:r w:rsidR="00D66498">
        <w:t>le type de contenant</w:t>
      </w:r>
      <w:r w:rsidR="004E0D70">
        <w:t xml:space="preserve"> </w:t>
      </w:r>
      <w:r w:rsidR="00307C34">
        <w:t>et interdire le passage ou l’au</w:t>
      </w:r>
      <w:r>
        <w:t>tor</w:t>
      </w:r>
      <w:r w:rsidR="00307C34">
        <w:t>iser en fo</w:t>
      </w:r>
      <w:r>
        <w:t>nction</w:t>
      </w:r>
      <w:r w:rsidR="00307C34">
        <w:t xml:space="preserve"> d</w:t>
      </w:r>
      <w:r w:rsidR="00D66498">
        <w:t>udit contenant</w:t>
      </w:r>
      <w:r w:rsidR="00307C34">
        <w:t xml:space="preserve"> et du type de restriction du tunnel.</w:t>
      </w:r>
      <w:r w:rsidR="004E0D70">
        <w:t xml:space="preserve"> Dans le cas de réservoirs de machines une telle </w:t>
      </w:r>
      <w:r w:rsidR="00307C34">
        <w:t xml:space="preserve">identification du type de contenant n’est pas </w:t>
      </w:r>
      <w:r>
        <w:t xml:space="preserve">toujours </w:t>
      </w:r>
      <w:r w:rsidR="00307C34">
        <w:t>possible et l’interdiction de passage n’est plus aussi simple à appliquer</w:t>
      </w:r>
      <w:r>
        <w:t xml:space="preserve"> avec des codes doubles (D/E) ou B/D)</w:t>
      </w:r>
      <w:r w:rsidR="00307C34">
        <w:t>. Afin de faciliter la prise de décision, il faut indiquer une seule option pour les utilisateurs</w:t>
      </w:r>
      <w:r>
        <w:t xml:space="preserve"> en colonne (15) du tableau A</w:t>
      </w:r>
      <w:r w:rsidR="00307C34">
        <w:t>. Vu les volumes dont il est question nous proposons de ne prendre en compte que les codes de restrictions applicables aux citernes, c.à.d. (D) pour les combustibles liquides inflammables du N</w:t>
      </w:r>
      <w:r w:rsidR="0083051F">
        <w:t>o</w:t>
      </w:r>
      <w:r w:rsidR="00307C34">
        <w:t xml:space="preserve"> ONU 3528, (B) pour les co</w:t>
      </w:r>
      <w:r>
        <w:t>m</w:t>
      </w:r>
      <w:r w:rsidR="00307C34">
        <w:t>bustibles gazeux du No ONU 3529 et (E) pour les combustibles liquides non inflammables du No ONU 3530</w:t>
      </w:r>
      <w:r>
        <w:t xml:space="preserve"> (Proposition 2)</w:t>
      </w:r>
      <w:r w:rsidR="00307C34">
        <w:t>.</w:t>
      </w:r>
      <w:r w:rsidR="006626F4">
        <w:t xml:space="preserve"> L’adoption de cette proposition permettra de garantir la sécurité dans les tunnels et également donnera une réponse à ceux qui selon la DS363 g) vi) doivent remplir le document de transport conforme au 5.4.1.</w:t>
      </w:r>
    </w:p>
    <w:p w:rsidR="00A9188A" w:rsidRDefault="00013F5A" w:rsidP="00A9188A">
      <w:pPr>
        <w:pStyle w:val="HChG"/>
      </w:pPr>
      <w:r>
        <w:tab/>
      </w:r>
      <w:r>
        <w:tab/>
      </w:r>
      <w:r w:rsidR="00A9188A">
        <w:t xml:space="preserve">Proposition </w:t>
      </w:r>
      <w:r w:rsidR="001642A2">
        <w:t>1</w:t>
      </w:r>
    </w:p>
    <w:p w:rsidR="00A9188A" w:rsidRDefault="00182BBC" w:rsidP="00E25C6B">
      <w:pPr>
        <w:pStyle w:val="SingleTxtG"/>
      </w:pPr>
      <w:r>
        <w:t>1</w:t>
      </w:r>
      <w:r w:rsidR="00D66498">
        <w:t>1</w:t>
      </w:r>
      <w:r>
        <w:t>.</w:t>
      </w:r>
      <w:r>
        <w:tab/>
      </w:r>
      <w:r w:rsidR="00A9188A">
        <w:t>Modifier le texte dans la DS363 g) v</w:t>
      </w:r>
      <w:r w:rsidR="00237921">
        <w:t>i</w:t>
      </w:r>
      <w:r w:rsidR="00A9188A">
        <w:t>) comme suit </w:t>
      </w:r>
      <w:r w:rsidR="00297ACA">
        <w:t>(le texte ajouté est en gras et souligné le texte éliminé est barré)</w:t>
      </w:r>
      <w:r w:rsidR="00A9188A">
        <w:t>:</w:t>
      </w:r>
    </w:p>
    <w:p w:rsidR="00297ACA" w:rsidRPr="003C4DF9" w:rsidRDefault="00297ACA" w:rsidP="00013F5A">
      <w:pPr>
        <w:pStyle w:val="ParNoG"/>
        <w:numPr>
          <w:ilvl w:val="0"/>
          <w:numId w:val="0"/>
        </w:numPr>
        <w:ind w:left="1134" w:firstLine="567"/>
      </w:pPr>
      <w:r w:rsidRPr="003C4DF9">
        <w:lastRenderedPageBreak/>
        <w:t>v</w:t>
      </w:r>
      <w:r w:rsidR="00237921">
        <w:t>i</w:t>
      </w:r>
      <w:r w:rsidRPr="003C4DF9">
        <w:t>)</w:t>
      </w:r>
      <w:r w:rsidRPr="003C4DF9">
        <w:tab/>
        <w:t xml:space="preserve">Un document de transport conforme au 5.4.1 </w:t>
      </w:r>
      <w:r w:rsidRPr="00297ACA">
        <w:rPr>
          <w:b/>
          <w:u w:val="single"/>
        </w:rPr>
        <w:t xml:space="preserve">et une </w:t>
      </w:r>
      <w:r w:rsidR="00013F5A" w:rsidRPr="00297ACA">
        <w:rPr>
          <w:b/>
          <w:u w:val="single"/>
        </w:rPr>
        <w:t>signalisation</w:t>
      </w:r>
      <w:r w:rsidRPr="00297ACA">
        <w:rPr>
          <w:b/>
          <w:u w:val="single"/>
        </w:rPr>
        <w:t xml:space="preserve"> orange du véhicule conforme</w:t>
      </w:r>
      <w:r>
        <w:rPr>
          <w:b/>
          <w:u w:val="single"/>
        </w:rPr>
        <w:t xml:space="preserve"> </w:t>
      </w:r>
      <w:r w:rsidRPr="00297ACA">
        <w:rPr>
          <w:b/>
          <w:u w:val="single"/>
        </w:rPr>
        <w:t xml:space="preserve">au 5.3.2 ne sont </w:t>
      </w:r>
      <w:r w:rsidRPr="00297ACA">
        <w:rPr>
          <w:strike/>
        </w:rPr>
        <w:t xml:space="preserve">n’est </w:t>
      </w:r>
      <w:r w:rsidRPr="003C4DF9">
        <w:t xml:space="preserve">requis que lorsque le moteur ou la machine contient une quantité de combustible liquide supérieure à 1000 l pour les Nos ONU 3528 et 3530, ou </w:t>
      </w:r>
      <w:r w:rsidR="00013F5A" w:rsidRPr="003C4DF9">
        <w:t>à</w:t>
      </w:r>
      <w:r w:rsidRPr="003C4DF9">
        <w:t xml:space="preserve"> une contenance en eau supérieure à 1000 l pour le No ONU 3529. </w:t>
      </w:r>
    </w:p>
    <w:p w:rsidR="00262838" w:rsidRDefault="00297ACA" w:rsidP="00013F5A">
      <w:pPr>
        <w:pStyle w:val="HChG"/>
        <w:tabs>
          <w:tab w:val="clear" w:pos="851"/>
        </w:tabs>
      </w:pPr>
      <w:r w:rsidRPr="003C4DF9">
        <w:tab/>
      </w:r>
      <w:r w:rsidR="005E6AB3">
        <w:t>Propositio</w:t>
      </w:r>
      <w:r w:rsidR="00D66498">
        <w:t>n 2</w:t>
      </w:r>
    </w:p>
    <w:p w:rsidR="005E6AB3" w:rsidRDefault="00D66498" w:rsidP="005E6AB3">
      <w:pPr>
        <w:pStyle w:val="SingleTxtG"/>
      </w:pPr>
      <w:r>
        <w:t>12.</w:t>
      </w:r>
      <w:r>
        <w:tab/>
      </w:r>
      <w:r w:rsidR="005E6AB3">
        <w:t>Pour les rubriques des Nos ONU 3528, 3529 et 3530, ajouter en colonne 15 du tableau A du chapitre 3.2, les codes de restriction en tunnels suivants</w:t>
      </w:r>
      <w:r w:rsidR="002E3DB8">
        <w:t xml:space="preserve">: </w:t>
      </w:r>
    </w:p>
    <w:p w:rsidR="005E6AB3" w:rsidRPr="005E6AB3" w:rsidRDefault="005E6AB3" w:rsidP="005E6AB3">
      <w:pPr>
        <w:pStyle w:val="SingleTxtG"/>
      </w:pPr>
      <w:r w:rsidRPr="005E6AB3">
        <w:t xml:space="preserve">(D) pour le </w:t>
      </w:r>
      <w:r w:rsidR="00013F5A">
        <w:t>No ONU 3528;</w:t>
      </w:r>
    </w:p>
    <w:p w:rsidR="005E6AB3" w:rsidRPr="005E6AB3" w:rsidRDefault="00013F5A" w:rsidP="005E6AB3">
      <w:pPr>
        <w:pStyle w:val="SingleTxtG"/>
      </w:pPr>
      <w:r>
        <w:t>(B) pour le No ONU 3529;</w:t>
      </w:r>
    </w:p>
    <w:p w:rsidR="005E6AB3" w:rsidRDefault="005E6AB3" w:rsidP="005E6AB3">
      <w:pPr>
        <w:pStyle w:val="SingleTxtG"/>
      </w:pPr>
      <w:r w:rsidRPr="005E6AB3">
        <w:t>(E) pour le No ONU 3530.</w:t>
      </w:r>
    </w:p>
    <w:p w:rsidR="000C376B" w:rsidRPr="000C376B" w:rsidRDefault="000C376B" w:rsidP="000C376B">
      <w:pPr>
        <w:pStyle w:val="SingleTxtG"/>
        <w:spacing w:before="240" w:after="0"/>
        <w:jc w:val="center"/>
        <w:rPr>
          <w:u w:val="single"/>
        </w:rPr>
      </w:pPr>
      <w:r>
        <w:rPr>
          <w:u w:val="single"/>
        </w:rPr>
        <w:tab/>
      </w:r>
      <w:r>
        <w:rPr>
          <w:u w:val="single"/>
        </w:rPr>
        <w:tab/>
      </w:r>
      <w:r>
        <w:rPr>
          <w:u w:val="single"/>
        </w:rPr>
        <w:tab/>
      </w:r>
    </w:p>
    <w:sectPr w:rsidR="000C376B" w:rsidRPr="000C376B" w:rsidSect="00DA774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65" w:rsidRDefault="00CF6165" w:rsidP="00F95C08">
      <w:pPr>
        <w:spacing w:line="240" w:lineRule="auto"/>
      </w:pPr>
    </w:p>
  </w:endnote>
  <w:endnote w:type="continuationSeparator" w:id="0">
    <w:p w:rsidR="00CF6165" w:rsidRPr="00AC3823" w:rsidRDefault="00CF6165" w:rsidP="00AC3823">
      <w:pPr>
        <w:pStyle w:val="Footer"/>
      </w:pPr>
    </w:p>
  </w:endnote>
  <w:endnote w:type="continuationNotice" w:id="1">
    <w:p w:rsidR="00CF6165" w:rsidRDefault="00CF61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65" w:rsidRPr="00DA7745" w:rsidRDefault="00CF6165" w:rsidP="00DA7745">
    <w:pPr>
      <w:pStyle w:val="Footer"/>
      <w:tabs>
        <w:tab w:val="right" w:pos="9638"/>
      </w:tabs>
    </w:pPr>
    <w:r w:rsidRPr="00DA7745">
      <w:rPr>
        <w:b/>
        <w:sz w:val="18"/>
      </w:rPr>
      <w:fldChar w:fldCharType="begin"/>
    </w:r>
    <w:r w:rsidRPr="00DA7745">
      <w:rPr>
        <w:b/>
        <w:sz w:val="18"/>
      </w:rPr>
      <w:instrText xml:space="preserve"> PAGE  \* MERGEFORMAT </w:instrText>
    </w:r>
    <w:r w:rsidRPr="00DA7745">
      <w:rPr>
        <w:b/>
        <w:sz w:val="18"/>
      </w:rPr>
      <w:fldChar w:fldCharType="separate"/>
    </w:r>
    <w:r w:rsidR="00237921">
      <w:rPr>
        <w:b/>
        <w:noProof/>
        <w:sz w:val="18"/>
      </w:rPr>
      <w:t>4</w:t>
    </w:r>
    <w:r w:rsidRPr="00DA774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789685"/>
      <w:docPartObj>
        <w:docPartGallery w:val="Page Numbers (Bottom of Page)"/>
        <w:docPartUnique/>
      </w:docPartObj>
    </w:sdtPr>
    <w:sdtEndPr>
      <w:rPr>
        <w:noProof/>
      </w:rPr>
    </w:sdtEndPr>
    <w:sdtContent>
      <w:p w:rsidR="00237921" w:rsidRDefault="00237921">
        <w:pPr>
          <w:pStyle w:val="Footer"/>
          <w:jc w:val="right"/>
        </w:pPr>
        <w:r w:rsidRPr="00237921">
          <w:rPr>
            <w:b/>
            <w:sz w:val="18"/>
            <w:szCs w:val="18"/>
          </w:rPr>
          <w:fldChar w:fldCharType="begin"/>
        </w:r>
        <w:r w:rsidRPr="00237921">
          <w:rPr>
            <w:b/>
            <w:sz w:val="18"/>
            <w:szCs w:val="18"/>
          </w:rPr>
          <w:instrText xml:space="preserve"> PAGE   \* MERGEFORMAT </w:instrText>
        </w:r>
        <w:r w:rsidRPr="00237921">
          <w:rPr>
            <w:b/>
            <w:sz w:val="18"/>
            <w:szCs w:val="18"/>
          </w:rPr>
          <w:fldChar w:fldCharType="separate"/>
        </w:r>
        <w:r>
          <w:rPr>
            <w:b/>
            <w:noProof/>
            <w:sz w:val="18"/>
            <w:szCs w:val="18"/>
          </w:rPr>
          <w:t>3</w:t>
        </w:r>
        <w:r w:rsidRPr="00237921">
          <w:rPr>
            <w:b/>
            <w:noProof/>
            <w:sz w:val="18"/>
            <w:szCs w:val="18"/>
          </w:rPr>
          <w:fldChar w:fldCharType="end"/>
        </w:r>
      </w:p>
    </w:sdtContent>
  </w:sdt>
  <w:bookmarkStart w:id="0" w:name="_GoBack" w:displacedByCustomXml="prev"/>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21" w:rsidRDefault="0023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65" w:rsidRPr="00AC3823" w:rsidRDefault="00CF6165" w:rsidP="00AC3823">
      <w:pPr>
        <w:pStyle w:val="Footer"/>
        <w:tabs>
          <w:tab w:val="right" w:pos="2155"/>
        </w:tabs>
        <w:spacing w:after="80" w:line="240" w:lineRule="atLeast"/>
        <w:ind w:left="680"/>
        <w:rPr>
          <w:u w:val="single"/>
        </w:rPr>
      </w:pPr>
      <w:r>
        <w:rPr>
          <w:u w:val="single"/>
        </w:rPr>
        <w:tab/>
      </w:r>
    </w:p>
  </w:footnote>
  <w:footnote w:type="continuationSeparator" w:id="0">
    <w:p w:rsidR="00CF6165" w:rsidRPr="00AC3823" w:rsidRDefault="00CF6165" w:rsidP="00AC3823">
      <w:pPr>
        <w:pStyle w:val="Footer"/>
        <w:tabs>
          <w:tab w:val="right" w:pos="2155"/>
        </w:tabs>
        <w:spacing w:after="80" w:line="240" w:lineRule="atLeast"/>
        <w:ind w:left="680"/>
        <w:rPr>
          <w:u w:val="single"/>
        </w:rPr>
      </w:pPr>
      <w:r>
        <w:rPr>
          <w:u w:val="single"/>
        </w:rPr>
        <w:tab/>
      </w:r>
    </w:p>
  </w:footnote>
  <w:footnote w:type="continuationNotice" w:id="1">
    <w:p w:rsidR="00CF6165" w:rsidRPr="00AC3823" w:rsidRDefault="00CF6165">
      <w:pPr>
        <w:spacing w:line="240" w:lineRule="auto"/>
        <w:rPr>
          <w:sz w:val="2"/>
          <w:szCs w:val="2"/>
        </w:rPr>
      </w:pPr>
    </w:p>
  </w:footnote>
  <w:footnote w:id="2">
    <w:p w:rsidR="00237921" w:rsidRPr="00DD3512" w:rsidRDefault="00237921" w:rsidP="00237921">
      <w:pPr>
        <w:pStyle w:val="FootnoteText"/>
        <w:tabs>
          <w:tab w:val="clear" w:pos="1021"/>
        </w:tabs>
        <w:kinsoku/>
        <w:overflowPunct/>
        <w:autoSpaceDE/>
        <w:autoSpaceDN/>
        <w:adjustRightInd/>
        <w:snapToGrid/>
        <w:ind w:left="1418" w:hanging="284"/>
        <w:jc w:val="both"/>
        <w:rPr>
          <w:lang w:val="fr-FR"/>
        </w:rPr>
      </w:pPr>
      <w:r w:rsidRPr="0087307F">
        <w:rPr>
          <w:rStyle w:val="FootnoteReference"/>
          <w:sz w:val="20"/>
        </w:rPr>
        <w:sym w:font="Symbol" w:char="F02A"/>
      </w:r>
      <w:r>
        <w:tab/>
      </w:r>
      <w:r>
        <w:rPr>
          <w:lang w:eastAsia="en-GB"/>
        </w:rPr>
        <w:t>Conformément au programme de travail du Comité des transports intérieurs pour 2016-2017 (ECE/TRANS/2016/28/Add.1, par.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65" w:rsidRPr="00DA7745" w:rsidRDefault="00CF6165">
    <w:pPr>
      <w:pStyle w:val="Header"/>
    </w:pPr>
    <w:r>
      <w:t>ECE/TRANS/WP.15/201</w:t>
    </w:r>
    <w:r w:rsidR="00013F5A">
      <w:t>7</w:t>
    </w:r>
    <w:r>
      <w:t>/</w:t>
    </w:r>
    <w:r w:rsidR="00013F5A">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165" w:rsidRPr="00DA7745" w:rsidRDefault="00CF6165" w:rsidP="00DA7745">
    <w:pPr>
      <w:pStyle w:val="Header"/>
      <w:jc w:val="right"/>
    </w:pPr>
    <w:r>
      <w:t>ECE/TRANS/WP.15/201</w:t>
    </w:r>
    <w:r w:rsidR="00013F5A">
      <w:t>7</w:t>
    </w:r>
    <w:r>
      <w:t>/</w:t>
    </w:r>
    <w:r w:rsidR="00013F5A">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21" w:rsidRDefault="00237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0AC3B75"/>
    <w:multiLevelType w:val="hybridMultilevel"/>
    <w:tmpl w:val="83640F00"/>
    <w:lvl w:ilvl="0" w:tplc="194261AC">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7A72200"/>
    <w:multiLevelType w:val="hybridMultilevel"/>
    <w:tmpl w:val="7C7C2EB0"/>
    <w:lvl w:ilvl="0" w:tplc="2EBAF8C0">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15:restartNumberingAfterBreak="0">
    <w:nsid w:val="2BD300A3"/>
    <w:multiLevelType w:val="hybridMultilevel"/>
    <w:tmpl w:val="7F5C93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2325"/>
    <w:multiLevelType w:val="hybridMultilevel"/>
    <w:tmpl w:val="7780053A"/>
    <w:lvl w:ilvl="0" w:tplc="F9E0C3B2">
      <w:start w:val="1"/>
      <w:numFmt w:val="bullet"/>
      <w:lvlText w:val="•"/>
      <w:lvlJc w:val="left"/>
      <w:pPr>
        <w:tabs>
          <w:tab w:val="num" w:pos="1701"/>
        </w:tabs>
        <w:ind w:left="1701" w:hanging="170"/>
      </w:pPr>
      <w:rPr>
        <w:rFonts w:ascii="Times New Roman" w:hAnsi="Times New Roman" w:cs="Times New Roman" w:hint="default"/>
        <w:b w:val="0"/>
        <w:i w:val="0"/>
        <w:sz w:val="20"/>
        <w:lang w:val="fr-CH"/>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73"/>
    <w:rsid w:val="00007471"/>
    <w:rsid w:val="00013F5A"/>
    <w:rsid w:val="00017F94"/>
    <w:rsid w:val="00023842"/>
    <w:rsid w:val="000334F9"/>
    <w:rsid w:val="00044BBB"/>
    <w:rsid w:val="000517E8"/>
    <w:rsid w:val="0007796D"/>
    <w:rsid w:val="00080574"/>
    <w:rsid w:val="000B1148"/>
    <w:rsid w:val="000B7790"/>
    <w:rsid w:val="000B77F5"/>
    <w:rsid w:val="000C376B"/>
    <w:rsid w:val="000E481D"/>
    <w:rsid w:val="00111F2F"/>
    <w:rsid w:val="00133041"/>
    <w:rsid w:val="00141053"/>
    <w:rsid w:val="00142920"/>
    <w:rsid w:val="0014365E"/>
    <w:rsid w:val="00143C66"/>
    <w:rsid w:val="00154556"/>
    <w:rsid w:val="001642A2"/>
    <w:rsid w:val="00176178"/>
    <w:rsid w:val="00182BBC"/>
    <w:rsid w:val="00185A1D"/>
    <w:rsid w:val="001B4E99"/>
    <w:rsid w:val="001E388A"/>
    <w:rsid w:val="001E576E"/>
    <w:rsid w:val="001F525A"/>
    <w:rsid w:val="00223272"/>
    <w:rsid w:val="002366CB"/>
    <w:rsid w:val="00237921"/>
    <w:rsid w:val="0024779E"/>
    <w:rsid w:val="00251867"/>
    <w:rsid w:val="00257168"/>
    <w:rsid w:val="00262838"/>
    <w:rsid w:val="002650AF"/>
    <w:rsid w:val="002744B8"/>
    <w:rsid w:val="00274BA3"/>
    <w:rsid w:val="00274DB0"/>
    <w:rsid w:val="002832AC"/>
    <w:rsid w:val="00297ACA"/>
    <w:rsid w:val="002D7C93"/>
    <w:rsid w:val="002E3CDC"/>
    <w:rsid w:val="002E3DB8"/>
    <w:rsid w:val="002F452F"/>
    <w:rsid w:val="00305801"/>
    <w:rsid w:val="00307C34"/>
    <w:rsid w:val="00314684"/>
    <w:rsid w:val="0033489F"/>
    <w:rsid w:val="003428D8"/>
    <w:rsid w:val="003916DE"/>
    <w:rsid w:val="00391929"/>
    <w:rsid w:val="003A4B60"/>
    <w:rsid w:val="003C17BE"/>
    <w:rsid w:val="00407570"/>
    <w:rsid w:val="004140B7"/>
    <w:rsid w:val="00427080"/>
    <w:rsid w:val="00441C3B"/>
    <w:rsid w:val="00446FE5"/>
    <w:rsid w:val="00452396"/>
    <w:rsid w:val="0045321D"/>
    <w:rsid w:val="00460713"/>
    <w:rsid w:val="0047159A"/>
    <w:rsid w:val="004837D8"/>
    <w:rsid w:val="004A6EFF"/>
    <w:rsid w:val="004C0E7B"/>
    <w:rsid w:val="004E0D70"/>
    <w:rsid w:val="004E468C"/>
    <w:rsid w:val="00527EAC"/>
    <w:rsid w:val="00547A03"/>
    <w:rsid w:val="005505B7"/>
    <w:rsid w:val="0055631F"/>
    <w:rsid w:val="00573BE5"/>
    <w:rsid w:val="00584E70"/>
    <w:rsid w:val="00586ED3"/>
    <w:rsid w:val="00596AA9"/>
    <w:rsid w:val="005C5AF2"/>
    <w:rsid w:val="005C5F21"/>
    <w:rsid w:val="005E6AB3"/>
    <w:rsid w:val="0063198F"/>
    <w:rsid w:val="006626F4"/>
    <w:rsid w:val="0068130C"/>
    <w:rsid w:val="006C43D3"/>
    <w:rsid w:val="006C7D10"/>
    <w:rsid w:val="006D23D3"/>
    <w:rsid w:val="006F0F76"/>
    <w:rsid w:val="0071601D"/>
    <w:rsid w:val="00727527"/>
    <w:rsid w:val="007643B0"/>
    <w:rsid w:val="007663BB"/>
    <w:rsid w:val="007A62E6"/>
    <w:rsid w:val="007C3BDE"/>
    <w:rsid w:val="007C3E6F"/>
    <w:rsid w:val="007D141E"/>
    <w:rsid w:val="007E67BA"/>
    <w:rsid w:val="007F20FA"/>
    <w:rsid w:val="007F462E"/>
    <w:rsid w:val="0080684C"/>
    <w:rsid w:val="00806B9F"/>
    <w:rsid w:val="00815AAD"/>
    <w:rsid w:val="0083051F"/>
    <w:rsid w:val="00871C75"/>
    <w:rsid w:val="008776DC"/>
    <w:rsid w:val="008C0D21"/>
    <w:rsid w:val="008D27F4"/>
    <w:rsid w:val="008D5BF3"/>
    <w:rsid w:val="00922B83"/>
    <w:rsid w:val="009705C8"/>
    <w:rsid w:val="009C1CF4"/>
    <w:rsid w:val="009C3222"/>
    <w:rsid w:val="009F4177"/>
    <w:rsid w:val="009F6B74"/>
    <w:rsid w:val="00A20AFA"/>
    <w:rsid w:val="00A30353"/>
    <w:rsid w:val="00A3453B"/>
    <w:rsid w:val="00A346FA"/>
    <w:rsid w:val="00A42A4A"/>
    <w:rsid w:val="00A9188A"/>
    <w:rsid w:val="00AC3823"/>
    <w:rsid w:val="00AE323C"/>
    <w:rsid w:val="00AF0CB5"/>
    <w:rsid w:val="00B00181"/>
    <w:rsid w:val="00B00B0D"/>
    <w:rsid w:val="00B30539"/>
    <w:rsid w:val="00B725C1"/>
    <w:rsid w:val="00B765F7"/>
    <w:rsid w:val="00BA0CA9"/>
    <w:rsid w:val="00C02897"/>
    <w:rsid w:val="00C762F4"/>
    <w:rsid w:val="00CC476C"/>
    <w:rsid w:val="00CC6249"/>
    <w:rsid w:val="00CF4E4D"/>
    <w:rsid w:val="00CF6165"/>
    <w:rsid w:val="00D0724C"/>
    <w:rsid w:val="00D105AA"/>
    <w:rsid w:val="00D3439C"/>
    <w:rsid w:val="00D45C08"/>
    <w:rsid w:val="00D66498"/>
    <w:rsid w:val="00D965A7"/>
    <w:rsid w:val="00DA7745"/>
    <w:rsid w:val="00DB1831"/>
    <w:rsid w:val="00DB6627"/>
    <w:rsid w:val="00DD3BFD"/>
    <w:rsid w:val="00DE69CC"/>
    <w:rsid w:val="00DF6678"/>
    <w:rsid w:val="00E07AD7"/>
    <w:rsid w:val="00E1615A"/>
    <w:rsid w:val="00E25C6B"/>
    <w:rsid w:val="00E632E1"/>
    <w:rsid w:val="00E77F73"/>
    <w:rsid w:val="00E85C74"/>
    <w:rsid w:val="00E9755E"/>
    <w:rsid w:val="00EA6547"/>
    <w:rsid w:val="00EB0173"/>
    <w:rsid w:val="00EC317B"/>
    <w:rsid w:val="00EF2E22"/>
    <w:rsid w:val="00F303C2"/>
    <w:rsid w:val="00F30AA0"/>
    <w:rsid w:val="00F35BAF"/>
    <w:rsid w:val="00F45E56"/>
    <w:rsid w:val="00F552CF"/>
    <w:rsid w:val="00F660DF"/>
    <w:rsid w:val="00F94664"/>
    <w:rsid w:val="00F9573C"/>
    <w:rsid w:val="00F95C08"/>
    <w:rsid w:val="00FA383B"/>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47BA0E7"/>
  <w15:docId w15:val="{DE4B9E6D-969E-4FF0-83F8-382779F7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link w:val="ParNoGCar"/>
    <w:qFormat/>
    <w:rsid w:val="00DF6678"/>
    <w:pPr>
      <w:numPr>
        <w:numId w:val="3"/>
      </w:numPr>
      <w:tabs>
        <w:tab w:val="clear" w:pos="1701"/>
      </w:tabs>
      <w:spacing w:after="120"/>
      <w:ind w:right="1134"/>
      <w:jc w:val="both"/>
    </w:pPr>
  </w:style>
  <w:style w:type="character" w:styleId="FootnoteReference">
    <w:name w:val="footnote reference"/>
    <w:aliases w:val="4_G"/>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A7745"/>
    <w:rPr>
      <w:rFonts w:ascii="Times New Roman" w:hAnsi="Times New Roman" w:cs="Times New Roman"/>
      <w:sz w:val="20"/>
      <w:szCs w:val="20"/>
      <w:lang w:eastAsia="en-US"/>
    </w:rPr>
  </w:style>
  <w:style w:type="character" w:customStyle="1" w:styleId="HChGChar">
    <w:name w:val="_ H _Ch_G Char"/>
    <w:link w:val="HChG"/>
    <w:rsid w:val="000C376B"/>
    <w:rPr>
      <w:rFonts w:ascii="Times New Roman" w:hAnsi="Times New Roman" w:cs="Times New Roman"/>
      <w:b/>
      <w:sz w:val="28"/>
      <w:lang w:val="fr-CH" w:eastAsia="en-US"/>
    </w:rPr>
  </w:style>
  <w:style w:type="paragraph" w:styleId="ListParagraph">
    <w:name w:val="List Paragraph"/>
    <w:basedOn w:val="Normal"/>
    <w:uiPriority w:val="34"/>
    <w:qFormat/>
    <w:rsid w:val="00F30AA0"/>
    <w:pPr>
      <w:ind w:left="720"/>
      <w:contextualSpacing/>
    </w:pPr>
  </w:style>
  <w:style w:type="character" w:customStyle="1" w:styleId="ParNoGCar">
    <w:name w:val="_ParNo_G Car"/>
    <w:link w:val="ParNoG"/>
    <w:rsid w:val="00297ACA"/>
    <w:rPr>
      <w:rFonts w:ascii="Times New Roman" w:hAnsi="Times New Roman" w:cs="Times New Roman"/>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5A6B-2CEB-4966-8878-3C752B5C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1351</Words>
  <Characters>7706</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ECE/TRANS/WP.15/2015/1</vt:lpstr>
      <vt:lpstr>ECE/TRANS/WP.15/2015/1</vt:lpstr>
    </vt:vector>
  </TitlesOfParts>
  <Company>DCM</Company>
  <LinksUpToDate>false</LinksUpToDate>
  <CharactersWithSpaces>9039</CharactersWithSpaces>
  <SharedDoc>false</SharedDoc>
  <HLinks>
    <vt:vector size="6" baseType="variant">
      <vt:variant>
        <vt:i4>5439535</vt:i4>
      </vt:variant>
      <vt:variant>
        <vt:i4>0</vt:i4>
      </vt:variant>
      <vt:variant>
        <vt:i4>0</vt:i4>
      </vt:variant>
      <vt:variant>
        <vt:i4>5</vt:i4>
      </vt:variant>
      <vt:variant>
        <vt:lpwstr>http://www.unece.org/trans/danger/publi/adr/adr_guidelines.html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ECE/TRANS/WP.15/2015/1</dc:title>
  <dc:subject>Final</dc:subject>
  <dc:creator>Crelier</dc:creator>
  <cp:lastModifiedBy>Christine Barrio-Champeau</cp:lastModifiedBy>
  <cp:revision>8</cp:revision>
  <cp:lastPrinted>2017-02-06T14:23:00Z</cp:lastPrinted>
  <dcterms:created xsi:type="dcterms:W3CDTF">2017-02-06T14:24:00Z</dcterms:created>
  <dcterms:modified xsi:type="dcterms:W3CDTF">2017-02-20T13:28:00Z</dcterms:modified>
</cp:coreProperties>
</file>