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354F1E" w:rsidP="0032337E">
            <w:pPr>
              <w:suppressAutoHyphens w:val="0"/>
              <w:spacing w:after="20"/>
              <w:jc w:val="right"/>
            </w:pPr>
            <w:r w:rsidRPr="00354F1E">
              <w:rPr>
                <w:sz w:val="40"/>
              </w:rPr>
              <w:t>ECE</w:t>
            </w:r>
            <w:r>
              <w:t>/TRANS/WP.15/AC.1</w:t>
            </w:r>
            <w:r w:rsidR="0032337E">
              <w:t>/</w:t>
            </w:r>
            <w:r>
              <w:t>2017/21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838D3A7" wp14:editId="371C97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354F1E" w:rsidP="00354F1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54F1E" w:rsidRDefault="00354F1E" w:rsidP="00354F1E">
            <w:pPr>
              <w:suppressAutoHyphens w:val="0"/>
            </w:pPr>
            <w:r>
              <w:t>21 December 2016</w:t>
            </w:r>
          </w:p>
          <w:p w:rsidR="00354F1E" w:rsidRDefault="00354F1E" w:rsidP="00354F1E">
            <w:pPr>
              <w:suppressAutoHyphens w:val="0"/>
            </w:pPr>
            <w:r>
              <w:t>English</w:t>
            </w:r>
          </w:p>
          <w:p w:rsidR="00354F1E" w:rsidRDefault="00354F1E" w:rsidP="00354F1E">
            <w:pPr>
              <w:suppressAutoHyphens w:val="0"/>
            </w:pPr>
            <w:r>
              <w:t>Original: French</w:t>
            </w:r>
          </w:p>
        </w:tc>
      </w:tr>
    </w:tbl>
    <w:p w:rsidR="00354F1E" w:rsidRDefault="00354F1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354F1E" w:rsidRDefault="00354F1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354F1E" w:rsidRDefault="00354F1E" w:rsidP="008912B3">
      <w:pPr>
        <w:spacing w:before="120" w:after="120"/>
        <w:rPr>
          <w:b/>
          <w:sz w:val="24"/>
          <w:szCs w:val="24"/>
        </w:rPr>
      </w:pPr>
      <w:r w:rsidRPr="00386032">
        <w:rPr>
          <w:b/>
          <w:sz w:val="24"/>
          <w:szCs w:val="24"/>
        </w:rPr>
        <w:t>Working Party on the Transport of Dangerous Goods</w:t>
      </w:r>
    </w:p>
    <w:p w:rsidR="00354F1E" w:rsidRPr="008912B3" w:rsidRDefault="00354F1E" w:rsidP="00354F1E">
      <w:pPr>
        <w:rPr>
          <w:b/>
        </w:rPr>
      </w:pPr>
      <w:r w:rsidRPr="008912B3">
        <w:rPr>
          <w:b/>
        </w:rPr>
        <w:t>Joint meeting of the RID Committee of Experts and the</w:t>
      </w:r>
    </w:p>
    <w:p w:rsidR="00354F1E" w:rsidRPr="008912B3" w:rsidRDefault="00354F1E" w:rsidP="00354F1E">
      <w:pPr>
        <w:spacing w:after="120"/>
        <w:rPr>
          <w:b/>
        </w:rPr>
      </w:pPr>
      <w:r w:rsidRPr="008912B3">
        <w:rPr>
          <w:b/>
        </w:rPr>
        <w:t>Working Party on the Transport of Dangerous Goods</w:t>
      </w:r>
    </w:p>
    <w:p w:rsidR="00354F1E" w:rsidRPr="00386032" w:rsidRDefault="00354F1E" w:rsidP="00354F1E">
      <w:pPr>
        <w:rPr>
          <w:bCs/>
        </w:rPr>
      </w:pPr>
      <w:r w:rsidRPr="00386032">
        <w:rPr>
          <w:bCs/>
        </w:rPr>
        <w:t>Bern, 13-17 March 2017</w:t>
      </w:r>
    </w:p>
    <w:p w:rsidR="00354F1E" w:rsidRPr="00386032" w:rsidRDefault="00354F1E" w:rsidP="00354F1E">
      <w:pPr>
        <w:rPr>
          <w:bCs/>
        </w:rPr>
      </w:pPr>
      <w:r w:rsidRPr="00386032">
        <w:rPr>
          <w:bCs/>
        </w:rPr>
        <w:t>Item 2 of the provisional agenda</w:t>
      </w:r>
    </w:p>
    <w:p w:rsidR="00354F1E" w:rsidRPr="00386032" w:rsidRDefault="00354F1E" w:rsidP="00354F1E">
      <w:pPr>
        <w:rPr>
          <w:b/>
        </w:rPr>
      </w:pPr>
      <w:r w:rsidRPr="00386032">
        <w:rPr>
          <w:b/>
        </w:rPr>
        <w:t>Tanks</w:t>
      </w:r>
    </w:p>
    <w:p w:rsidR="00522B28" w:rsidRPr="004A53C8" w:rsidRDefault="00522B28" w:rsidP="003502E3">
      <w:pPr>
        <w:pStyle w:val="HChG"/>
      </w:pPr>
      <w:r w:rsidRPr="004A53C8">
        <w:tab/>
      </w:r>
      <w:r>
        <w:tab/>
      </w:r>
      <w:r w:rsidRPr="004A53C8">
        <w:t xml:space="preserve">Demountable tanks and tank-containers </w:t>
      </w:r>
      <w:r w:rsidR="003502E3">
        <w:t>—</w:t>
      </w:r>
      <w:r w:rsidRPr="004A53C8">
        <w:t xml:space="preserve"> Interpretation of definitions</w:t>
      </w:r>
    </w:p>
    <w:p w:rsidR="00522B28" w:rsidRPr="004A53C8" w:rsidRDefault="00522B28" w:rsidP="00522B28">
      <w:pPr>
        <w:pStyle w:val="H1G"/>
      </w:pPr>
      <w:r w:rsidRPr="004A53C8">
        <w:tab/>
      </w:r>
      <w:r>
        <w:tab/>
      </w:r>
      <w:r w:rsidRPr="004A53C8">
        <w:t>Transmitted by the Government of France</w:t>
      </w:r>
      <w:r w:rsidRPr="00522B28">
        <w:rPr>
          <w:rStyle w:val="Appelnotedebasdep"/>
          <w:b w:val="0"/>
          <w:bCs/>
          <w:sz w:val="20"/>
          <w:vertAlign w:val="baseline"/>
        </w:rPr>
        <w:footnoteReference w:customMarkFollows="1" w:id="1"/>
        <w:t>*</w:t>
      </w:r>
      <w:r w:rsidRPr="001341E9">
        <w:rPr>
          <w:b w:val="0"/>
          <w:bCs/>
          <w:position w:val="8"/>
          <w:sz w:val="20"/>
        </w:rPr>
        <w:t>,</w:t>
      </w:r>
      <w:r>
        <w:t xml:space="preserve"> </w:t>
      </w:r>
      <w:r w:rsidRPr="00522B2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**</w:t>
      </w:r>
    </w:p>
    <w:p w:rsidR="00522B28" w:rsidRDefault="00522B28" w:rsidP="00522B28">
      <w:pPr>
        <w:pStyle w:val="HChG"/>
      </w:pPr>
      <w:r w:rsidRPr="004A53C8">
        <w:tab/>
      </w:r>
      <w:r>
        <w:tab/>
      </w:r>
      <w:r w:rsidRPr="004A53C8">
        <w:t>Introduction</w:t>
      </w: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22B28" w:rsidTr="00522B28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22B28" w:rsidRPr="00522B28" w:rsidRDefault="00522B28" w:rsidP="00522B28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522B28" w:rsidTr="00522B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22B28" w:rsidRDefault="00522B28" w:rsidP="00386032">
            <w:pPr>
              <w:pStyle w:val="SingleTxtG"/>
              <w:tabs>
                <w:tab w:val="left" w:pos="3118"/>
              </w:tabs>
              <w:ind w:left="283"/>
            </w:pPr>
            <w:r w:rsidRPr="00522B28">
              <w:rPr>
                <w:b/>
                <w:bCs/>
              </w:rPr>
              <w:t>Executive summary</w:t>
            </w:r>
            <w:r w:rsidRPr="004A53C8">
              <w:t>:</w:t>
            </w:r>
            <w:r w:rsidRPr="004A53C8">
              <w:tab/>
              <w:t xml:space="preserve">Establish whether a tank meets the definition of a demountable </w:t>
            </w:r>
            <w:r w:rsidR="00386032">
              <w:tab/>
            </w:r>
            <w:r w:rsidRPr="004A53C8">
              <w:t>tank or a tank-container</w:t>
            </w:r>
          </w:p>
        </w:tc>
      </w:tr>
      <w:tr w:rsidR="00522B28" w:rsidTr="00522B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22B28" w:rsidRPr="00386032" w:rsidRDefault="00522B28" w:rsidP="00386032">
            <w:pPr>
              <w:pStyle w:val="SingleTxtG"/>
              <w:tabs>
                <w:tab w:val="left" w:pos="3118"/>
              </w:tabs>
              <w:ind w:left="283"/>
              <w:rPr>
                <w:b/>
                <w:bCs/>
              </w:rPr>
            </w:pPr>
            <w:r w:rsidRPr="00522B28">
              <w:rPr>
                <w:b/>
                <w:bCs/>
              </w:rPr>
              <w:t>Reference documents</w:t>
            </w:r>
            <w:r w:rsidRPr="001341E9">
              <w:t>:</w:t>
            </w:r>
            <w:r w:rsidRPr="00386032">
              <w:rPr>
                <w:b/>
                <w:bCs/>
              </w:rPr>
              <w:tab/>
            </w:r>
            <w:r w:rsidRPr="00386032">
              <w:t>ADR 2017, Chapter 1.2</w:t>
            </w:r>
          </w:p>
        </w:tc>
      </w:tr>
      <w:tr w:rsidR="00522B28" w:rsidTr="00522B28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22B28" w:rsidRDefault="00522B28" w:rsidP="00522B28">
            <w:pPr>
              <w:suppressAutoHyphens w:val="0"/>
            </w:pPr>
          </w:p>
        </w:tc>
      </w:tr>
    </w:tbl>
    <w:p w:rsidR="00522B28" w:rsidRPr="004A53C8" w:rsidRDefault="00522B28" w:rsidP="007D4408">
      <w:pPr>
        <w:pStyle w:val="SingleTxtG"/>
        <w:spacing w:before="240"/>
      </w:pPr>
      <w:r w:rsidRPr="004A53C8">
        <w:t>1.</w:t>
      </w:r>
      <w:r w:rsidRPr="004A53C8">
        <w:tab/>
        <w:t xml:space="preserve">According to Chapter 1.2 of ADR, the term </w:t>
      </w:r>
      <w:r w:rsidR="00481285">
        <w:t>“</w:t>
      </w:r>
      <w:r w:rsidRPr="007D4408">
        <w:rPr>
          <w:i/>
          <w:iCs/>
        </w:rPr>
        <w:t>demountable tank</w:t>
      </w:r>
      <w:r w:rsidR="00481285">
        <w:t>”</w:t>
      </w:r>
      <w:r w:rsidR="007D4408">
        <w:t xml:space="preserve"> means a tank, other </w:t>
      </w:r>
      <w:r w:rsidRPr="004A53C8">
        <w:t xml:space="preserve">than a fixed tank, a portable tank, a tank-container or an element of a battery-vehicle or a MEGC which has a capacity of more than 450 litres, </w:t>
      </w:r>
      <w:r w:rsidRPr="007D4408">
        <w:rPr>
          <w:u w:val="single"/>
        </w:rPr>
        <w:t>is not designed for the carriage</w:t>
      </w:r>
      <w:r w:rsidRPr="004A53C8">
        <w:t xml:space="preserve"> of goods </w:t>
      </w:r>
      <w:r w:rsidRPr="007D4408">
        <w:rPr>
          <w:u w:val="single"/>
        </w:rPr>
        <w:t>without breakage of load</w:t>
      </w:r>
      <w:r w:rsidRPr="004A53C8">
        <w:t>, and normally can only be handled when it is empty.</w:t>
      </w:r>
    </w:p>
    <w:p w:rsidR="00522B28" w:rsidRPr="004A53C8" w:rsidRDefault="00522B28" w:rsidP="007D4408">
      <w:pPr>
        <w:pStyle w:val="SingleTxtG"/>
      </w:pPr>
      <w:r w:rsidRPr="004A53C8">
        <w:lastRenderedPageBreak/>
        <w:t>2.</w:t>
      </w:r>
      <w:r w:rsidRPr="004A53C8">
        <w:tab/>
        <w:t xml:space="preserve">According to Chapter 1.2 of RID/ADR, </w:t>
      </w:r>
      <w:r w:rsidR="00481285">
        <w:t>“</w:t>
      </w:r>
      <w:r w:rsidRPr="007D4408">
        <w:rPr>
          <w:i/>
          <w:iCs/>
        </w:rPr>
        <w:t>tank-container</w:t>
      </w:r>
      <w:r w:rsidR="00481285">
        <w:t>”</w:t>
      </w:r>
      <w:r w:rsidRPr="004A53C8">
        <w:t xml:space="preserve"> means an article of transport equipment </w:t>
      </w:r>
      <w:r w:rsidRPr="007D4408">
        <w:rPr>
          <w:u w:val="single"/>
        </w:rPr>
        <w:t>meeting the definition of a container</w:t>
      </w:r>
      <w:r w:rsidRPr="004A53C8">
        <w:t xml:space="preserve">, and comprising a shell and items of equipment, including the equipment to facilitate </w:t>
      </w:r>
      <w:r w:rsidRPr="007D4408">
        <w:rPr>
          <w:u w:val="single"/>
        </w:rPr>
        <w:t>movement of the tank-container without significant change of attitude</w:t>
      </w:r>
      <w:r w:rsidRPr="004A53C8">
        <w:t>, used for the carriage of gases, liquid, powdery or granular substances and, when used for the carriage of gases as defined in 2.2.2.1.1, having a capacity of more than 0.45 m</w:t>
      </w:r>
      <w:r w:rsidRPr="007D4408">
        <w:rPr>
          <w:vertAlign w:val="superscript"/>
        </w:rPr>
        <w:t>3</w:t>
      </w:r>
      <w:r w:rsidRPr="004A53C8">
        <w:t xml:space="preserve"> (450 litres).</w:t>
      </w:r>
    </w:p>
    <w:p w:rsidR="00522B28" w:rsidRPr="004A53C8" w:rsidRDefault="00522B28" w:rsidP="007D4408">
      <w:pPr>
        <w:pStyle w:val="SingleTxtG"/>
      </w:pPr>
      <w:r w:rsidRPr="004A53C8">
        <w:t>3.</w:t>
      </w:r>
      <w:r w:rsidRPr="004A53C8">
        <w:tab/>
      </w:r>
      <w:r w:rsidR="00481285">
        <w:t>“</w:t>
      </w:r>
      <w:r w:rsidRPr="007D4408">
        <w:rPr>
          <w:i/>
          <w:iCs/>
        </w:rPr>
        <w:t>Container</w:t>
      </w:r>
      <w:r w:rsidR="00481285">
        <w:t>”</w:t>
      </w:r>
      <w:r w:rsidRPr="004A53C8">
        <w:t xml:space="preserve"> means an article of transport equipment (lift van or other similar structure):</w:t>
      </w:r>
    </w:p>
    <w:p w:rsidR="00522B28" w:rsidRPr="004A53C8" w:rsidRDefault="00522B28" w:rsidP="007D4408">
      <w:pPr>
        <w:pStyle w:val="Bullet1G"/>
      </w:pPr>
      <w:r w:rsidRPr="004A53C8">
        <w:t>Of a permanent character and accordingly strong enough to be suitable for repeated use;</w:t>
      </w:r>
    </w:p>
    <w:p w:rsidR="00522B28" w:rsidRPr="004A53C8" w:rsidRDefault="00522B28" w:rsidP="007D4408">
      <w:pPr>
        <w:pStyle w:val="Bullet1G"/>
      </w:pPr>
      <w:r w:rsidRPr="007D4408">
        <w:rPr>
          <w:u w:val="single"/>
        </w:rPr>
        <w:t>Specially designed to facilitate the carriage</w:t>
      </w:r>
      <w:r w:rsidRPr="004A53C8">
        <w:t xml:space="preserve"> of goods, by one or more means of transport, </w:t>
      </w:r>
      <w:r w:rsidRPr="007D4408">
        <w:rPr>
          <w:u w:val="single"/>
        </w:rPr>
        <w:t>without breakage of load</w:t>
      </w:r>
      <w:r w:rsidRPr="004A53C8">
        <w:t>;</w:t>
      </w:r>
    </w:p>
    <w:p w:rsidR="00522B28" w:rsidRPr="004A53C8" w:rsidRDefault="00522B28" w:rsidP="007D4408">
      <w:pPr>
        <w:pStyle w:val="Bullet1G"/>
      </w:pPr>
      <w:r w:rsidRPr="0032337E">
        <w:rPr>
          <w:u w:val="single"/>
        </w:rPr>
        <w:t>Fitted with devices permitting</w:t>
      </w:r>
      <w:r w:rsidRPr="004A53C8">
        <w:t xml:space="preserve"> its ready stowage and </w:t>
      </w:r>
      <w:r w:rsidRPr="007D4408">
        <w:rPr>
          <w:u w:val="single"/>
        </w:rPr>
        <w:t>handling</w:t>
      </w:r>
      <w:r w:rsidRPr="004A53C8">
        <w:t xml:space="preserve">, </w:t>
      </w:r>
      <w:r w:rsidRPr="007D4408">
        <w:rPr>
          <w:u w:val="single"/>
        </w:rPr>
        <w:t>particularly when being transloaded from one means of transport to another</w:t>
      </w:r>
      <w:r w:rsidRPr="004A53C8">
        <w:t>;</w:t>
      </w:r>
    </w:p>
    <w:p w:rsidR="00522B28" w:rsidRPr="004A53C8" w:rsidRDefault="00522B28" w:rsidP="007D4408">
      <w:pPr>
        <w:pStyle w:val="Bullet1G"/>
      </w:pPr>
      <w:r w:rsidRPr="004A53C8">
        <w:t xml:space="preserve">So designed as to be easy to fill and empty; </w:t>
      </w:r>
    </w:p>
    <w:p w:rsidR="00522B28" w:rsidRPr="004A53C8" w:rsidRDefault="00522B28" w:rsidP="007D4408">
      <w:pPr>
        <w:pStyle w:val="Bullet1G"/>
      </w:pPr>
      <w:r w:rsidRPr="004A53C8">
        <w:t>Having an internal volume of not less than 1 m</w:t>
      </w:r>
      <w:r w:rsidRPr="007D4408">
        <w:rPr>
          <w:vertAlign w:val="superscript"/>
        </w:rPr>
        <w:t>3</w:t>
      </w:r>
      <w:r w:rsidRPr="004A53C8">
        <w:t>, except for containers for the carriage of radioactive material.</w:t>
      </w:r>
    </w:p>
    <w:p w:rsidR="00522B28" w:rsidRPr="004A53C8" w:rsidRDefault="00522B28" w:rsidP="007D4408">
      <w:pPr>
        <w:pStyle w:val="SingleTxtG"/>
      </w:pPr>
      <w:r w:rsidRPr="004A53C8">
        <w:t>4.</w:t>
      </w:r>
      <w:r w:rsidRPr="004A53C8">
        <w:tab/>
        <w:t>A demountable tank is used only for road transport, while a tank-container is usually a multimodal unit.</w:t>
      </w:r>
    </w:p>
    <w:p w:rsidR="00522B28" w:rsidRPr="004A53C8" w:rsidRDefault="00522B28" w:rsidP="007D4408">
      <w:pPr>
        <w:pStyle w:val="SingleTxtG"/>
      </w:pPr>
      <w:r w:rsidRPr="004A53C8">
        <w:t>5.</w:t>
      </w:r>
      <w:r w:rsidRPr="004A53C8">
        <w:tab/>
        <w:t xml:space="preserve">The question arises of whether a tank intended for the carriage of gases, such as that shown in annex, whose service equipment is protected by a cabinet that is located at the rear when the tank is mounted on a road vehicle and is lower than the chassis of the vehicle, can be considered as a tank-container or must be seen as a removable tank. </w:t>
      </w:r>
    </w:p>
    <w:p w:rsidR="00522B28" w:rsidRPr="004A53C8" w:rsidRDefault="00522B28" w:rsidP="007D4408">
      <w:pPr>
        <w:pStyle w:val="SingleTxtG"/>
      </w:pPr>
      <w:r w:rsidRPr="004A53C8">
        <w:t>6.</w:t>
      </w:r>
      <w:r w:rsidRPr="004A53C8">
        <w:tab/>
        <w:t>We are of the view that such a tank, which can be attached only to a specific chassis frame, cannot be transloaded from one means of transport to another and simply cannot be removed because of the position of the cabinet, cannot be considered to be a tank-container.</w:t>
      </w:r>
    </w:p>
    <w:p w:rsidR="00522B28" w:rsidRPr="004A53C8" w:rsidRDefault="00522B28" w:rsidP="007D4408">
      <w:pPr>
        <w:pStyle w:val="SingleTxtG"/>
      </w:pPr>
      <w:r w:rsidRPr="004A53C8">
        <w:t>7.</w:t>
      </w:r>
      <w:r w:rsidRPr="004A53C8">
        <w:tab/>
        <w:t>We would like to know the opinion of the Joint Meeting on this issue.</w:t>
      </w:r>
    </w:p>
    <w:p w:rsidR="00522B28" w:rsidRPr="004A53C8" w:rsidRDefault="00522B28" w:rsidP="007D4408">
      <w:pPr>
        <w:pStyle w:val="HChG"/>
      </w:pPr>
      <w:r w:rsidRPr="004A53C8">
        <w:br w:type="page"/>
      </w:r>
      <w:r w:rsidRPr="004A53C8">
        <w:lastRenderedPageBreak/>
        <w:t>Annex</w:t>
      </w:r>
    </w:p>
    <w:p w:rsidR="007D4408" w:rsidRPr="00106A43" w:rsidRDefault="00522B28" w:rsidP="007D4408">
      <w:pPr>
        <w:spacing w:before="360"/>
        <w:jc w:val="center"/>
        <w:rPr>
          <w:u w:val="single"/>
        </w:rPr>
      </w:pPr>
      <w:r w:rsidRPr="004A53C8">
        <w:rPr>
          <w:noProof/>
          <w:lang w:eastAsia="en-GB"/>
        </w:rPr>
        <w:drawing>
          <wp:inline distT="0" distB="0" distL="0" distR="0" wp14:anchorId="1336C848" wp14:editId="37AE1BBE">
            <wp:extent cx="5895975" cy="45529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408">
        <w:rPr>
          <w:u w:val="single"/>
        </w:rPr>
        <w:tab/>
      </w:r>
      <w:r w:rsidR="007D4408">
        <w:rPr>
          <w:u w:val="single"/>
        </w:rPr>
        <w:tab/>
      </w:r>
      <w:r w:rsidR="007D4408">
        <w:rPr>
          <w:u w:val="single"/>
        </w:rPr>
        <w:tab/>
      </w:r>
    </w:p>
    <w:sectPr w:rsidR="007D4408" w:rsidRPr="00106A43" w:rsidSect="00354F1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D0" w:rsidRPr="00FB1744" w:rsidRDefault="00420AD0" w:rsidP="00FB1744">
      <w:pPr>
        <w:pStyle w:val="Pieddepage"/>
      </w:pPr>
    </w:p>
  </w:endnote>
  <w:endnote w:type="continuationSeparator" w:id="0">
    <w:p w:rsidR="00420AD0" w:rsidRPr="00FB1744" w:rsidRDefault="00420AD0" w:rsidP="00FB1744">
      <w:pPr>
        <w:pStyle w:val="Pieddepa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1E" w:rsidRPr="00354F1E" w:rsidRDefault="00354F1E" w:rsidP="00354F1E">
    <w:pPr>
      <w:pStyle w:val="Pieddepage"/>
      <w:tabs>
        <w:tab w:val="right" w:pos="9598"/>
      </w:tabs>
    </w:pPr>
    <w:r w:rsidRPr="00354F1E">
      <w:rPr>
        <w:b/>
        <w:sz w:val="18"/>
      </w:rPr>
      <w:fldChar w:fldCharType="begin"/>
    </w:r>
    <w:r w:rsidRPr="00354F1E">
      <w:rPr>
        <w:b/>
        <w:sz w:val="18"/>
      </w:rPr>
      <w:instrText xml:space="preserve"> PAGE  \* MERGEFORMAT </w:instrText>
    </w:r>
    <w:r w:rsidRPr="00354F1E">
      <w:rPr>
        <w:b/>
        <w:sz w:val="18"/>
      </w:rPr>
      <w:fldChar w:fldCharType="separate"/>
    </w:r>
    <w:r w:rsidR="006F6C48">
      <w:rPr>
        <w:b/>
        <w:noProof/>
        <w:sz w:val="18"/>
      </w:rPr>
      <w:t>2</w:t>
    </w:r>
    <w:r w:rsidRPr="00354F1E">
      <w:rPr>
        <w:b/>
        <w:sz w:val="18"/>
      </w:rPr>
      <w:fldChar w:fldCharType="end"/>
    </w:r>
    <w:r>
      <w:rPr>
        <w:sz w:val="18"/>
      </w:rPr>
      <w:tab/>
    </w:r>
    <w:r>
      <w:t>GE.16-22642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1E" w:rsidRPr="00354F1E" w:rsidRDefault="00354F1E" w:rsidP="00354F1E">
    <w:pPr>
      <w:pStyle w:val="Pieddepage"/>
      <w:tabs>
        <w:tab w:val="right" w:pos="9598"/>
      </w:tabs>
      <w:rPr>
        <w:b/>
        <w:sz w:val="18"/>
      </w:rPr>
    </w:pPr>
    <w:r>
      <w:t>GE.16-22642</w:t>
    </w:r>
    <w:r>
      <w:tab/>
    </w:r>
    <w:r w:rsidRPr="00354F1E">
      <w:rPr>
        <w:b/>
        <w:sz w:val="18"/>
      </w:rPr>
      <w:fldChar w:fldCharType="begin"/>
    </w:r>
    <w:r w:rsidRPr="00354F1E">
      <w:rPr>
        <w:b/>
        <w:sz w:val="18"/>
      </w:rPr>
      <w:instrText xml:space="preserve"> PAGE  \* MERGEFORMAT </w:instrText>
    </w:r>
    <w:r w:rsidRPr="00354F1E">
      <w:rPr>
        <w:b/>
        <w:sz w:val="18"/>
      </w:rPr>
      <w:fldChar w:fldCharType="separate"/>
    </w:r>
    <w:r w:rsidR="006F6C48">
      <w:rPr>
        <w:b/>
        <w:noProof/>
        <w:sz w:val="18"/>
      </w:rPr>
      <w:t>3</w:t>
    </w:r>
    <w:r w:rsidRPr="00354F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C73B603" wp14:editId="3E1A52F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F1E" w:rsidRDefault="00354F1E" w:rsidP="00354F1E">
    <w:r>
      <w:t>GE.16-</w:t>
    </w:r>
    <w:proofErr w:type="gramStart"/>
    <w:r>
      <w:t>22642  (</w:t>
    </w:r>
    <w:proofErr w:type="gramEnd"/>
    <w:r>
      <w:t>E)</w:t>
    </w:r>
    <w:r w:rsidR="003502E3">
      <w:t xml:space="preserve">    060117    090117</w:t>
    </w:r>
  </w:p>
  <w:p w:rsidR="00354F1E" w:rsidRPr="00354F1E" w:rsidRDefault="00354F1E" w:rsidP="00354F1E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2ED2785" wp14:editId="2F11DABB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1.2017/21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.2017/21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D0" w:rsidRPr="00FB1744" w:rsidRDefault="00420A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20AD0" w:rsidRPr="00FB1744" w:rsidRDefault="00420A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22B28" w:rsidRPr="00522B28" w:rsidRDefault="00522B28">
      <w:pPr>
        <w:pStyle w:val="Notedebasdepage"/>
      </w:pPr>
      <w:r w:rsidRPr="00522B28">
        <w:rPr>
          <w:rStyle w:val="Appelnotedebasdep"/>
          <w:sz w:val="20"/>
        </w:rPr>
        <w:tab/>
      </w:r>
      <w:r w:rsidRPr="00522B28">
        <w:rPr>
          <w:rStyle w:val="Appelnotedebasdep"/>
          <w:sz w:val="20"/>
          <w:vertAlign w:val="baseline"/>
        </w:rPr>
        <w:t>*</w:t>
      </w:r>
      <w:r w:rsidRPr="00522B28">
        <w:rPr>
          <w:rStyle w:val="Appelnotedebasdep"/>
          <w:sz w:val="20"/>
          <w:vertAlign w:val="baseline"/>
        </w:rPr>
        <w:tab/>
      </w:r>
      <w:proofErr w:type="gramStart"/>
      <w:r w:rsidRPr="00522B28">
        <w:rPr>
          <w:sz w:val="20"/>
        </w:rPr>
        <w:t>In</w:t>
      </w:r>
      <w:r>
        <w:t xml:space="preserve"> accordance with the</w:t>
      </w:r>
      <w:r w:rsidRPr="00DE1D53">
        <w:t xml:space="preserve"> programme of work of the Inland Transport Committee for 201</w:t>
      </w:r>
      <w:r>
        <w:t>6-2017, (ECE/TRANS/2016/28/Add.1</w:t>
      </w:r>
      <w:r w:rsidRPr="00DE1D53">
        <w:t xml:space="preserve"> (9.2)).</w:t>
      </w:r>
      <w:proofErr w:type="gramEnd"/>
    </w:p>
  </w:footnote>
  <w:footnote w:id="2">
    <w:p w:rsidR="00522B28" w:rsidRPr="00522B28" w:rsidRDefault="00522B28">
      <w:pPr>
        <w:pStyle w:val="Notedebasdepage"/>
      </w:pPr>
      <w:r>
        <w:rPr>
          <w:rStyle w:val="Appelnotedebasdep"/>
        </w:rPr>
        <w:tab/>
      </w:r>
      <w:r w:rsidRPr="00522B2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proofErr w:type="gramStart"/>
      <w:r w:rsidRPr="00DE1D53">
        <w:t>Circulated by the Intergovernmental Organisation for International Carriage by Rail (OTIF) und</w:t>
      </w:r>
      <w:r>
        <w:t>er the symbol OTIF/RID/RC/2017/21.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1E" w:rsidRPr="00354F1E" w:rsidRDefault="00354F1E" w:rsidP="00937675">
    <w:pPr>
      <w:pStyle w:val="En-tte"/>
    </w:pPr>
    <w:r w:rsidRPr="00354F1E">
      <w:t>ECE/TRANS/WP.15/AC.1</w:t>
    </w:r>
    <w:r w:rsidR="00937675">
      <w:t>/</w:t>
    </w:r>
    <w:r w:rsidRPr="00354F1E">
      <w:t>2017/21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1E" w:rsidRPr="00354F1E" w:rsidRDefault="00354F1E" w:rsidP="00937675">
    <w:pPr>
      <w:pStyle w:val="En-tte"/>
      <w:jc w:val="right"/>
    </w:pPr>
    <w:r w:rsidRPr="00354F1E">
      <w:t>ECE/TRANS/WP.15/AC.1</w:t>
    </w:r>
    <w:r w:rsidR="00937675">
      <w:t>/</w:t>
    </w:r>
    <w:r w:rsidRPr="00354F1E">
      <w:t>2017/21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D46DF"/>
    <w:multiLevelType w:val="hybridMultilevel"/>
    <w:tmpl w:val="35F0A1A4"/>
    <w:lvl w:ilvl="0" w:tplc="56267E92">
      <w:start w:val="21"/>
      <w:numFmt w:val="bullet"/>
      <w:lvlText w:val=""/>
      <w:lvlJc w:val="left"/>
      <w:pPr>
        <w:ind w:left="1494" w:hanging="360"/>
      </w:pPr>
      <w:rPr>
        <w:rFonts w:ascii="Symbol" w:eastAsia="SimSu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AD0"/>
    <w:rsid w:val="00046E92"/>
    <w:rsid w:val="001170DC"/>
    <w:rsid w:val="001341E9"/>
    <w:rsid w:val="00247E2C"/>
    <w:rsid w:val="002D6C53"/>
    <w:rsid w:val="002F5595"/>
    <w:rsid w:val="0032337E"/>
    <w:rsid w:val="00334F6A"/>
    <w:rsid w:val="00342AC8"/>
    <w:rsid w:val="003502E3"/>
    <w:rsid w:val="00354F1E"/>
    <w:rsid w:val="00386032"/>
    <w:rsid w:val="003B4550"/>
    <w:rsid w:val="00420AD0"/>
    <w:rsid w:val="00461253"/>
    <w:rsid w:val="00481285"/>
    <w:rsid w:val="005042C2"/>
    <w:rsid w:val="00522B28"/>
    <w:rsid w:val="0056599A"/>
    <w:rsid w:val="00671529"/>
    <w:rsid w:val="006F6C48"/>
    <w:rsid w:val="00717266"/>
    <w:rsid w:val="007268F9"/>
    <w:rsid w:val="007C52B0"/>
    <w:rsid w:val="007D4408"/>
    <w:rsid w:val="008912B3"/>
    <w:rsid w:val="00937675"/>
    <w:rsid w:val="009411B4"/>
    <w:rsid w:val="009D0139"/>
    <w:rsid w:val="009F5CDC"/>
    <w:rsid w:val="00A601C4"/>
    <w:rsid w:val="00A775CF"/>
    <w:rsid w:val="00AB3C7E"/>
    <w:rsid w:val="00AF5152"/>
    <w:rsid w:val="00B06045"/>
    <w:rsid w:val="00C35A27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144E-A8D8-4E1E-9EAA-2886E3C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1622642</vt:lpstr>
      <vt:lpstr>1622642</vt:lpstr>
    </vt:vector>
  </TitlesOfParts>
  <Company>DCM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1622642</dc:title>
  <dc:subject>ECE/TRANS/WP.15/AC.1.2017/21</dc:subject>
  <dc:creator>Giltsoff</dc:creator>
  <dc:description>Final</dc:description>
  <cp:lastModifiedBy>barrio-champeau</cp:lastModifiedBy>
  <cp:revision>2</cp:revision>
  <cp:lastPrinted>2017-01-09T08:06:00Z</cp:lastPrinted>
  <dcterms:created xsi:type="dcterms:W3CDTF">2017-01-11T12:44:00Z</dcterms:created>
  <dcterms:modified xsi:type="dcterms:W3CDTF">2017-01-11T12:44:00Z</dcterms:modified>
</cp:coreProperties>
</file>