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rsidR="00215A1B" w:rsidRPr="00560572" w:rsidRDefault="00215A1B" w:rsidP="00F5390C">
      <w:pPr>
        <w:spacing w:before="120" w:after="0" w:line="240" w:lineRule="atLeast"/>
        <w:rPr>
          <w:sz w:val="28"/>
          <w:szCs w:val="28"/>
        </w:rPr>
      </w:pPr>
      <w:r w:rsidRPr="00560572">
        <w:rPr>
          <w:sz w:val="28"/>
          <w:szCs w:val="28"/>
        </w:rPr>
        <w:t>Inland Transport Committee</w:t>
      </w:r>
    </w:p>
    <w:p w:rsidR="00215A1B" w:rsidRPr="00560572" w:rsidRDefault="00215A1B" w:rsidP="00652F84">
      <w:pPr>
        <w:tabs>
          <w:tab w:val="left" w:pos="7230"/>
        </w:tabs>
        <w:spacing w:before="120" w:after="0" w:line="240" w:lineRule="atLeast"/>
        <w:rPr>
          <w:b/>
          <w:szCs w:val="24"/>
        </w:rPr>
      </w:pPr>
      <w:r w:rsidRPr="00EE65C8">
        <w:rPr>
          <w:b/>
          <w:sz w:val="24"/>
          <w:szCs w:val="24"/>
        </w:rPr>
        <w:t>Working Party on the Transport of Dangerous Goods</w:t>
      </w:r>
    </w:p>
    <w:p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r w:rsidR="00EE65C8">
        <w:rPr>
          <w:b/>
        </w:rPr>
        <w:tab/>
      </w:r>
      <w:r w:rsidR="00EE65C8">
        <w:rPr>
          <w:b/>
        </w:rPr>
        <w:tab/>
      </w:r>
      <w:r w:rsidR="00EE65C8">
        <w:rPr>
          <w:b/>
        </w:rPr>
        <w:tab/>
      </w:r>
      <w:r w:rsidR="00EE65C8">
        <w:rPr>
          <w:b/>
        </w:rPr>
        <w:tab/>
      </w:r>
      <w:r w:rsidR="00EE65C8">
        <w:rPr>
          <w:b/>
        </w:rPr>
        <w:tab/>
      </w:r>
      <w:r w:rsidR="00F137E1">
        <w:rPr>
          <w:b/>
        </w:rPr>
        <w:t>2</w:t>
      </w:r>
      <w:r w:rsidR="00EE6185">
        <w:rPr>
          <w:b/>
        </w:rPr>
        <w:t>5</w:t>
      </w:r>
      <w:bookmarkStart w:id="0" w:name="_GoBack"/>
      <w:bookmarkEnd w:id="0"/>
      <w:r w:rsidR="00EE65C8">
        <w:rPr>
          <w:b/>
        </w:rPr>
        <w:t xml:space="preserve"> August 2017</w:t>
      </w:r>
    </w:p>
    <w:p w:rsidR="002734BD" w:rsidRPr="00A55B4D" w:rsidRDefault="00097793" w:rsidP="00652F84">
      <w:pPr>
        <w:spacing w:after="0"/>
      </w:pPr>
      <w:r w:rsidRPr="00560572">
        <w:t>Geneva</w:t>
      </w:r>
      <w:r w:rsidR="00215A1B" w:rsidRPr="00560572">
        <w:t xml:space="preserve">, </w:t>
      </w:r>
      <w:r w:rsidR="00DC584A" w:rsidRPr="00560572">
        <w:t>1</w:t>
      </w:r>
      <w:r w:rsidR="00EA5436">
        <w:t>9</w:t>
      </w:r>
      <w:r w:rsidR="00DC584A" w:rsidRPr="00560572">
        <w:t>–</w:t>
      </w:r>
      <w:r w:rsidR="00C401E7">
        <w:t>2</w:t>
      </w:r>
      <w:r w:rsidR="00DC21B4">
        <w:t>9</w:t>
      </w:r>
      <w:r w:rsidRPr="00560572">
        <w:t xml:space="preserve"> </w:t>
      </w:r>
      <w:r w:rsidR="007D5759" w:rsidRPr="00560572">
        <w:t>September 201</w:t>
      </w:r>
      <w:r w:rsidR="00DC21B4">
        <w:t>7</w:t>
      </w:r>
      <w:r w:rsidR="00215A1B" w:rsidRPr="00560572">
        <w:br/>
      </w:r>
      <w:r w:rsidR="002734BD" w:rsidRPr="00A55B4D">
        <w:t xml:space="preserve">Item </w:t>
      </w:r>
      <w:r w:rsidR="00DC21B4">
        <w:t>4</w:t>
      </w:r>
      <w:r w:rsidR="002734BD">
        <w:t xml:space="preserve"> </w:t>
      </w:r>
      <w:r w:rsidR="002734BD" w:rsidRPr="00A55B4D">
        <w:t>of the provisional agenda</w:t>
      </w:r>
    </w:p>
    <w:p w:rsidR="002734BD" w:rsidRPr="00563634" w:rsidRDefault="00DC21B4" w:rsidP="00652F84">
      <w:pPr>
        <w:spacing w:after="0"/>
        <w:rPr>
          <w:b/>
        </w:rPr>
      </w:pPr>
      <w:r>
        <w:rPr>
          <w:b/>
        </w:rPr>
        <w:t>Harmonization with the United Nations Recommendations</w:t>
      </w:r>
      <w:r>
        <w:rPr>
          <w:b/>
        </w:rPr>
        <w:br/>
        <w:t>on the Transport of Dangerous Goods</w:t>
      </w:r>
    </w:p>
    <w:p w:rsidR="00652F84" w:rsidRPr="00A440BA" w:rsidRDefault="00A9767A" w:rsidP="00A42E15">
      <w:pPr>
        <w:pStyle w:val="HChG"/>
      </w:pPr>
      <w:r>
        <w:tab/>
      </w:r>
      <w:r>
        <w:tab/>
      </w:r>
      <w:r w:rsidR="00652F84">
        <w:t>Ha</w:t>
      </w:r>
      <w:r w:rsidR="00652F84">
        <w:rPr>
          <w:lang w:val="en-US"/>
        </w:rPr>
        <w:t xml:space="preserve">rmonization of requirements </w:t>
      </w:r>
      <w:r w:rsidR="00A42E15">
        <w:rPr>
          <w:lang w:val="en-US"/>
        </w:rPr>
        <w:t xml:space="preserve">between </w:t>
      </w:r>
      <w:r w:rsidR="00652F84">
        <w:rPr>
          <w:lang w:val="en-US"/>
        </w:rPr>
        <w:t>RID</w:t>
      </w:r>
      <w:r w:rsidR="00006E2C">
        <w:rPr>
          <w:lang w:val="en-US"/>
        </w:rPr>
        <w:t>/</w:t>
      </w:r>
      <w:r w:rsidR="00EE65C8">
        <w:rPr>
          <w:lang w:val="en-US"/>
        </w:rPr>
        <w:t xml:space="preserve">ADR </w:t>
      </w:r>
      <w:r w:rsidR="00A42E15">
        <w:rPr>
          <w:lang w:val="en-US"/>
        </w:rPr>
        <w:t xml:space="preserve">and </w:t>
      </w:r>
      <w:r w:rsidR="00652F84">
        <w:rPr>
          <w:lang w:val="en-US"/>
        </w:rPr>
        <w:t>IMDG-Code</w:t>
      </w:r>
      <w:r w:rsidR="00A42E15">
        <w:rPr>
          <w:lang w:val="en-US"/>
        </w:rPr>
        <w:t>/</w:t>
      </w:r>
      <w:r w:rsidR="00652F84">
        <w:rPr>
          <w:lang w:val="en-US"/>
        </w:rPr>
        <w:t xml:space="preserve">UN Model Regulations in respect </w:t>
      </w:r>
      <w:r w:rsidR="00A654B9">
        <w:rPr>
          <w:lang w:val="en-US"/>
        </w:rPr>
        <w:t>of</w:t>
      </w:r>
      <w:r w:rsidR="00A42E15">
        <w:rPr>
          <w:lang w:val="en-US"/>
        </w:rPr>
        <w:t xml:space="preserve"> </w:t>
      </w:r>
      <w:r w:rsidR="00652F84">
        <w:rPr>
          <w:lang w:val="en-US"/>
        </w:rPr>
        <w:t>structural</w:t>
      </w:r>
      <w:r w:rsidR="00A42E15">
        <w:rPr>
          <w:lang w:val="en-US"/>
        </w:rPr>
        <w:t xml:space="preserve"> serviceability </w:t>
      </w:r>
      <w:r w:rsidR="00EE65C8">
        <w:rPr>
          <w:lang w:val="en-US"/>
        </w:rPr>
        <w:t>of large containers</w:t>
      </w:r>
    </w:p>
    <w:p w:rsidR="00652F84" w:rsidRPr="00C564ED" w:rsidRDefault="00652F84" w:rsidP="00C564ED">
      <w:pPr>
        <w:pStyle w:val="H1G"/>
        <w:keepNext w:val="0"/>
        <w:keepLines w:val="0"/>
        <w:suppressAutoHyphens/>
        <w:jc w:val="both"/>
        <w:rPr>
          <w:lang w:val="en-US"/>
        </w:rPr>
      </w:pPr>
      <w:r w:rsidRPr="00C564ED">
        <w:rPr>
          <w:lang w:val="en-US"/>
        </w:rPr>
        <w:tab/>
      </w:r>
      <w:r w:rsidRPr="00C564ED">
        <w:rPr>
          <w:lang w:val="en-US"/>
        </w:rPr>
        <w:tab/>
        <w:t>Transmitted by the European Chemical Industry Council (CEFIC)</w:t>
      </w:r>
    </w:p>
    <w:p w:rsidR="00C564ED" w:rsidRPr="00475CAC" w:rsidRDefault="00C564ED" w:rsidP="00C564ED">
      <w:pPr>
        <w:pStyle w:val="HChG"/>
        <w:suppressAutoHyphens/>
      </w:pPr>
      <w:r>
        <w:tab/>
      </w:r>
      <w:r>
        <w:tab/>
        <w:t>Introduction</w:t>
      </w:r>
    </w:p>
    <w:p w:rsidR="006B6B73" w:rsidRDefault="006B6B73" w:rsidP="00C564ED">
      <w:pPr>
        <w:pStyle w:val="SingleTxtG"/>
        <w:numPr>
          <w:ilvl w:val="0"/>
          <w:numId w:val="29"/>
        </w:numPr>
        <w:suppressAutoHyphens/>
        <w:spacing w:line="240" w:lineRule="atLeast"/>
        <w:ind w:left="1134" w:firstLine="0"/>
      </w:pPr>
      <w:r w:rsidRPr="006B6B73">
        <w:t xml:space="preserve">This document </w:t>
      </w:r>
      <w:r w:rsidR="000C6B24">
        <w:t>aim</w:t>
      </w:r>
      <w:r w:rsidR="00E945C4">
        <w:t>s to highlight</w:t>
      </w:r>
      <w:r w:rsidRPr="006B6B73">
        <w:t xml:space="preserve"> the different scope of </w:t>
      </w:r>
      <w:r w:rsidR="00030AAC">
        <w:t>specific</w:t>
      </w:r>
      <w:r w:rsidR="00030AAC" w:rsidRPr="006B6B73">
        <w:t xml:space="preserve"> </w:t>
      </w:r>
      <w:r w:rsidRPr="006B6B73">
        <w:t xml:space="preserve">requirements </w:t>
      </w:r>
      <w:r w:rsidR="00D315AF" w:rsidRPr="006B6B73">
        <w:t xml:space="preserve">according to the UN </w:t>
      </w:r>
      <w:r w:rsidR="00D315AF">
        <w:t>M</w:t>
      </w:r>
      <w:r w:rsidR="00D315AF" w:rsidRPr="006B6B73">
        <w:t xml:space="preserve">odel </w:t>
      </w:r>
      <w:r w:rsidR="00D315AF">
        <w:t>R</w:t>
      </w:r>
      <w:r w:rsidR="00D315AF" w:rsidRPr="006B6B73">
        <w:t>egulations sub</w:t>
      </w:r>
      <w:r w:rsidR="00D315AF" w:rsidRPr="001028BF">
        <w:t xml:space="preserve">-section 7.1.3.3.1 </w:t>
      </w:r>
      <w:r w:rsidR="001028BF" w:rsidRPr="001028BF">
        <w:t xml:space="preserve">(b) </w:t>
      </w:r>
      <w:r w:rsidR="00D315AF" w:rsidRPr="001028BF">
        <w:t xml:space="preserve">applicable for </w:t>
      </w:r>
      <w:r w:rsidRPr="001028BF">
        <w:t xml:space="preserve">transport units </w:t>
      </w:r>
      <w:r w:rsidR="00D315AF" w:rsidRPr="001028BF">
        <w:t xml:space="preserve">when used for the carriage of </w:t>
      </w:r>
      <w:r w:rsidR="00D315AF" w:rsidRPr="001028BF">
        <w:rPr>
          <w:lang w:val="en-US"/>
        </w:rPr>
        <w:t>explosive substances and articles of Class 1 only, as</w:t>
      </w:r>
      <w:r w:rsidR="00D315AF" w:rsidRPr="001028BF">
        <w:t xml:space="preserve"> </w:t>
      </w:r>
      <w:r w:rsidR="00030AAC" w:rsidRPr="001028BF">
        <w:t xml:space="preserve">adopted in IMDG-Code </w:t>
      </w:r>
      <w:r w:rsidR="009978D7" w:rsidRPr="001028BF">
        <w:t xml:space="preserve">section </w:t>
      </w:r>
      <w:r w:rsidR="00030AAC" w:rsidRPr="001028BF">
        <w:t xml:space="preserve">7.1.2, </w:t>
      </w:r>
      <w:r w:rsidR="00030AAC" w:rsidRPr="006B6B73">
        <w:t>versus</w:t>
      </w:r>
      <w:r w:rsidR="00030AAC">
        <w:t xml:space="preserve"> </w:t>
      </w:r>
      <w:r w:rsidR="00030AAC" w:rsidRPr="006B6B73">
        <w:t xml:space="preserve">requirements for structurally serviceable large containers outlined in RID/ADR 7.1.4, applicable for all </w:t>
      </w:r>
      <w:r w:rsidR="00030AAC">
        <w:t>dangerous goods classes.</w:t>
      </w:r>
    </w:p>
    <w:p w:rsidR="00095608" w:rsidRPr="00475CAC" w:rsidRDefault="00095608" w:rsidP="00095608">
      <w:pPr>
        <w:pStyle w:val="HChG"/>
        <w:suppressAutoHyphens/>
      </w:pPr>
      <w:r>
        <w:tab/>
      </w:r>
      <w:r>
        <w:tab/>
        <w:t>Discussion</w:t>
      </w:r>
    </w:p>
    <w:p w:rsidR="009A6E5D" w:rsidRDefault="00370CE5" w:rsidP="00C564ED">
      <w:pPr>
        <w:pStyle w:val="SingleTxtG"/>
        <w:numPr>
          <w:ilvl w:val="0"/>
          <w:numId w:val="29"/>
        </w:numPr>
        <w:suppressAutoHyphens/>
        <w:spacing w:line="240" w:lineRule="atLeast"/>
        <w:ind w:left="1134" w:firstLine="0"/>
        <w:rPr>
          <w:lang w:val="en-US"/>
        </w:rPr>
      </w:pPr>
      <w:r w:rsidRPr="0047203B">
        <w:rPr>
          <w:lang w:val="en-US"/>
        </w:rPr>
        <w:t xml:space="preserve">Large containers </w:t>
      </w:r>
      <w:r w:rsidR="00ED43EF">
        <w:rPr>
          <w:lang w:val="en-US"/>
        </w:rPr>
        <w:t>in service</w:t>
      </w:r>
      <w:r w:rsidRPr="0047203B">
        <w:rPr>
          <w:lang w:val="en-US"/>
        </w:rPr>
        <w:t xml:space="preserve"> to carry dangerous goods are subject to the International Convention for Safe Containers (CSC) </w:t>
      </w:r>
      <w:r w:rsidR="0047203B" w:rsidRPr="0047203B">
        <w:rPr>
          <w:lang w:val="en-US"/>
        </w:rPr>
        <w:t>1972, as amended,</w:t>
      </w:r>
      <w:r w:rsidR="0088035C">
        <w:rPr>
          <w:lang w:val="en-US"/>
        </w:rPr>
        <w:t xml:space="preserve"> </w:t>
      </w:r>
      <w:r w:rsidR="00795F75">
        <w:rPr>
          <w:lang w:val="en-US"/>
        </w:rPr>
        <w:t>alternatively</w:t>
      </w:r>
      <w:r w:rsidR="0088035C">
        <w:rPr>
          <w:lang w:val="en-US"/>
        </w:rPr>
        <w:t xml:space="preserve"> to</w:t>
      </w:r>
      <w:r w:rsidR="0088035C" w:rsidRPr="0047203B">
        <w:rPr>
          <w:lang w:val="en-US"/>
        </w:rPr>
        <w:t xml:space="preserve"> the relevant UIC</w:t>
      </w:r>
      <w:r w:rsidR="00B75CF0" w:rsidRPr="00D1626A">
        <w:rPr>
          <w:rStyle w:val="FootnoteReference"/>
        </w:rPr>
        <w:footnoteReference w:id="2"/>
      </w:r>
      <w:r w:rsidR="0088035C" w:rsidRPr="0047203B">
        <w:rPr>
          <w:lang w:val="en-US"/>
        </w:rPr>
        <w:t xml:space="preserve"> leaflets</w:t>
      </w:r>
      <w:r w:rsidR="00704BBA">
        <w:rPr>
          <w:lang w:val="en-US"/>
        </w:rPr>
        <w:t>,</w:t>
      </w:r>
      <w:r w:rsidR="0088035C" w:rsidRPr="0047203B">
        <w:rPr>
          <w:lang w:val="en-US"/>
        </w:rPr>
        <w:t xml:space="preserve"> as specified</w:t>
      </w:r>
      <w:r w:rsidR="00704BBA">
        <w:rPr>
          <w:lang w:val="en-US"/>
        </w:rPr>
        <w:t xml:space="preserve"> in</w:t>
      </w:r>
      <w:r w:rsidR="00704BBA" w:rsidRPr="00704BBA">
        <w:rPr>
          <w:lang w:val="en-US"/>
        </w:rPr>
        <w:t xml:space="preserve"> </w:t>
      </w:r>
      <w:r w:rsidR="00795F75" w:rsidRPr="0047203B">
        <w:rPr>
          <w:lang w:val="en-US"/>
        </w:rPr>
        <w:t>the</w:t>
      </w:r>
      <w:r w:rsidR="00795F75">
        <w:rPr>
          <w:lang w:val="en-US"/>
        </w:rPr>
        <w:t xml:space="preserve"> general </w:t>
      </w:r>
      <w:r w:rsidR="00795F75" w:rsidRPr="0047203B">
        <w:rPr>
          <w:lang w:val="en-US"/>
        </w:rPr>
        <w:t xml:space="preserve">provisions </w:t>
      </w:r>
      <w:r w:rsidR="00795F75">
        <w:rPr>
          <w:lang w:val="en-US"/>
        </w:rPr>
        <w:t>of</w:t>
      </w:r>
      <w:r w:rsidR="00795F75" w:rsidRPr="0047203B">
        <w:rPr>
          <w:lang w:val="en-US"/>
        </w:rPr>
        <w:t xml:space="preserve"> </w:t>
      </w:r>
      <w:r w:rsidR="00704BBA" w:rsidRPr="0047203B">
        <w:rPr>
          <w:lang w:val="en-US"/>
        </w:rPr>
        <w:t>RID/ADR 7.1.3</w:t>
      </w:r>
      <w:r w:rsidR="0088035C">
        <w:rPr>
          <w:lang w:val="en-US"/>
        </w:rPr>
        <w:t>,</w:t>
      </w:r>
      <w:r w:rsidR="0047203B" w:rsidRPr="0047203B">
        <w:rPr>
          <w:lang w:val="en-US"/>
        </w:rPr>
        <w:t xml:space="preserve"> requiring structural safety approval and additional</w:t>
      </w:r>
      <w:r w:rsidR="00845A2C">
        <w:rPr>
          <w:lang w:val="en-US"/>
        </w:rPr>
        <w:t>ly</w:t>
      </w:r>
      <w:r w:rsidR="0047203B" w:rsidRPr="0047203B">
        <w:rPr>
          <w:lang w:val="en-US"/>
        </w:rPr>
        <w:t xml:space="preserve"> recurring inspections to ensure continued safe condition</w:t>
      </w:r>
      <w:r w:rsidR="00704BBA">
        <w:rPr>
          <w:lang w:val="en-US"/>
        </w:rPr>
        <w:t>s</w:t>
      </w:r>
      <w:r w:rsidR="002835DD" w:rsidRPr="0047203B">
        <w:rPr>
          <w:lang w:val="en-US"/>
        </w:rPr>
        <w:t>.</w:t>
      </w:r>
    </w:p>
    <w:p w:rsidR="00952D62" w:rsidRPr="00044783" w:rsidRDefault="00C43F4C" w:rsidP="00952D62">
      <w:pPr>
        <w:pStyle w:val="SingleTxtG"/>
        <w:numPr>
          <w:ilvl w:val="0"/>
          <w:numId w:val="29"/>
        </w:numPr>
        <w:suppressAutoHyphens/>
        <w:spacing w:line="240" w:lineRule="atLeast"/>
        <w:ind w:left="1134" w:firstLine="0"/>
        <w:rPr>
          <w:lang w:val="en-US"/>
        </w:rPr>
      </w:pPr>
      <w:r>
        <w:rPr>
          <w:lang w:val="en-US"/>
        </w:rPr>
        <w:t>Furthermore</w:t>
      </w:r>
      <w:r w:rsidR="0077300E" w:rsidRPr="00C6143E">
        <w:rPr>
          <w:lang w:val="en-US"/>
        </w:rPr>
        <w:t>, w</w:t>
      </w:r>
      <w:r w:rsidR="00795F75" w:rsidRPr="00C6143E">
        <w:rPr>
          <w:lang w:val="en-US"/>
        </w:rPr>
        <w:t xml:space="preserve">hen presented for carriage </w:t>
      </w:r>
      <w:r w:rsidR="0077300E" w:rsidRPr="00C6143E">
        <w:rPr>
          <w:lang w:val="en-US"/>
        </w:rPr>
        <w:t xml:space="preserve">at the loading site </w:t>
      </w:r>
      <w:r w:rsidR="003B0EBE" w:rsidRPr="00C6143E">
        <w:rPr>
          <w:lang w:val="en-US"/>
        </w:rPr>
        <w:t xml:space="preserve">the </w:t>
      </w:r>
      <w:r w:rsidR="0077300E" w:rsidRPr="00C6143E">
        <w:rPr>
          <w:lang w:val="en-US"/>
        </w:rPr>
        <w:t xml:space="preserve">container has to be examined to ensure it is structurally serviceable. According to </w:t>
      </w:r>
      <w:r w:rsidR="00945E91">
        <w:rPr>
          <w:lang w:val="en-US"/>
        </w:rPr>
        <w:t xml:space="preserve">the definition in </w:t>
      </w:r>
      <w:r w:rsidR="0077300E" w:rsidRPr="00C6143E">
        <w:rPr>
          <w:lang w:val="en-US"/>
        </w:rPr>
        <w:t>RID/ADR 7.1.</w:t>
      </w:r>
      <w:r w:rsidR="00E052F8">
        <w:rPr>
          <w:lang w:val="en-US"/>
        </w:rPr>
        <w:t>4</w:t>
      </w:r>
      <w:r w:rsidR="0077300E" w:rsidRPr="00C6143E">
        <w:rPr>
          <w:lang w:val="en-US"/>
        </w:rPr>
        <w:t xml:space="preserve"> and </w:t>
      </w:r>
      <w:r w:rsidR="00C6143E" w:rsidRPr="00C6143E">
        <w:rPr>
          <w:lang w:val="en-US"/>
        </w:rPr>
        <w:t xml:space="preserve">7.3.1.13 </w:t>
      </w:r>
      <w:r w:rsidR="00C6143E">
        <w:rPr>
          <w:lang w:val="en-US"/>
        </w:rPr>
        <w:t>“</w:t>
      </w:r>
      <w:r w:rsidR="00652F84" w:rsidRPr="00C6143E">
        <w:rPr>
          <w:lang w:val="en-US"/>
        </w:rPr>
        <w:t>structurally serviceable</w:t>
      </w:r>
      <w:r w:rsidR="00C6143E">
        <w:rPr>
          <w:lang w:val="en-US"/>
        </w:rPr>
        <w:t>”</w:t>
      </w:r>
      <w:r w:rsidR="00652F84" w:rsidRPr="00C6143E">
        <w:rPr>
          <w:lang w:val="en-US"/>
        </w:rPr>
        <w:t xml:space="preserve"> </w:t>
      </w:r>
      <w:r w:rsidR="00945E91">
        <w:rPr>
          <w:lang w:val="en-US"/>
        </w:rPr>
        <w:t xml:space="preserve">means that the </w:t>
      </w:r>
      <w:r w:rsidR="00652F84" w:rsidRPr="00C6143E">
        <w:rPr>
          <w:lang w:val="en-US"/>
        </w:rPr>
        <w:t>container</w:t>
      </w:r>
      <w:r w:rsidR="00DC21B4" w:rsidRPr="00C6143E">
        <w:rPr>
          <w:lang w:val="en-US"/>
        </w:rPr>
        <w:t xml:space="preserve"> </w:t>
      </w:r>
      <w:r w:rsidR="00102C79">
        <w:rPr>
          <w:lang w:val="en-US"/>
        </w:rPr>
        <w:t>is</w:t>
      </w:r>
      <w:r w:rsidR="009B4A92" w:rsidRPr="00C6143E">
        <w:rPr>
          <w:lang w:val="en-US"/>
        </w:rPr>
        <w:t xml:space="preserve"> </w:t>
      </w:r>
      <w:r w:rsidR="00F01328">
        <w:rPr>
          <w:lang w:val="en-US"/>
        </w:rPr>
        <w:t xml:space="preserve">free from </w:t>
      </w:r>
      <w:r w:rsidR="001862B9" w:rsidRPr="00C6143E">
        <w:rPr>
          <w:lang w:val="en-US"/>
        </w:rPr>
        <w:t xml:space="preserve">major defects in </w:t>
      </w:r>
      <w:r w:rsidR="00F01328">
        <w:rPr>
          <w:lang w:val="en-US"/>
        </w:rPr>
        <w:t xml:space="preserve">its </w:t>
      </w:r>
      <w:r w:rsidR="006777E8">
        <w:rPr>
          <w:lang w:val="en-US"/>
        </w:rPr>
        <w:t>primary</w:t>
      </w:r>
      <w:r w:rsidR="00A84B68">
        <w:rPr>
          <w:lang w:val="en-US"/>
        </w:rPr>
        <w:t xml:space="preserve"> </w:t>
      </w:r>
      <w:r w:rsidR="00F01328">
        <w:rPr>
          <w:lang w:val="en-US"/>
        </w:rPr>
        <w:t xml:space="preserve">structural </w:t>
      </w:r>
      <w:r w:rsidR="00F01328" w:rsidRPr="00044783">
        <w:rPr>
          <w:lang w:val="en-US"/>
        </w:rPr>
        <w:t>components</w:t>
      </w:r>
      <w:r w:rsidR="00952D62" w:rsidRPr="00044783">
        <w:rPr>
          <w:lang w:val="en-US"/>
        </w:rPr>
        <w:t xml:space="preserve">, e.g. top and bottom </w:t>
      </w:r>
      <w:r w:rsidR="00A933C6">
        <w:rPr>
          <w:lang w:val="en-US"/>
        </w:rPr>
        <w:t xml:space="preserve">side </w:t>
      </w:r>
      <w:r w:rsidR="00952D62" w:rsidRPr="00044783">
        <w:rPr>
          <w:lang w:val="en-US"/>
        </w:rPr>
        <w:t>rails, top and bottom end rails, door sill and header, floor cross-members</w:t>
      </w:r>
      <w:r w:rsidR="00044783" w:rsidRPr="00044783">
        <w:rPr>
          <w:lang w:val="en-US"/>
        </w:rPr>
        <w:t>, corner posts and corner fittings</w:t>
      </w:r>
      <w:r w:rsidR="00044783">
        <w:rPr>
          <w:lang w:val="en-US"/>
        </w:rPr>
        <w:t>.</w:t>
      </w:r>
    </w:p>
    <w:p w:rsidR="00652F84" w:rsidRPr="00C43F4C" w:rsidRDefault="00652F84" w:rsidP="00044783">
      <w:pPr>
        <w:pStyle w:val="SingleTxtG"/>
        <w:numPr>
          <w:ilvl w:val="0"/>
          <w:numId w:val="29"/>
        </w:numPr>
        <w:suppressAutoHyphens/>
        <w:spacing w:line="240" w:lineRule="atLeast"/>
        <w:ind w:left="1134" w:firstLine="0"/>
        <w:rPr>
          <w:lang w:val="en-US"/>
        </w:rPr>
      </w:pPr>
      <w:r w:rsidRPr="00370CE5">
        <w:rPr>
          <w:lang w:val="en-US"/>
        </w:rPr>
        <w:t xml:space="preserve">In </w:t>
      </w:r>
      <w:r w:rsidR="00095608" w:rsidRPr="00370CE5">
        <w:rPr>
          <w:lang w:val="en-US"/>
        </w:rPr>
        <w:t>RID/ADR</w:t>
      </w:r>
      <w:r w:rsidR="004F75D7" w:rsidRPr="00370CE5">
        <w:rPr>
          <w:lang w:val="en-US"/>
        </w:rPr>
        <w:t>,</w:t>
      </w:r>
      <w:r w:rsidRPr="00370CE5">
        <w:rPr>
          <w:lang w:val="en-US"/>
        </w:rPr>
        <w:t xml:space="preserve"> </w:t>
      </w:r>
      <w:r w:rsidR="00F6237D">
        <w:rPr>
          <w:lang w:val="en-US"/>
        </w:rPr>
        <w:t xml:space="preserve">in </w:t>
      </w:r>
      <w:r w:rsidRPr="00370CE5">
        <w:rPr>
          <w:lang w:val="en-US"/>
        </w:rPr>
        <w:t>the IMDG-</w:t>
      </w:r>
      <w:r w:rsidR="00D75B13" w:rsidRPr="00370CE5">
        <w:rPr>
          <w:lang w:val="en-US"/>
        </w:rPr>
        <w:t>C</w:t>
      </w:r>
      <w:r w:rsidRPr="00370CE5">
        <w:rPr>
          <w:lang w:val="en-US"/>
        </w:rPr>
        <w:t>ode</w:t>
      </w:r>
      <w:r w:rsidR="00E052F8">
        <w:rPr>
          <w:lang w:val="en-US"/>
        </w:rPr>
        <w:t xml:space="preserve">, </w:t>
      </w:r>
      <w:r w:rsidR="00E052F8" w:rsidRPr="001028BF">
        <w:t xml:space="preserve">section </w:t>
      </w:r>
      <w:r w:rsidR="00E052F8">
        <w:t>7.1.2,</w:t>
      </w:r>
      <w:r w:rsidRPr="00370CE5">
        <w:rPr>
          <w:lang w:val="en-US"/>
        </w:rPr>
        <w:t xml:space="preserve"> and</w:t>
      </w:r>
      <w:r w:rsidR="006777E8">
        <w:rPr>
          <w:lang w:val="en-US"/>
        </w:rPr>
        <w:t xml:space="preserve"> </w:t>
      </w:r>
      <w:r w:rsidR="00F6237D">
        <w:rPr>
          <w:lang w:val="en-US"/>
        </w:rPr>
        <w:t xml:space="preserve">in </w:t>
      </w:r>
      <w:r w:rsidR="006777E8">
        <w:rPr>
          <w:lang w:val="en-US"/>
        </w:rPr>
        <w:t>the</w:t>
      </w:r>
      <w:r w:rsidRPr="00370CE5">
        <w:rPr>
          <w:lang w:val="en-US"/>
        </w:rPr>
        <w:t xml:space="preserve"> UN Model Regulations</w:t>
      </w:r>
      <w:r w:rsidR="00F6237D">
        <w:rPr>
          <w:lang w:val="en-US"/>
        </w:rPr>
        <w:t>,</w:t>
      </w:r>
      <w:r w:rsidR="00E052F8">
        <w:rPr>
          <w:lang w:val="en-US"/>
        </w:rPr>
        <w:t xml:space="preserve"> </w:t>
      </w:r>
      <w:r w:rsidR="00E052F8" w:rsidRPr="006B6B73">
        <w:t>sub</w:t>
      </w:r>
      <w:r w:rsidR="00E052F8" w:rsidRPr="001028BF">
        <w:t xml:space="preserve">-section 7.1.3.3.1 </w:t>
      </w:r>
      <w:r w:rsidR="00E052F8">
        <w:t>(b),</w:t>
      </w:r>
      <w:r w:rsidRPr="00370CE5">
        <w:rPr>
          <w:lang w:val="en-US"/>
        </w:rPr>
        <w:t xml:space="preserve"> </w:t>
      </w:r>
      <w:r w:rsidR="00C853F0">
        <w:rPr>
          <w:lang w:val="en-US"/>
        </w:rPr>
        <w:t>in line with the CSC</w:t>
      </w:r>
      <w:r w:rsidR="00A933C6">
        <w:rPr>
          <w:lang w:val="en-US"/>
        </w:rPr>
        <w:t xml:space="preserve"> and </w:t>
      </w:r>
      <w:r w:rsidR="00294E01">
        <w:rPr>
          <w:lang w:val="en-US"/>
        </w:rPr>
        <w:t xml:space="preserve">related </w:t>
      </w:r>
      <w:r w:rsidR="00A933C6">
        <w:rPr>
          <w:lang w:val="en-US"/>
        </w:rPr>
        <w:t xml:space="preserve">guiding </w:t>
      </w:r>
      <w:r w:rsidR="00A933C6" w:rsidRPr="00044783">
        <w:rPr>
          <w:lang w:val="en-US"/>
        </w:rPr>
        <w:t>technical reference</w:t>
      </w:r>
      <w:r w:rsidR="00E5546C">
        <w:rPr>
          <w:lang w:val="en-US"/>
        </w:rPr>
        <w:t>-</w:t>
      </w:r>
      <w:r w:rsidR="00A933C6" w:rsidRPr="00044783">
        <w:rPr>
          <w:lang w:val="en-US"/>
        </w:rPr>
        <w:t xml:space="preserve"> documents published by UIC</w:t>
      </w:r>
      <w:r w:rsidR="00A933C6">
        <w:rPr>
          <w:lang w:val="en-US"/>
        </w:rPr>
        <w:t>,</w:t>
      </w:r>
      <w:r w:rsidR="00A933C6" w:rsidRPr="00044783">
        <w:rPr>
          <w:lang w:val="en-US"/>
        </w:rPr>
        <w:t xml:space="preserve"> </w:t>
      </w:r>
      <w:r w:rsidR="008541FA">
        <w:rPr>
          <w:lang w:val="en-US"/>
        </w:rPr>
        <w:t>COA</w:t>
      </w:r>
      <w:r w:rsidR="00294E01" w:rsidRPr="00D1626A">
        <w:rPr>
          <w:rStyle w:val="FootnoteReference"/>
        </w:rPr>
        <w:footnoteReference w:id="3"/>
      </w:r>
      <w:r w:rsidR="008541FA">
        <w:rPr>
          <w:lang w:val="en-US"/>
        </w:rPr>
        <w:t xml:space="preserve">, </w:t>
      </w:r>
      <w:r w:rsidR="00A933C6" w:rsidRPr="00044783">
        <w:rPr>
          <w:lang w:val="en-US"/>
        </w:rPr>
        <w:t>IICL</w:t>
      </w:r>
      <w:r w:rsidR="00046C44" w:rsidRPr="00D1626A">
        <w:rPr>
          <w:rStyle w:val="FootnoteReference"/>
        </w:rPr>
        <w:footnoteReference w:id="4"/>
      </w:r>
      <w:r w:rsidR="00A933C6">
        <w:rPr>
          <w:lang w:val="en-US"/>
        </w:rPr>
        <w:t xml:space="preserve"> or ICS</w:t>
      </w:r>
      <w:r w:rsidR="00046C44" w:rsidRPr="00D1626A">
        <w:rPr>
          <w:rStyle w:val="FootnoteReference"/>
        </w:rPr>
        <w:footnoteReference w:id="5"/>
      </w:r>
      <w:r w:rsidR="00F6237D">
        <w:rPr>
          <w:lang w:val="en-US"/>
        </w:rPr>
        <w:t>,</w:t>
      </w:r>
      <w:r w:rsidR="00C853F0">
        <w:rPr>
          <w:lang w:val="en-US"/>
        </w:rPr>
        <w:t xml:space="preserve"> </w:t>
      </w:r>
      <w:r w:rsidR="00A84B68">
        <w:rPr>
          <w:lang w:val="en-US"/>
        </w:rPr>
        <w:t>“</w:t>
      </w:r>
      <w:r w:rsidRPr="00370CE5">
        <w:rPr>
          <w:lang w:val="en-US"/>
        </w:rPr>
        <w:t>major defects</w:t>
      </w:r>
      <w:r w:rsidR="00A84B68">
        <w:rPr>
          <w:lang w:val="en-US"/>
        </w:rPr>
        <w:t>”</w:t>
      </w:r>
      <w:r w:rsidRPr="00370CE5">
        <w:rPr>
          <w:lang w:val="en-US"/>
        </w:rPr>
        <w:t xml:space="preserve"> are defined as</w:t>
      </w:r>
      <w:r w:rsidR="00C564ED" w:rsidRPr="00370CE5">
        <w:rPr>
          <w:lang w:val="en-US"/>
        </w:rPr>
        <w:t xml:space="preserve"> </w:t>
      </w:r>
      <w:r w:rsidRPr="00370CE5">
        <w:rPr>
          <w:lang w:val="en-US"/>
        </w:rPr>
        <w:t>dents or bends</w:t>
      </w:r>
      <w:r w:rsidR="00C853F0">
        <w:rPr>
          <w:lang w:val="en-US"/>
        </w:rPr>
        <w:t>,</w:t>
      </w:r>
      <w:r w:rsidRPr="00370CE5">
        <w:rPr>
          <w:lang w:val="en-US"/>
        </w:rPr>
        <w:t xml:space="preserve"> cracks or breaks in structural</w:t>
      </w:r>
      <w:r w:rsidRPr="00044783">
        <w:rPr>
          <w:lang w:val="en-US"/>
        </w:rPr>
        <w:t xml:space="preserve"> members</w:t>
      </w:r>
      <w:r w:rsidR="004C695C">
        <w:rPr>
          <w:lang w:val="en-US"/>
        </w:rPr>
        <w:t xml:space="preserve"> that affect the integrity </w:t>
      </w:r>
      <w:r w:rsidR="004C695C" w:rsidRPr="00A933C6">
        <w:rPr>
          <w:lang w:val="en-US"/>
        </w:rPr>
        <w:t>of the container</w:t>
      </w:r>
      <w:r w:rsidRPr="00A933C6">
        <w:rPr>
          <w:lang w:val="en-US"/>
        </w:rPr>
        <w:t xml:space="preserve">; </w:t>
      </w:r>
      <w:r w:rsidR="006777E8" w:rsidRPr="00A933C6">
        <w:rPr>
          <w:lang w:val="en-US"/>
        </w:rPr>
        <w:t>improper</w:t>
      </w:r>
      <w:r w:rsidR="00A933C6" w:rsidRPr="00A933C6">
        <w:rPr>
          <w:lang w:val="en-US"/>
        </w:rPr>
        <w:t xml:space="preserve"> or inadmissible</w:t>
      </w:r>
      <w:r w:rsidR="006777E8" w:rsidRPr="00A933C6">
        <w:rPr>
          <w:lang w:val="en-US"/>
        </w:rPr>
        <w:t xml:space="preserve"> splice</w:t>
      </w:r>
      <w:r w:rsidR="00A933C6" w:rsidRPr="00A933C6">
        <w:rPr>
          <w:lang w:val="en-US"/>
        </w:rPr>
        <w:t>s in rails, door sill and header</w:t>
      </w:r>
      <w:r w:rsidR="006777E8" w:rsidRPr="00A933C6">
        <w:rPr>
          <w:lang w:val="en-US"/>
        </w:rPr>
        <w:t xml:space="preserve"> </w:t>
      </w:r>
      <w:r w:rsidRPr="00A933C6">
        <w:rPr>
          <w:lang w:val="en-US"/>
        </w:rPr>
        <w:t>or corner post</w:t>
      </w:r>
      <w:r w:rsidR="00C853F0" w:rsidRPr="00A933C6">
        <w:rPr>
          <w:lang w:val="en-US"/>
        </w:rPr>
        <w:t xml:space="preserve">; door hinges and </w:t>
      </w:r>
      <w:r w:rsidR="00C853F0" w:rsidRPr="00A933C6">
        <w:rPr>
          <w:lang w:val="en-US"/>
        </w:rPr>
        <w:lastRenderedPageBreak/>
        <w:t xml:space="preserve">hardware that are seized, twisted, broken, missing or otherwise inoperative; non-closing </w:t>
      </w:r>
      <w:r w:rsidR="00C853F0" w:rsidRPr="00C43F4C">
        <w:rPr>
          <w:lang w:val="en-US"/>
        </w:rPr>
        <w:t xml:space="preserve">gaskets and seals; any distortion of the overall configuration great enough to prevent proper alignment of handling equipment, </w:t>
      </w:r>
      <w:r w:rsidR="00C43F4C" w:rsidRPr="00C43F4C">
        <w:rPr>
          <w:lang w:val="en-US"/>
        </w:rPr>
        <w:t>mounting and securing on a chassis or vehicle</w:t>
      </w:r>
      <w:r w:rsidRPr="00C43F4C">
        <w:rPr>
          <w:lang w:val="en-US"/>
        </w:rPr>
        <w:t>.</w:t>
      </w:r>
    </w:p>
    <w:p w:rsidR="00652F84" w:rsidRPr="008F130C" w:rsidRDefault="003A3FAF" w:rsidP="00044783">
      <w:pPr>
        <w:pStyle w:val="SingleTxtG"/>
        <w:numPr>
          <w:ilvl w:val="0"/>
          <w:numId w:val="29"/>
        </w:numPr>
        <w:suppressAutoHyphens/>
        <w:spacing w:line="240" w:lineRule="atLeast"/>
        <w:ind w:left="1134" w:firstLine="0"/>
        <w:rPr>
          <w:lang w:val="en-US"/>
        </w:rPr>
      </w:pPr>
      <w:r w:rsidRPr="000906E6">
        <w:rPr>
          <w:lang w:val="en-US"/>
        </w:rPr>
        <w:t>T</w:t>
      </w:r>
      <w:r w:rsidR="00652F84" w:rsidRPr="000906E6">
        <w:rPr>
          <w:lang w:val="en-US"/>
        </w:rPr>
        <w:t xml:space="preserve">he </w:t>
      </w:r>
      <w:r w:rsidR="001028BF" w:rsidRPr="000906E6">
        <w:rPr>
          <w:lang w:val="en-US"/>
        </w:rPr>
        <w:t>IMDG-Code</w:t>
      </w:r>
      <w:r w:rsidR="001028BF">
        <w:rPr>
          <w:lang w:val="en-US"/>
        </w:rPr>
        <w:t>, based on the</w:t>
      </w:r>
      <w:r w:rsidR="001028BF" w:rsidRPr="000906E6">
        <w:rPr>
          <w:lang w:val="en-US"/>
        </w:rPr>
        <w:t xml:space="preserve"> </w:t>
      </w:r>
      <w:r w:rsidR="00C853F0" w:rsidRPr="000906E6">
        <w:rPr>
          <w:lang w:val="en-US"/>
        </w:rPr>
        <w:t>UN Model Regulations</w:t>
      </w:r>
      <w:r w:rsidR="001028BF">
        <w:rPr>
          <w:lang w:val="en-US"/>
        </w:rPr>
        <w:t>,</w:t>
      </w:r>
      <w:r w:rsidR="00C853F0" w:rsidRPr="000906E6">
        <w:rPr>
          <w:lang w:val="en-US"/>
        </w:rPr>
        <w:t xml:space="preserve"> </w:t>
      </w:r>
      <w:r w:rsidR="00652F84" w:rsidRPr="000906E6">
        <w:rPr>
          <w:lang w:val="en-US"/>
        </w:rPr>
        <w:t>limit</w:t>
      </w:r>
      <w:r w:rsidR="001028BF">
        <w:rPr>
          <w:lang w:val="en-US"/>
        </w:rPr>
        <w:t>s</w:t>
      </w:r>
      <w:r w:rsidR="00652F84" w:rsidRPr="000906E6">
        <w:rPr>
          <w:lang w:val="en-US"/>
        </w:rPr>
        <w:t xml:space="preserve"> the</w:t>
      </w:r>
      <w:r w:rsidRPr="000906E6">
        <w:rPr>
          <w:lang w:val="en-US"/>
        </w:rPr>
        <w:t xml:space="preserve"> application of </w:t>
      </w:r>
      <w:r w:rsidR="009B4200" w:rsidRPr="000906E6">
        <w:rPr>
          <w:lang w:val="en-US"/>
        </w:rPr>
        <w:t>such</w:t>
      </w:r>
      <w:r w:rsidRPr="000906E6">
        <w:rPr>
          <w:lang w:val="en-US"/>
        </w:rPr>
        <w:t xml:space="preserve"> </w:t>
      </w:r>
      <w:r w:rsidR="002B30F0" w:rsidRPr="000906E6">
        <w:rPr>
          <w:lang w:val="en-US"/>
        </w:rPr>
        <w:t xml:space="preserve">general </w:t>
      </w:r>
      <w:r w:rsidR="006A5F1A" w:rsidRPr="000906E6">
        <w:rPr>
          <w:lang w:val="en-US"/>
        </w:rPr>
        <w:t xml:space="preserve">qualitative </w:t>
      </w:r>
      <w:r w:rsidR="00652F84" w:rsidRPr="000906E6">
        <w:rPr>
          <w:lang w:val="en-US"/>
        </w:rPr>
        <w:t>requirement</w:t>
      </w:r>
      <w:r w:rsidR="00BD53F7" w:rsidRPr="000906E6">
        <w:rPr>
          <w:lang w:val="en-US"/>
        </w:rPr>
        <w:t>s on structural serviceability</w:t>
      </w:r>
      <w:r w:rsidR="003D42CE">
        <w:rPr>
          <w:lang w:val="en-US"/>
        </w:rPr>
        <w:t>,</w:t>
      </w:r>
      <w:r w:rsidR="00652F84" w:rsidRPr="000906E6">
        <w:rPr>
          <w:lang w:val="en-US"/>
        </w:rPr>
        <w:t xml:space="preserve"> </w:t>
      </w:r>
      <w:r w:rsidR="003D42CE">
        <w:rPr>
          <w:lang w:val="en-US"/>
        </w:rPr>
        <w:t>however, along</w:t>
      </w:r>
      <w:r w:rsidR="00F96FA8" w:rsidRPr="000906E6">
        <w:rPr>
          <w:lang w:val="en-US"/>
        </w:rPr>
        <w:t xml:space="preserve"> with</w:t>
      </w:r>
      <w:r w:rsidR="00315552" w:rsidRPr="000906E6">
        <w:rPr>
          <w:lang w:val="en-US"/>
        </w:rPr>
        <w:t xml:space="preserve"> </w:t>
      </w:r>
      <w:r w:rsidR="002B30F0" w:rsidRPr="000906E6">
        <w:rPr>
          <w:lang w:val="en-US"/>
        </w:rPr>
        <w:t xml:space="preserve">additional </w:t>
      </w:r>
      <w:r w:rsidR="00860F0A" w:rsidRPr="000906E6">
        <w:rPr>
          <w:lang w:val="en-US"/>
        </w:rPr>
        <w:t xml:space="preserve">quantified criteria </w:t>
      </w:r>
      <w:r w:rsidR="00F96FA8" w:rsidRPr="000906E6">
        <w:rPr>
          <w:lang w:val="en-US"/>
        </w:rPr>
        <w:t xml:space="preserve">specifically </w:t>
      </w:r>
      <w:r w:rsidR="00860F0A" w:rsidRPr="000906E6">
        <w:rPr>
          <w:lang w:val="en-US"/>
        </w:rPr>
        <w:t xml:space="preserve">for dents or bends in structural members </w:t>
      </w:r>
      <w:r w:rsidR="00F96FA8" w:rsidRPr="000906E6">
        <w:rPr>
          <w:lang w:val="en-US"/>
        </w:rPr>
        <w:t>(</w:t>
      </w:r>
      <w:r w:rsidR="00860F0A" w:rsidRPr="000906E6">
        <w:rPr>
          <w:lang w:val="en-US"/>
        </w:rPr>
        <w:t xml:space="preserve">categorized as major defects when </w:t>
      </w:r>
      <w:r w:rsidR="00F96FA8" w:rsidRPr="000906E6">
        <w:rPr>
          <w:lang w:val="en-US"/>
        </w:rPr>
        <w:t>greater than 19 mm in depth,</w:t>
      </w:r>
      <w:r w:rsidR="00860F0A" w:rsidRPr="000906E6">
        <w:rPr>
          <w:lang w:val="en-US"/>
        </w:rPr>
        <w:t xml:space="preserve"> regardless of length</w:t>
      </w:r>
      <w:r w:rsidR="00F96FA8" w:rsidRPr="000906E6">
        <w:rPr>
          <w:lang w:val="en-US"/>
        </w:rPr>
        <w:t>)</w:t>
      </w:r>
      <w:r w:rsidR="00860F0A" w:rsidRPr="000906E6">
        <w:rPr>
          <w:lang w:val="en-US"/>
        </w:rPr>
        <w:t xml:space="preserve"> </w:t>
      </w:r>
      <w:r w:rsidRPr="000906E6">
        <w:rPr>
          <w:lang w:val="en-US"/>
        </w:rPr>
        <w:t xml:space="preserve">to </w:t>
      </w:r>
      <w:r w:rsidR="00AA1880" w:rsidRPr="000906E6">
        <w:rPr>
          <w:lang w:val="en-US"/>
        </w:rPr>
        <w:t xml:space="preserve">the carriage of </w:t>
      </w:r>
      <w:r w:rsidR="00652F84" w:rsidRPr="000906E6">
        <w:rPr>
          <w:lang w:val="en-US"/>
        </w:rPr>
        <w:t xml:space="preserve">explosive </w:t>
      </w:r>
      <w:r w:rsidR="00652F84" w:rsidRPr="008F130C">
        <w:rPr>
          <w:lang w:val="en-US"/>
        </w:rPr>
        <w:t xml:space="preserve">substances and articles of </w:t>
      </w:r>
      <w:r w:rsidR="000C6B24" w:rsidRPr="008F130C">
        <w:rPr>
          <w:lang w:val="en-US"/>
        </w:rPr>
        <w:t>Class</w:t>
      </w:r>
      <w:r w:rsidR="00652F84" w:rsidRPr="008F130C">
        <w:rPr>
          <w:lang w:val="en-US"/>
        </w:rPr>
        <w:t xml:space="preserve"> 1 only</w:t>
      </w:r>
      <w:r w:rsidR="009B4200" w:rsidRPr="008F130C">
        <w:rPr>
          <w:lang w:val="en-US"/>
        </w:rPr>
        <w:t>.</w:t>
      </w:r>
      <w:r w:rsidR="00652F84" w:rsidRPr="008F130C">
        <w:rPr>
          <w:lang w:val="en-US"/>
        </w:rPr>
        <w:t xml:space="preserve"> </w:t>
      </w:r>
      <w:r w:rsidR="003D42CE">
        <w:rPr>
          <w:lang w:val="en-US"/>
        </w:rPr>
        <w:t>On the other hand</w:t>
      </w:r>
      <w:r w:rsidR="009B4200" w:rsidRPr="008F130C">
        <w:rPr>
          <w:lang w:val="en-US"/>
        </w:rPr>
        <w:t>,</w:t>
      </w:r>
      <w:r w:rsidR="00652F84" w:rsidRPr="008F130C">
        <w:rPr>
          <w:lang w:val="en-US"/>
        </w:rPr>
        <w:t xml:space="preserve"> </w:t>
      </w:r>
      <w:r w:rsidR="00095608" w:rsidRPr="008F130C">
        <w:rPr>
          <w:lang w:val="en-US"/>
        </w:rPr>
        <w:t>RID/ADR</w:t>
      </w:r>
      <w:r w:rsidR="00E052F8">
        <w:rPr>
          <w:lang w:val="en-US"/>
        </w:rPr>
        <w:t xml:space="preserve"> 7.1.4</w:t>
      </w:r>
      <w:r w:rsidR="003D42CE">
        <w:rPr>
          <w:lang w:val="en-US"/>
        </w:rPr>
        <w:t>, in its</w:t>
      </w:r>
      <w:r w:rsidR="00E052F8">
        <w:rPr>
          <w:lang w:val="en-US"/>
        </w:rPr>
        <w:t xml:space="preserve"> </w:t>
      </w:r>
      <w:r w:rsidR="003D42CE">
        <w:rPr>
          <w:lang w:val="en-US"/>
        </w:rPr>
        <w:t>g</w:t>
      </w:r>
      <w:r w:rsidR="00E052F8">
        <w:rPr>
          <w:lang w:val="en-US"/>
        </w:rPr>
        <w:t xml:space="preserve">eneral </w:t>
      </w:r>
      <w:r w:rsidR="003D42CE">
        <w:rPr>
          <w:lang w:val="en-US"/>
        </w:rPr>
        <w:t>p</w:t>
      </w:r>
      <w:r w:rsidR="00E052F8">
        <w:rPr>
          <w:lang w:val="en-US"/>
        </w:rPr>
        <w:t>rovisions</w:t>
      </w:r>
      <w:r w:rsidR="003D42CE">
        <w:rPr>
          <w:lang w:val="en-US"/>
        </w:rPr>
        <w:t>,</w:t>
      </w:r>
      <w:r w:rsidR="00652F84" w:rsidRPr="008F130C">
        <w:rPr>
          <w:lang w:val="en-US"/>
        </w:rPr>
        <w:t xml:space="preserve"> postulates </w:t>
      </w:r>
      <w:r w:rsidR="00AA1880" w:rsidRPr="008F130C">
        <w:rPr>
          <w:lang w:val="en-US"/>
        </w:rPr>
        <w:t>th</w:t>
      </w:r>
      <w:r w:rsidR="00BD53F7" w:rsidRPr="008F130C">
        <w:rPr>
          <w:lang w:val="en-US"/>
        </w:rPr>
        <w:t>e</w:t>
      </w:r>
      <w:r w:rsidR="00AA1880" w:rsidRPr="008F130C">
        <w:rPr>
          <w:lang w:val="en-US"/>
        </w:rPr>
        <w:t xml:space="preserve"> </w:t>
      </w:r>
      <w:r w:rsidR="009B4200" w:rsidRPr="008F130C">
        <w:rPr>
          <w:lang w:val="en-US"/>
        </w:rPr>
        <w:t xml:space="preserve">qualitative </w:t>
      </w:r>
      <w:r w:rsidR="00AA1880" w:rsidRPr="008F130C">
        <w:rPr>
          <w:lang w:val="en-US"/>
        </w:rPr>
        <w:t>requirement</w:t>
      </w:r>
      <w:r w:rsidR="00BD53F7" w:rsidRPr="008F130C">
        <w:rPr>
          <w:lang w:val="en-US"/>
        </w:rPr>
        <w:t>s</w:t>
      </w:r>
      <w:r w:rsidR="00652F84" w:rsidRPr="008F130C">
        <w:rPr>
          <w:lang w:val="en-US"/>
        </w:rPr>
        <w:t xml:space="preserve"> </w:t>
      </w:r>
      <w:r w:rsidR="00990524" w:rsidRPr="008F130C">
        <w:rPr>
          <w:lang w:val="en-US"/>
        </w:rPr>
        <w:t>including</w:t>
      </w:r>
      <w:r w:rsidR="009B4200" w:rsidRPr="008F130C">
        <w:rPr>
          <w:lang w:val="en-US"/>
        </w:rPr>
        <w:t xml:space="preserve"> the specifically quantified criteria </w:t>
      </w:r>
      <w:r w:rsidR="008F130C" w:rsidRPr="008F130C">
        <w:rPr>
          <w:lang w:val="en-US"/>
        </w:rPr>
        <w:t xml:space="preserve">to be applied for </w:t>
      </w:r>
      <w:r w:rsidR="00950735" w:rsidRPr="008F130C">
        <w:rPr>
          <w:lang w:val="en-US"/>
        </w:rPr>
        <w:t xml:space="preserve">the carriage of </w:t>
      </w:r>
      <w:r w:rsidRPr="008F130C">
        <w:rPr>
          <w:lang w:val="en-US"/>
        </w:rPr>
        <w:t>all dangero</w:t>
      </w:r>
      <w:r w:rsidR="003C05A5" w:rsidRPr="008F130C">
        <w:rPr>
          <w:lang w:val="en-US"/>
        </w:rPr>
        <w:t xml:space="preserve">us </w:t>
      </w:r>
      <w:r w:rsidR="00AC21F8" w:rsidRPr="008F130C">
        <w:rPr>
          <w:lang w:val="en-US"/>
        </w:rPr>
        <w:t xml:space="preserve">goods </w:t>
      </w:r>
      <w:r w:rsidR="00210B66" w:rsidRPr="008F130C">
        <w:rPr>
          <w:lang w:val="en-US"/>
        </w:rPr>
        <w:t>classes</w:t>
      </w:r>
      <w:r w:rsidR="003C05A5" w:rsidRPr="008F130C">
        <w:rPr>
          <w:lang w:val="en-US"/>
        </w:rPr>
        <w:t>.</w:t>
      </w:r>
    </w:p>
    <w:p w:rsidR="00C54D91" w:rsidRPr="00EE01B4" w:rsidRDefault="00EF43E4" w:rsidP="00044783">
      <w:pPr>
        <w:pStyle w:val="SingleTxtG"/>
        <w:numPr>
          <w:ilvl w:val="0"/>
          <w:numId w:val="29"/>
        </w:numPr>
        <w:suppressAutoHyphens/>
        <w:spacing w:line="240" w:lineRule="atLeast"/>
        <w:ind w:left="1134" w:firstLine="0"/>
        <w:rPr>
          <w:lang w:val="en-US"/>
        </w:rPr>
      </w:pPr>
      <w:r w:rsidRPr="00367A04">
        <w:rPr>
          <w:lang w:val="en-US"/>
        </w:rPr>
        <w:t xml:space="preserve">Due to the impact of strong mechanical forces on the containers </w:t>
      </w:r>
      <w:r w:rsidR="00A20B21" w:rsidRPr="00367A04">
        <w:rPr>
          <w:lang w:val="en-US"/>
        </w:rPr>
        <w:t>at sea voyage, incl</w:t>
      </w:r>
      <w:r w:rsidR="008F130C">
        <w:rPr>
          <w:lang w:val="en-US"/>
        </w:rPr>
        <w:t>uding</w:t>
      </w:r>
      <w:r w:rsidR="00A20B21" w:rsidRPr="00367A04">
        <w:rPr>
          <w:lang w:val="en-US"/>
        </w:rPr>
        <w:t xml:space="preserve"> multiple handling and stacking</w:t>
      </w:r>
      <w:r w:rsidR="007079EA" w:rsidRPr="00367A04">
        <w:rPr>
          <w:lang w:val="en-US"/>
        </w:rPr>
        <w:t>,</w:t>
      </w:r>
      <w:r w:rsidR="00A20B21" w:rsidRPr="00367A04">
        <w:rPr>
          <w:lang w:val="en-US"/>
        </w:rPr>
        <w:t xml:space="preserve"> higher technical integrity standards have been defined </w:t>
      </w:r>
      <w:r w:rsidR="0055298A">
        <w:rPr>
          <w:lang w:val="en-US"/>
        </w:rPr>
        <w:t xml:space="preserve">in the IMDG-Code </w:t>
      </w:r>
      <w:r w:rsidR="00A20B21" w:rsidRPr="00367A04">
        <w:rPr>
          <w:lang w:val="en-US"/>
        </w:rPr>
        <w:t xml:space="preserve">especially for </w:t>
      </w:r>
      <w:r w:rsidR="0019588A">
        <w:rPr>
          <w:lang w:val="en-US"/>
        </w:rPr>
        <w:t xml:space="preserve">the carriage of </w:t>
      </w:r>
      <w:r w:rsidR="00DF37C3" w:rsidRPr="00367A04">
        <w:rPr>
          <w:lang w:val="en-US"/>
        </w:rPr>
        <w:t>substances</w:t>
      </w:r>
      <w:r w:rsidR="00A20B21" w:rsidRPr="00367A04">
        <w:rPr>
          <w:lang w:val="en-US"/>
        </w:rPr>
        <w:t xml:space="preserve"> and articles of </w:t>
      </w:r>
      <w:r w:rsidR="000C6B24" w:rsidRPr="00367A04">
        <w:rPr>
          <w:lang w:val="en-US"/>
        </w:rPr>
        <w:t>Class</w:t>
      </w:r>
      <w:r w:rsidR="00A20B21" w:rsidRPr="00367A04">
        <w:rPr>
          <w:lang w:val="en-US"/>
        </w:rPr>
        <w:t xml:space="preserve"> 1. In road and rail transport </w:t>
      </w:r>
      <w:r w:rsidR="00B57F5C" w:rsidRPr="00367A04">
        <w:rPr>
          <w:lang w:val="en-US"/>
        </w:rPr>
        <w:t>such</w:t>
      </w:r>
      <w:r w:rsidR="00A20B21" w:rsidRPr="00367A04">
        <w:rPr>
          <w:lang w:val="en-US"/>
        </w:rPr>
        <w:t xml:space="preserve"> mechanical forces are not as strong as in </w:t>
      </w:r>
      <w:r w:rsidR="00DF37C3" w:rsidRPr="00367A04">
        <w:rPr>
          <w:lang w:val="en-US"/>
        </w:rPr>
        <w:t>maritime</w:t>
      </w:r>
      <w:r w:rsidR="00A20B21" w:rsidRPr="00367A04">
        <w:rPr>
          <w:lang w:val="en-US"/>
        </w:rPr>
        <w:t xml:space="preserve"> transport</w:t>
      </w:r>
      <w:r w:rsidR="00F02BC7" w:rsidRPr="00367A04">
        <w:rPr>
          <w:lang w:val="en-US"/>
        </w:rPr>
        <w:t xml:space="preserve"> </w:t>
      </w:r>
      <w:r w:rsidR="00F02BC7" w:rsidRPr="00EE01B4">
        <w:rPr>
          <w:lang w:val="en-US"/>
        </w:rPr>
        <w:t>and the containers are not carried in stacked form</w:t>
      </w:r>
      <w:r w:rsidR="00A20B21" w:rsidRPr="00EE01B4">
        <w:rPr>
          <w:lang w:val="en-US"/>
        </w:rPr>
        <w:t>.</w:t>
      </w:r>
      <w:r w:rsidR="00685BC6" w:rsidRPr="00EE01B4">
        <w:rPr>
          <w:lang w:val="en-US"/>
        </w:rPr>
        <w:t xml:space="preserve"> </w:t>
      </w:r>
      <w:r w:rsidR="00095608" w:rsidRPr="00EE01B4">
        <w:rPr>
          <w:lang w:val="en-US"/>
        </w:rPr>
        <w:t>Therefore,</w:t>
      </w:r>
      <w:r w:rsidR="00685BC6" w:rsidRPr="00EE01B4">
        <w:rPr>
          <w:lang w:val="en-US"/>
        </w:rPr>
        <w:t xml:space="preserve"> </w:t>
      </w:r>
      <w:r w:rsidR="0019588A" w:rsidRPr="00EE01B4">
        <w:rPr>
          <w:lang w:val="en-US"/>
        </w:rPr>
        <w:t xml:space="preserve">specific </w:t>
      </w:r>
      <w:r w:rsidR="00B57F5C" w:rsidRPr="00EE01B4">
        <w:rPr>
          <w:lang w:val="en-US"/>
        </w:rPr>
        <w:t>requirements</w:t>
      </w:r>
      <w:r w:rsidR="00AD1902" w:rsidRPr="00EE01B4">
        <w:rPr>
          <w:lang w:val="en-US"/>
        </w:rPr>
        <w:t xml:space="preserve"> on structural serviceability</w:t>
      </w:r>
      <w:r w:rsidR="00141702" w:rsidRPr="00EE01B4">
        <w:rPr>
          <w:lang w:val="en-US"/>
        </w:rPr>
        <w:t xml:space="preserve"> of large containers</w:t>
      </w:r>
      <w:r w:rsidR="00B57F5C" w:rsidRPr="00EE01B4">
        <w:rPr>
          <w:lang w:val="en-US"/>
        </w:rPr>
        <w:t xml:space="preserve"> </w:t>
      </w:r>
      <w:r w:rsidR="00864BB8" w:rsidRPr="00EE01B4">
        <w:rPr>
          <w:lang w:val="en-US"/>
        </w:rPr>
        <w:t>in service</w:t>
      </w:r>
      <w:r w:rsidR="005A3674" w:rsidRPr="00EE01B4">
        <w:rPr>
          <w:lang w:val="en-US"/>
        </w:rPr>
        <w:t xml:space="preserve"> </w:t>
      </w:r>
      <w:r w:rsidR="00B57F5C" w:rsidRPr="00EE01B4">
        <w:rPr>
          <w:lang w:val="en-US"/>
        </w:rPr>
        <w:t xml:space="preserve">for </w:t>
      </w:r>
      <w:r w:rsidR="00AD1902" w:rsidRPr="00EE01B4">
        <w:rPr>
          <w:lang w:val="en-US"/>
        </w:rPr>
        <w:t xml:space="preserve">the carriage of </w:t>
      </w:r>
      <w:r w:rsidR="00B57F5C" w:rsidRPr="00EE01B4">
        <w:rPr>
          <w:lang w:val="en-US"/>
        </w:rPr>
        <w:t xml:space="preserve">substances and articles of </w:t>
      </w:r>
      <w:r w:rsidR="000C6B24" w:rsidRPr="00EE01B4">
        <w:rPr>
          <w:lang w:val="en-US"/>
        </w:rPr>
        <w:t>Class</w:t>
      </w:r>
      <w:r w:rsidR="00B57F5C" w:rsidRPr="00EE01B4">
        <w:rPr>
          <w:lang w:val="en-US"/>
        </w:rPr>
        <w:t xml:space="preserve"> 1 </w:t>
      </w:r>
      <w:r w:rsidR="007556B7" w:rsidRPr="00EE01B4">
        <w:rPr>
          <w:lang w:val="en-US"/>
        </w:rPr>
        <w:t>adopted for</w:t>
      </w:r>
      <w:r w:rsidR="00685BC6" w:rsidRPr="00EE01B4">
        <w:rPr>
          <w:lang w:val="en-US"/>
        </w:rPr>
        <w:t xml:space="preserve"> </w:t>
      </w:r>
      <w:r w:rsidR="004764F0" w:rsidRPr="00EE01B4">
        <w:rPr>
          <w:lang w:val="en-US"/>
        </w:rPr>
        <w:t xml:space="preserve">a generalized application </w:t>
      </w:r>
      <w:r w:rsidR="007556B7" w:rsidRPr="00EE01B4">
        <w:rPr>
          <w:lang w:val="en-US"/>
        </w:rPr>
        <w:t>on</w:t>
      </w:r>
      <w:r w:rsidR="006B2A70" w:rsidRPr="00EE01B4">
        <w:rPr>
          <w:lang w:val="en-US"/>
        </w:rPr>
        <w:t xml:space="preserve"> </w:t>
      </w:r>
      <w:r w:rsidR="00367A04" w:rsidRPr="00EE01B4">
        <w:rPr>
          <w:lang w:val="en-US"/>
        </w:rPr>
        <w:t xml:space="preserve">land transport of </w:t>
      </w:r>
      <w:r w:rsidR="006B2A70" w:rsidRPr="00EE01B4">
        <w:rPr>
          <w:lang w:val="en-US"/>
        </w:rPr>
        <w:t>all dangerous goods classes</w:t>
      </w:r>
      <w:r w:rsidR="00AD64AA">
        <w:rPr>
          <w:lang w:val="en-US"/>
        </w:rPr>
        <w:t>,</w:t>
      </w:r>
      <w:r w:rsidR="006B2A70" w:rsidRPr="00EE01B4">
        <w:rPr>
          <w:lang w:val="en-US"/>
        </w:rPr>
        <w:t xml:space="preserve"> </w:t>
      </w:r>
      <w:r w:rsidR="004764F0" w:rsidRPr="00EE01B4">
        <w:rPr>
          <w:lang w:val="en-US"/>
        </w:rPr>
        <w:t xml:space="preserve">as </w:t>
      </w:r>
      <w:r w:rsidR="00367A04" w:rsidRPr="00EE01B4">
        <w:rPr>
          <w:lang w:val="en-US"/>
        </w:rPr>
        <w:t xml:space="preserve">currently </w:t>
      </w:r>
      <w:r w:rsidR="004764F0" w:rsidRPr="00EE01B4">
        <w:rPr>
          <w:lang w:val="en-US"/>
        </w:rPr>
        <w:t xml:space="preserve">provided by </w:t>
      </w:r>
      <w:r w:rsidR="00095608" w:rsidRPr="00EE01B4">
        <w:rPr>
          <w:lang w:val="en-US"/>
        </w:rPr>
        <w:t>RID/ADR</w:t>
      </w:r>
      <w:r w:rsidR="00AD64AA">
        <w:rPr>
          <w:lang w:val="en-US"/>
        </w:rPr>
        <w:t>,</w:t>
      </w:r>
      <w:r w:rsidR="00095608" w:rsidRPr="00EE01B4">
        <w:rPr>
          <w:lang w:val="en-US"/>
        </w:rPr>
        <w:t xml:space="preserve"> ha</w:t>
      </w:r>
      <w:r w:rsidR="005829FF" w:rsidRPr="00EE01B4">
        <w:rPr>
          <w:lang w:val="en-US"/>
        </w:rPr>
        <w:t>s</w:t>
      </w:r>
      <w:r w:rsidR="00095608" w:rsidRPr="00EE01B4">
        <w:rPr>
          <w:lang w:val="en-US"/>
        </w:rPr>
        <w:t xml:space="preserve"> to be questioned.</w:t>
      </w:r>
    </w:p>
    <w:p w:rsidR="00740052" w:rsidRPr="00044783" w:rsidRDefault="003A3FAF" w:rsidP="00044783">
      <w:pPr>
        <w:pStyle w:val="SingleTxtG"/>
        <w:numPr>
          <w:ilvl w:val="0"/>
          <w:numId w:val="29"/>
        </w:numPr>
        <w:suppressAutoHyphens/>
        <w:spacing w:line="240" w:lineRule="atLeast"/>
        <w:ind w:left="1134" w:firstLine="0"/>
        <w:rPr>
          <w:lang w:val="en-US"/>
        </w:rPr>
      </w:pPr>
      <w:r w:rsidRPr="00044783">
        <w:rPr>
          <w:lang w:val="en-US"/>
        </w:rPr>
        <w:t xml:space="preserve">Large containers are designed and constructed for multimodal use and for </w:t>
      </w:r>
      <w:r w:rsidR="00850A67" w:rsidRPr="00044783">
        <w:rPr>
          <w:lang w:val="en-US"/>
        </w:rPr>
        <w:t xml:space="preserve">global exchange of goods. Their design and approval follow international </w:t>
      </w:r>
      <w:r w:rsidR="00F02BC7" w:rsidRPr="00044783">
        <w:rPr>
          <w:lang w:val="en-US"/>
        </w:rPr>
        <w:t xml:space="preserve">ISO </w:t>
      </w:r>
      <w:r w:rsidR="00850A67" w:rsidRPr="00044783">
        <w:rPr>
          <w:lang w:val="en-US"/>
        </w:rPr>
        <w:t>standard</w:t>
      </w:r>
      <w:r w:rsidR="00122AB9" w:rsidRPr="00044783">
        <w:rPr>
          <w:lang w:val="en-US"/>
        </w:rPr>
        <w:t>s</w:t>
      </w:r>
      <w:r w:rsidR="00850A67" w:rsidRPr="00044783">
        <w:rPr>
          <w:lang w:val="en-US"/>
        </w:rPr>
        <w:t xml:space="preserve"> </w:t>
      </w:r>
      <w:r w:rsidR="00F02BC7" w:rsidRPr="00044783">
        <w:rPr>
          <w:lang w:val="en-US"/>
        </w:rPr>
        <w:t xml:space="preserve">as well as other international agreements </w:t>
      </w:r>
      <w:r w:rsidR="003E1530" w:rsidRPr="00044783">
        <w:rPr>
          <w:lang w:val="en-US"/>
        </w:rPr>
        <w:t>such as CSC and</w:t>
      </w:r>
      <w:r w:rsidR="00367A04">
        <w:rPr>
          <w:lang w:val="en-US"/>
        </w:rPr>
        <w:t xml:space="preserve"> </w:t>
      </w:r>
      <w:r w:rsidR="00CD3955">
        <w:rPr>
          <w:lang w:val="en-US"/>
        </w:rPr>
        <w:t xml:space="preserve">related </w:t>
      </w:r>
      <w:r w:rsidR="00367A04">
        <w:rPr>
          <w:lang w:val="en-US"/>
        </w:rPr>
        <w:t>guiding</w:t>
      </w:r>
      <w:r w:rsidR="003E1530" w:rsidRPr="00044783">
        <w:rPr>
          <w:lang w:val="en-US"/>
        </w:rPr>
        <w:t xml:space="preserve"> technical reference</w:t>
      </w:r>
      <w:r w:rsidR="00E5546C">
        <w:rPr>
          <w:lang w:val="en-US"/>
        </w:rPr>
        <w:t>-</w:t>
      </w:r>
      <w:r w:rsidR="003E1530" w:rsidRPr="00044783">
        <w:rPr>
          <w:lang w:val="en-US"/>
        </w:rPr>
        <w:t xml:space="preserve"> documents published by </w:t>
      </w:r>
      <w:r w:rsidR="00367A04">
        <w:rPr>
          <w:lang w:val="en-US"/>
        </w:rPr>
        <w:t>international institutions</w:t>
      </w:r>
      <w:r w:rsidR="009D6C30">
        <w:rPr>
          <w:lang w:val="en-US"/>
        </w:rPr>
        <w:t xml:space="preserve"> </w:t>
      </w:r>
      <w:r w:rsidR="009D6C30" w:rsidRPr="00113750">
        <w:rPr>
          <w:lang w:val="en-US"/>
        </w:rPr>
        <w:t>within the container industry</w:t>
      </w:r>
      <w:r w:rsidR="00850A67" w:rsidRPr="00044783">
        <w:rPr>
          <w:lang w:val="en-US"/>
        </w:rPr>
        <w:t xml:space="preserve">. </w:t>
      </w:r>
      <w:r w:rsidR="00F6237D">
        <w:rPr>
          <w:lang w:val="en-US"/>
        </w:rPr>
        <w:t>D</w:t>
      </w:r>
      <w:r w:rsidR="00850A67" w:rsidRPr="00044783">
        <w:rPr>
          <w:lang w:val="en-US"/>
        </w:rPr>
        <w:t>ifference</w:t>
      </w:r>
      <w:r w:rsidR="00F6237D">
        <w:rPr>
          <w:lang w:val="en-US"/>
        </w:rPr>
        <w:t>s</w:t>
      </w:r>
      <w:r w:rsidR="00850A67" w:rsidRPr="00044783">
        <w:rPr>
          <w:lang w:val="en-US"/>
        </w:rPr>
        <w:t xml:space="preserve"> in the </w:t>
      </w:r>
      <w:r w:rsidR="00F17BAB" w:rsidRPr="00044783">
        <w:rPr>
          <w:lang w:val="en-US"/>
        </w:rPr>
        <w:t>modal transport regulations with respect to the</w:t>
      </w:r>
      <w:r w:rsidR="00F6237D">
        <w:rPr>
          <w:lang w:val="en-US"/>
        </w:rPr>
        <w:t xml:space="preserve"> specific</w:t>
      </w:r>
      <w:r w:rsidR="00F17BAB" w:rsidRPr="00044783">
        <w:rPr>
          <w:lang w:val="en-US"/>
        </w:rPr>
        <w:t xml:space="preserve"> </w:t>
      </w:r>
      <w:r w:rsidR="00F6237D">
        <w:rPr>
          <w:lang w:val="en-US"/>
        </w:rPr>
        <w:t xml:space="preserve">requirements for </w:t>
      </w:r>
      <w:r w:rsidR="00850A67" w:rsidRPr="00044783">
        <w:rPr>
          <w:lang w:val="en-US"/>
        </w:rPr>
        <w:t>structurally serviceable</w:t>
      </w:r>
      <w:r w:rsidR="00F17BAB" w:rsidRPr="00044783">
        <w:rPr>
          <w:lang w:val="en-US"/>
        </w:rPr>
        <w:t xml:space="preserve"> containers</w:t>
      </w:r>
      <w:r w:rsidR="00850A67" w:rsidRPr="00044783">
        <w:rPr>
          <w:lang w:val="en-US"/>
        </w:rPr>
        <w:t xml:space="preserve"> means a significant burden in </w:t>
      </w:r>
      <w:r w:rsidR="00740052" w:rsidRPr="00044783">
        <w:rPr>
          <w:lang w:val="en-US"/>
        </w:rPr>
        <w:t xml:space="preserve">international trade regarding the </w:t>
      </w:r>
      <w:r w:rsidR="00850A67" w:rsidRPr="00044783">
        <w:rPr>
          <w:lang w:val="en-US"/>
        </w:rPr>
        <w:t xml:space="preserve">use </w:t>
      </w:r>
      <w:r w:rsidR="00740052" w:rsidRPr="00044783">
        <w:rPr>
          <w:lang w:val="en-US"/>
        </w:rPr>
        <w:t xml:space="preserve">and </w:t>
      </w:r>
      <w:r w:rsidR="00F02BC7" w:rsidRPr="00044783">
        <w:rPr>
          <w:lang w:val="en-US"/>
        </w:rPr>
        <w:t>inter</w:t>
      </w:r>
      <w:r w:rsidR="00A84B68" w:rsidRPr="00044783">
        <w:rPr>
          <w:lang w:val="en-US"/>
        </w:rPr>
        <w:t>change of containers.</w:t>
      </w:r>
    </w:p>
    <w:p w:rsidR="00C564ED" w:rsidRPr="00367A04" w:rsidRDefault="00C564ED" w:rsidP="00C564ED">
      <w:pPr>
        <w:pStyle w:val="HChG"/>
        <w:ind w:firstLine="0"/>
      </w:pPr>
      <w:r w:rsidRPr="00367A04">
        <w:t>Proposal</w:t>
      </w:r>
    </w:p>
    <w:p w:rsidR="00444E4E" w:rsidRPr="00C47379" w:rsidRDefault="00685BC6" w:rsidP="00044783">
      <w:pPr>
        <w:pStyle w:val="SingleTxtG"/>
        <w:numPr>
          <w:ilvl w:val="0"/>
          <w:numId w:val="29"/>
        </w:numPr>
        <w:suppressAutoHyphens/>
        <w:spacing w:line="240" w:lineRule="atLeast"/>
        <w:ind w:left="1134" w:firstLine="0"/>
        <w:rPr>
          <w:lang w:val="en-US"/>
        </w:rPr>
      </w:pPr>
      <w:r w:rsidRPr="00C47379">
        <w:rPr>
          <w:lang w:val="en-US"/>
        </w:rPr>
        <w:t>With regard to harmonized transport regulations</w:t>
      </w:r>
      <w:r w:rsidR="00DF747C">
        <w:rPr>
          <w:lang w:val="en-US"/>
        </w:rPr>
        <w:t>,</w:t>
      </w:r>
      <w:r w:rsidRPr="00C47379">
        <w:rPr>
          <w:lang w:val="en-US"/>
        </w:rPr>
        <w:t xml:space="preserve"> </w:t>
      </w:r>
      <w:r w:rsidR="00740052" w:rsidRPr="00C47379">
        <w:rPr>
          <w:lang w:val="en-US"/>
        </w:rPr>
        <w:t xml:space="preserve">CEFIC is of the opinion that </w:t>
      </w:r>
      <w:r w:rsidR="00367A04" w:rsidRPr="00C47379">
        <w:rPr>
          <w:lang w:val="en-US"/>
        </w:rPr>
        <w:t xml:space="preserve">the application of quantified </w:t>
      </w:r>
      <w:r w:rsidR="00740052" w:rsidRPr="0046547D">
        <w:rPr>
          <w:lang w:val="en-US"/>
        </w:rPr>
        <w:t xml:space="preserve">requirements </w:t>
      </w:r>
      <w:r w:rsidR="00F62E3B" w:rsidRPr="0046547D">
        <w:rPr>
          <w:lang w:val="en-US"/>
        </w:rPr>
        <w:t xml:space="preserve">for dents or bends in </w:t>
      </w:r>
      <w:r w:rsidR="0046547D" w:rsidRPr="0046547D">
        <w:rPr>
          <w:lang w:val="en-US"/>
        </w:rPr>
        <w:t xml:space="preserve">primary </w:t>
      </w:r>
      <w:r w:rsidR="0046547D">
        <w:rPr>
          <w:lang w:val="en-US"/>
        </w:rPr>
        <w:t xml:space="preserve">structural </w:t>
      </w:r>
      <w:r w:rsidR="0046547D" w:rsidRPr="00044783">
        <w:rPr>
          <w:lang w:val="en-US"/>
        </w:rPr>
        <w:t>components</w:t>
      </w:r>
      <w:r w:rsidR="0046547D">
        <w:rPr>
          <w:lang w:val="en-US"/>
        </w:rPr>
        <w:t xml:space="preserve"> of large containers</w:t>
      </w:r>
      <w:r w:rsidR="003D42CE">
        <w:rPr>
          <w:lang w:val="en-US"/>
        </w:rPr>
        <w:t>,</w:t>
      </w:r>
      <w:r w:rsidR="0046547D">
        <w:rPr>
          <w:lang w:val="en-US"/>
        </w:rPr>
        <w:t xml:space="preserve"> </w:t>
      </w:r>
      <w:r w:rsidR="003D42CE">
        <w:rPr>
          <w:lang w:val="en-US"/>
        </w:rPr>
        <w:t>specified</w:t>
      </w:r>
      <w:r w:rsidR="0046547D" w:rsidRPr="00C47379">
        <w:rPr>
          <w:lang w:val="en-US"/>
        </w:rPr>
        <w:t xml:space="preserve"> </w:t>
      </w:r>
      <w:r w:rsidR="00367A04" w:rsidRPr="00C47379">
        <w:rPr>
          <w:lang w:val="en-US"/>
        </w:rPr>
        <w:t>in</w:t>
      </w:r>
      <w:r w:rsidR="00740052" w:rsidRPr="00C47379">
        <w:rPr>
          <w:lang w:val="en-US"/>
        </w:rPr>
        <w:t xml:space="preserve"> </w:t>
      </w:r>
      <w:r w:rsidR="00095608" w:rsidRPr="00C47379">
        <w:rPr>
          <w:lang w:val="en-US"/>
        </w:rPr>
        <w:t xml:space="preserve">RID/ADR </w:t>
      </w:r>
      <w:r w:rsidR="00740052" w:rsidRPr="00C47379">
        <w:rPr>
          <w:lang w:val="en-US"/>
        </w:rPr>
        <w:t>section 7.1.4</w:t>
      </w:r>
      <w:r w:rsidR="003D42CE">
        <w:rPr>
          <w:lang w:val="en-US"/>
        </w:rPr>
        <w:t>,</w:t>
      </w:r>
      <w:r w:rsidR="00740052" w:rsidRPr="00C47379">
        <w:rPr>
          <w:lang w:val="en-US"/>
        </w:rPr>
        <w:t xml:space="preserve"> </w:t>
      </w:r>
      <w:r w:rsidRPr="00C47379">
        <w:rPr>
          <w:lang w:val="en-US"/>
        </w:rPr>
        <w:t>sh</w:t>
      </w:r>
      <w:r w:rsidR="00444E4E" w:rsidRPr="00C47379">
        <w:rPr>
          <w:lang w:val="en-US"/>
        </w:rPr>
        <w:t>ould</w:t>
      </w:r>
      <w:r w:rsidRPr="00C47379">
        <w:rPr>
          <w:lang w:val="en-US"/>
        </w:rPr>
        <w:t xml:space="preserve"> be</w:t>
      </w:r>
      <w:r w:rsidR="00740052" w:rsidRPr="00C47379">
        <w:rPr>
          <w:lang w:val="en-US"/>
        </w:rPr>
        <w:t xml:space="preserve"> adapted to the </w:t>
      </w:r>
      <w:r w:rsidR="00444E4E" w:rsidRPr="00C47379">
        <w:rPr>
          <w:lang w:val="en-US"/>
        </w:rPr>
        <w:t xml:space="preserve">scope of </w:t>
      </w:r>
      <w:r w:rsidR="00E32FCA" w:rsidRPr="00C47379">
        <w:rPr>
          <w:lang w:val="en-US"/>
        </w:rPr>
        <w:t xml:space="preserve">comparable </w:t>
      </w:r>
      <w:r w:rsidR="00740052" w:rsidRPr="00C47379">
        <w:rPr>
          <w:lang w:val="en-US"/>
        </w:rPr>
        <w:t xml:space="preserve">requirements </w:t>
      </w:r>
      <w:r w:rsidR="00444E4E" w:rsidRPr="00C47379">
        <w:rPr>
          <w:lang w:val="en-US"/>
        </w:rPr>
        <w:t xml:space="preserve">in </w:t>
      </w:r>
      <w:r w:rsidR="002527C9">
        <w:rPr>
          <w:lang w:val="en-US"/>
        </w:rPr>
        <w:t xml:space="preserve">the </w:t>
      </w:r>
      <w:r w:rsidR="00740052" w:rsidRPr="00C47379">
        <w:rPr>
          <w:lang w:val="en-US"/>
        </w:rPr>
        <w:t>IMDG-Code section 7.1.2</w:t>
      </w:r>
      <w:r w:rsidR="008C4B3E">
        <w:rPr>
          <w:lang w:val="en-US"/>
        </w:rPr>
        <w:t>,</w:t>
      </w:r>
      <w:r w:rsidR="00740052" w:rsidRPr="00C47379">
        <w:rPr>
          <w:lang w:val="en-US"/>
        </w:rPr>
        <w:t xml:space="preserve"> </w:t>
      </w:r>
      <w:r w:rsidR="00CD3955">
        <w:rPr>
          <w:lang w:val="en-US"/>
        </w:rPr>
        <w:t>based on</w:t>
      </w:r>
      <w:r w:rsidR="00740052" w:rsidRPr="00C47379">
        <w:rPr>
          <w:lang w:val="en-US"/>
        </w:rPr>
        <w:t xml:space="preserve"> the UN Model Regula</w:t>
      </w:r>
      <w:r w:rsidR="001167E2">
        <w:rPr>
          <w:lang w:val="en-US"/>
        </w:rPr>
        <w:t>tions sub-section 7.1.3.3.1 (b)</w:t>
      </w:r>
      <w:r w:rsidR="008C4B3E">
        <w:rPr>
          <w:lang w:val="en-US"/>
        </w:rPr>
        <w:t>,</w:t>
      </w:r>
      <w:r w:rsidR="001167E2" w:rsidRPr="001167E2">
        <w:rPr>
          <w:lang w:val="en-US"/>
        </w:rPr>
        <w:t xml:space="preserve"> </w:t>
      </w:r>
      <w:r w:rsidR="001167E2">
        <w:rPr>
          <w:lang w:val="en-US"/>
        </w:rPr>
        <w:t>s</w:t>
      </w:r>
      <w:r w:rsidR="003D42CE">
        <w:rPr>
          <w:lang w:val="en-US"/>
        </w:rPr>
        <w:t>tipulat</w:t>
      </w:r>
      <w:r w:rsidR="001167E2">
        <w:rPr>
          <w:lang w:val="en-US"/>
        </w:rPr>
        <w:t xml:space="preserve">ed for the carriage of </w:t>
      </w:r>
      <w:r w:rsidR="001167E2" w:rsidRPr="00044783">
        <w:rPr>
          <w:lang w:val="en-US"/>
        </w:rPr>
        <w:t>explosive substances and articles of Class 1</w:t>
      </w:r>
      <w:r w:rsidR="001167E2">
        <w:rPr>
          <w:lang w:val="en-US"/>
        </w:rPr>
        <w:t>.</w:t>
      </w:r>
    </w:p>
    <w:p w:rsidR="00412C83" w:rsidRPr="00C47379" w:rsidRDefault="00C47379" w:rsidP="00044783">
      <w:pPr>
        <w:pStyle w:val="SingleTxtG"/>
        <w:numPr>
          <w:ilvl w:val="0"/>
          <w:numId w:val="29"/>
        </w:numPr>
        <w:suppressAutoHyphens/>
        <w:spacing w:line="240" w:lineRule="atLeast"/>
        <w:ind w:left="1134" w:firstLine="0"/>
        <w:rPr>
          <w:lang w:val="en-US"/>
        </w:rPr>
      </w:pPr>
      <w:r w:rsidRPr="00C47379">
        <w:rPr>
          <w:lang w:val="en-US"/>
        </w:rPr>
        <w:t>Therefore,</w:t>
      </w:r>
      <w:r w:rsidR="00444E4E" w:rsidRPr="00C47379">
        <w:rPr>
          <w:lang w:val="en-US"/>
        </w:rPr>
        <w:t xml:space="preserve"> </w:t>
      </w:r>
      <w:r w:rsidR="00412C83" w:rsidRPr="00C47379">
        <w:rPr>
          <w:lang w:val="en-US"/>
        </w:rPr>
        <w:t xml:space="preserve">CEFIC </w:t>
      </w:r>
      <w:r w:rsidR="00444E4E" w:rsidRPr="00C47379">
        <w:rPr>
          <w:lang w:val="en-US"/>
        </w:rPr>
        <w:t>proposes to</w:t>
      </w:r>
      <w:r w:rsidR="001B7093">
        <w:rPr>
          <w:lang w:val="en-US"/>
        </w:rPr>
        <w:t xml:space="preserve"> </w:t>
      </w:r>
      <w:r w:rsidR="001F50B4">
        <w:rPr>
          <w:lang w:val="en-US"/>
        </w:rPr>
        <w:t>consider</w:t>
      </w:r>
      <w:r w:rsidR="00444E4E" w:rsidRPr="00C47379">
        <w:rPr>
          <w:lang w:val="en-US"/>
        </w:rPr>
        <w:t xml:space="preserve"> amend</w:t>
      </w:r>
      <w:r w:rsidR="001F50B4">
        <w:rPr>
          <w:lang w:val="en-US"/>
        </w:rPr>
        <w:t>ment of</w:t>
      </w:r>
      <w:r w:rsidR="00444E4E" w:rsidRPr="00C47379">
        <w:rPr>
          <w:lang w:val="en-US"/>
        </w:rPr>
        <w:t xml:space="preserve"> </w:t>
      </w:r>
      <w:r w:rsidR="00095608" w:rsidRPr="00C47379">
        <w:rPr>
          <w:lang w:val="en-US"/>
        </w:rPr>
        <w:t xml:space="preserve">RID/ADR </w:t>
      </w:r>
      <w:r w:rsidR="00412C83" w:rsidRPr="00C47379">
        <w:rPr>
          <w:lang w:val="en-US"/>
        </w:rPr>
        <w:t>section 7.1.4 to</w:t>
      </w:r>
      <w:r w:rsidR="008B09E0">
        <w:rPr>
          <w:lang w:val="en-US"/>
        </w:rPr>
        <w:t xml:space="preserve"> read as follows</w:t>
      </w:r>
      <w:r w:rsidR="00444E4E" w:rsidRPr="00C47379">
        <w:rPr>
          <w:lang w:val="en-US"/>
        </w:rPr>
        <w:t>:</w:t>
      </w:r>
    </w:p>
    <w:p w:rsidR="00C47379" w:rsidRPr="0072668D" w:rsidRDefault="00C47379" w:rsidP="00C47379">
      <w:pPr>
        <w:pStyle w:val="SingleTxtG"/>
        <w:suppressAutoHyphens/>
        <w:spacing w:line="240" w:lineRule="atLeast"/>
        <w:ind w:left="2268" w:hanging="567"/>
        <w:rPr>
          <w:i/>
          <w:lang w:val="en-US"/>
        </w:rPr>
      </w:pPr>
      <w:r w:rsidRPr="0072668D">
        <w:rPr>
          <w:i/>
          <w:lang w:val="en-US"/>
        </w:rPr>
        <w:t>7.1.4</w:t>
      </w:r>
      <w:r w:rsidRPr="0072668D">
        <w:rPr>
          <w:i/>
          <w:lang w:val="en-US"/>
        </w:rPr>
        <w:tab/>
        <w:t>A large container may be presented for carriage only if it is structurally serviceable.</w:t>
      </w:r>
    </w:p>
    <w:p w:rsidR="00C95893" w:rsidRPr="0072668D" w:rsidRDefault="00C47379" w:rsidP="00C47379">
      <w:pPr>
        <w:pStyle w:val="SingleTxtG"/>
        <w:suppressAutoHyphens/>
        <w:spacing w:line="240" w:lineRule="atLeast"/>
        <w:ind w:left="2268"/>
        <w:rPr>
          <w:i/>
          <w:lang w:val="en-US"/>
        </w:rPr>
      </w:pPr>
      <w:r w:rsidRPr="0072668D">
        <w:rPr>
          <w:i/>
          <w:lang w:val="en-US"/>
        </w:rPr>
        <w:t xml:space="preserve">“Structurally serviceable” means that the container is free from major defects in its structural components, e.g. top and bottom side rails, top and bottom end rails, door sill and header, floor cross-members, corner posts and corner fittings. </w:t>
      </w:r>
      <w:r w:rsidR="00C95893" w:rsidRPr="0072668D">
        <w:rPr>
          <w:i/>
          <w:lang w:val="en-US"/>
        </w:rPr>
        <w:t>“</w:t>
      </w:r>
      <w:r w:rsidRPr="0072668D">
        <w:rPr>
          <w:i/>
          <w:lang w:val="en-US"/>
        </w:rPr>
        <w:t>M</w:t>
      </w:r>
      <w:r w:rsidR="00C95893" w:rsidRPr="0072668D">
        <w:rPr>
          <w:i/>
          <w:lang w:val="en-US"/>
        </w:rPr>
        <w:t>a</w:t>
      </w:r>
      <w:r w:rsidR="0072769E" w:rsidRPr="0072668D">
        <w:rPr>
          <w:i/>
          <w:lang w:val="en-US"/>
        </w:rPr>
        <w:t xml:space="preserve">jor defects” are dents or bends </w:t>
      </w:r>
      <w:r w:rsidRPr="0072668D">
        <w:rPr>
          <w:i/>
          <w:strike/>
          <w:lang w:val="en-US"/>
        </w:rPr>
        <w:t>in structural members</w:t>
      </w:r>
      <w:r w:rsidR="007D2820" w:rsidRPr="0072668D">
        <w:rPr>
          <w:i/>
          <w:lang w:val="en-US"/>
        </w:rPr>
        <w:t xml:space="preserve"> </w:t>
      </w:r>
      <w:r w:rsidR="00FC460D" w:rsidRPr="0072668D">
        <w:rPr>
          <w:i/>
          <w:u w:val="single"/>
          <w:lang w:val="en-US"/>
        </w:rPr>
        <w:t>(</w:t>
      </w:r>
      <w:r w:rsidR="00F45DEA" w:rsidRPr="0072668D">
        <w:rPr>
          <w:i/>
          <w:u w:val="single"/>
          <w:lang w:val="en-US"/>
        </w:rPr>
        <w:t>for the carriage of explosive substances and articles of Class 1</w:t>
      </w:r>
      <w:r w:rsidR="002618E6" w:rsidRPr="0072668D">
        <w:rPr>
          <w:i/>
          <w:u w:val="single"/>
          <w:lang w:val="en-US"/>
        </w:rPr>
        <w:t xml:space="preserve">: </w:t>
      </w:r>
      <w:r w:rsidR="00844E9D" w:rsidRPr="0072668D">
        <w:rPr>
          <w:i/>
          <w:u w:val="single"/>
          <w:lang w:val="en-US"/>
        </w:rPr>
        <w:t>dents or bends</w:t>
      </w:r>
      <w:r w:rsidR="00844E9D" w:rsidRPr="0072668D">
        <w:rPr>
          <w:i/>
          <w:lang w:val="en-US"/>
        </w:rPr>
        <w:t xml:space="preserve"> </w:t>
      </w:r>
      <w:r w:rsidRPr="0072668D">
        <w:rPr>
          <w:i/>
          <w:lang w:val="en-US"/>
        </w:rPr>
        <w:t>greater than 19 mm in depth</w:t>
      </w:r>
      <w:r w:rsidR="00FC460D" w:rsidRPr="0072668D">
        <w:rPr>
          <w:i/>
          <w:lang w:val="en-US"/>
        </w:rPr>
        <w:t>,</w:t>
      </w:r>
      <w:r w:rsidR="007D2820" w:rsidRPr="0072668D">
        <w:rPr>
          <w:i/>
          <w:lang w:val="en-US"/>
        </w:rPr>
        <w:t xml:space="preserve"> </w:t>
      </w:r>
      <w:r w:rsidRPr="0072668D">
        <w:rPr>
          <w:i/>
          <w:lang w:val="en-US"/>
        </w:rPr>
        <w:t>regardless of length</w:t>
      </w:r>
      <w:r w:rsidR="00FC460D" w:rsidRPr="0072668D">
        <w:rPr>
          <w:i/>
          <w:u w:val="single"/>
          <w:lang w:val="en-US"/>
        </w:rPr>
        <w:t>)</w:t>
      </w:r>
      <w:r w:rsidR="00D11BA6">
        <w:rPr>
          <w:i/>
          <w:u w:val="single"/>
          <w:lang w:val="en-US"/>
        </w:rPr>
        <w:t xml:space="preserve"> or</w:t>
      </w:r>
      <w:r w:rsidR="0072769E" w:rsidRPr="0072668D">
        <w:rPr>
          <w:i/>
          <w:strike/>
          <w:lang w:val="en-US"/>
        </w:rPr>
        <w:t>;</w:t>
      </w:r>
      <w:r w:rsidR="00C95893" w:rsidRPr="0072668D">
        <w:rPr>
          <w:i/>
          <w:lang w:val="en-US"/>
        </w:rPr>
        <w:t xml:space="preserve"> cracks or breaks in structural members</w:t>
      </w:r>
      <w:r w:rsidR="00DB7C01" w:rsidRPr="0072668D">
        <w:rPr>
          <w:i/>
          <w:lang w:val="en-US"/>
        </w:rPr>
        <w:t xml:space="preserve"> </w:t>
      </w:r>
      <w:r w:rsidR="00DB7C01" w:rsidRPr="0072668D">
        <w:rPr>
          <w:i/>
          <w:u w:val="single"/>
          <w:lang w:val="en-US"/>
        </w:rPr>
        <w:t>that affect the integrity of the container</w:t>
      </w:r>
      <w:r w:rsidRPr="0072668D">
        <w:rPr>
          <w:i/>
          <w:lang w:val="en-US"/>
        </w:rPr>
        <w:t xml:space="preserve">; </w:t>
      </w:r>
      <w:r w:rsidR="00DB7C01" w:rsidRPr="0072668D">
        <w:rPr>
          <w:i/>
          <w:lang w:val="en-US"/>
        </w:rPr>
        <w:t xml:space="preserve">more than </w:t>
      </w:r>
      <w:r w:rsidRPr="0072668D">
        <w:rPr>
          <w:i/>
          <w:lang w:val="en-US"/>
        </w:rPr>
        <w:t>…</w:t>
      </w:r>
    </w:p>
    <w:p w:rsidR="006B6B73" w:rsidRPr="00D63C21" w:rsidRDefault="006B6B73" w:rsidP="006B6B73">
      <w:pPr>
        <w:pStyle w:val="SingleTxtG"/>
        <w:ind w:left="1689"/>
        <w:jc w:val="center"/>
      </w:pPr>
      <w:r>
        <w:t>__________________</w:t>
      </w:r>
    </w:p>
    <w:sectPr w:rsidR="006B6B73" w:rsidRPr="00D63C21" w:rsidSect="00F137E1">
      <w:headerReference w:type="even" r:id="rId8"/>
      <w:headerReference w:type="default" r:id="rId9"/>
      <w:footerReference w:type="even" r:id="rId10"/>
      <w:footerReference w:type="default" r:id="rId11"/>
      <w:headerReference w:type="first" r:id="rId12"/>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550" w:rsidRDefault="00386550"/>
  </w:endnote>
  <w:endnote w:type="continuationSeparator" w:id="0">
    <w:p w:rsidR="00386550" w:rsidRDefault="00386550"/>
  </w:endnote>
  <w:endnote w:type="continuationNotice" w:id="1">
    <w:p w:rsidR="00386550" w:rsidRDefault="003865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F84" w:rsidRPr="003B3A7E" w:rsidRDefault="00652F84" w:rsidP="003B3A7E">
    <w:pPr>
      <w:pStyle w:val="Footer"/>
    </w:pPr>
    <w:r>
      <w:rPr>
        <w:rStyle w:val="PageNumber"/>
      </w:rPr>
      <w:fldChar w:fldCharType="begin"/>
    </w:r>
    <w:r>
      <w:rPr>
        <w:rStyle w:val="PageNumber"/>
      </w:rPr>
      <w:instrText xml:space="preserve"> PAGE </w:instrText>
    </w:r>
    <w:r>
      <w:rPr>
        <w:rStyle w:val="PageNumber"/>
      </w:rPr>
      <w:fldChar w:fldCharType="separate"/>
    </w:r>
    <w:r w:rsidR="00EE6185">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F84" w:rsidRDefault="00652F84"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046C44">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550" w:rsidRPr="000B175B" w:rsidRDefault="00386550" w:rsidP="000B175B">
      <w:pPr>
        <w:tabs>
          <w:tab w:val="right" w:pos="2155"/>
        </w:tabs>
        <w:spacing w:after="80"/>
        <w:ind w:left="680"/>
        <w:rPr>
          <w:u w:val="single"/>
        </w:rPr>
      </w:pPr>
      <w:r>
        <w:rPr>
          <w:u w:val="single"/>
        </w:rPr>
        <w:tab/>
      </w:r>
    </w:p>
  </w:footnote>
  <w:footnote w:type="continuationSeparator" w:id="0">
    <w:p w:rsidR="00386550" w:rsidRPr="00FC68B7" w:rsidRDefault="00386550" w:rsidP="00FC68B7">
      <w:pPr>
        <w:tabs>
          <w:tab w:val="left" w:pos="2155"/>
        </w:tabs>
        <w:spacing w:after="80"/>
        <w:ind w:left="680"/>
        <w:rPr>
          <w:u w:val="single"/>
        </w:rPr>
      </w:pPr>
      <w:r>
        <w:rPr>
          <w:u w:val="single"/>
        </w:rPr>
        <w:tab/>
      </w:r>
    </w:p>
  </w:footnote>
  <w:footnote w:type="continuationNotice" w:id="1">
    <w:p w:rsidR="00386550" w:rsidRDefault="00386550"/>
  </w:footnote>
  <w:footnote w:id="2">
    <w:p w:rsidR="00B75CF0" w:rsidRPr="009F4BF2" w:rsidRDefault="00B75CF0" w:rsidP="00D8757B">
      <w:pPr>
        <w:pStyle w:val="FootnoteText"/>
        <w:tabs>
          <w:tab w:val="left" w:pos="1418"/>
        </w:tabs>
        <w:spacing w:after="0"/>
        <w:ind w:firstLine="0"/>
        <w:rPr>
          <w:lang w:val="en-US"/>
        </w:rPr>
      </w:pPr>
      <w:r w:rsidRPr="00D1626A">
        <w:rPr>
          <w:rStyle w:val="FootnoteReference"/>
          <w:sz w:val="20"/>
        </w:rPr>
        <w:footnoteRef/>
      </w:r>
      <w:r>
        <w:t xml:space="preserve"> </w:t>
      </w:r>
      <w:r>
        <w:tab/>
      </w:r>
      <w:r w:rsidR="00046C44" w:rsidRPr="00046C44">
        <w:rPr>
          <w:lang w:val="en-US"/>
        </w:rPr>
        <w:t>U</w:t>
      </w:r>
      <w:r w:rsidR="00046C44">
        <w:rPr>
          <w:lang w:val="en-US"/>
        </w:rPr>
        <w:t>nion</w:t>
      </w:r>
      <w:r w:rsidR="00046C44" w:rsidRPr="00046C44">
        <w:rPr>
          <w:lang w:val="en-US"/>
        </w:rPr>
        <w:t xml:space="preserve"> I</w:t>
      </w:r>
      <w:r w:rsidR="00D8757B">
        <w:rPr>
          <w:lang w:val="en-US"/>
        </w:rPr>
        <w:t>nternationale</w:t>
      </w:r>
      <w:r w:rsidR="00046C44" w:rsidRPr="00046C44">
        <w:rPr>
          <w:lang w:val="en-US"/>
        </w:rPr>
        <w:t xml:space="preserve"> </w:t>
      </w:r>
      <w:r w:rsidR="00D8757B">
        <w:rPr>
          <w:lang w:val="en-US"/>
        </w:rPr>
        <w:t>des</w:t>
      </w:r>
      <w:r w:rsidR="00046C44" w:rsidRPr="00046C44">
        <w:rPr>
          <w:lang w:val="en-US"/>
        </w:rPr>
        <w:t xml:space="preserve"> C</w:t>
      </w:r>
      <w:r w:rsidR="00D8757B">
        <w:rPr>
          <w:lang w:val="en-US"/>
        </w:rPr>
        <w:t>hemins</w:t>
      </w:r>
      <w:r w:rsidR="00046C44" w:rsidRPr="00046C44">
        <w:rPr>
          <w:lang w:val="en-US"/>
        </w:rPr>
        <w:t xml:space="preserve"> </w:t>
      </w:r>
      <w:r w:rsidR="00D8757B">
        <w:rPr>
          <w:lang w:val="en-US"/>
        </w:rPr>
        <w:t>de</w:t>
      </w:r>
      <w:r w:rsidR="00046C44" w:rsidRPr="00046C44">
        <w:rPr>
          <w:lang w:val="en-US"/>
        </w:rPr>
        <w:t xml:space="preserve"> F</w:t>
      </w:r>
      <w:r w:rsidR="00D8757B">
        <w:rPr>
          <w:lang w:val="en-US"/>
        </w:rPr>
        <w:t>er (UIC)</w:t>
      </w:r>
    </w:p>
  </w:footnote>
  <w:footnote w:id="3">
    <w:p w:rsidR="00294E01" w:rsidRPr="009F4BF2" w:rsidRDefault="00294E01" w:rsidP="00294E01">
      <w:pPr>
        <w:pStyle w:val="FootnoteText"/>
        <w:tabs>
          <w:tab w:val="left" w:pos="1418"/>
        </w:tabs>
        <w:spacing w:after="0"/>
        <w:ind w:firstLine="0"/>
        <w:rPr>
          <w:lang w:val="en-US"/>
        </w:rPr>
      </w:pPr>
      <w:r w:rsidRPr="00D1626A">
        <w:rPr>
          <w:rStyle w:val="FootnoteReference"/>
          <w:sz w:val="20"/>
        </w:rPr>
        <w:footnoteRef/>
      </w:r>
      <w:r>
        <w:t xml:space="preserve"> </w:t>
      </w:r>
      <w:r>
        <w:tab/>
        <w:t>Container Owners Association</w:t>
      </w:r>
      <w:r>
        <w:rPr>
          <w:lang w:val="en-US"/>
        </w:rPr>
        <w:t xml:space="preserve"> (COA)</w:t>
      </w:r>
    </w:p>
  </w:footnote>
  <w:footnote w:id="4">
    <w:p w:rsidR="00046C44" w:rsidRPr="009F4BF2" w:rsidRDefault="00046C44" w:rsidP="00D8757B">
      <w:pPr>
        <w:pStyle w:val="FootnoteText"/>
        <w:tabs>
          <w:tab w:val="left" w:pos="1418"/>
        </w:tabs>
        <w:spacing w:after="0"/>
        <w:ind w:firstLine="0"/>
        <w:rPr>
          <w:lang w:val="en-US"/>
        </w:rPr>
      </w:pPr>
      <w:r w:rsidRPr="00D1626A">
        <w:rPr>
          <w:rStyle w:val="FootnoteReference"/>
          <w:sz w:val="20"/>
        </w:rPr>
        <w:footnoteRef/>
      </w:r>
      <w:r>
        <w:t xml:space="preserve"> </w:t>
      </w:r>
      <w:r>
        <w:tab/>
      </w:r>
      <w:r w:rsidR="00D8757B">
        <w:t>Institute of International Container Lessors</w:t>
      </w:r>
      <w:r w:rsidR="00D8757B">
        <w:rPr>
          <w:lang w:val="en-US"/>
        </w:rPr>
        <w:t xml:space="preserve"> (IICL</w:t>
      </w:r>
      <w:r>
        <w:rPr>
          <w:lang w:val="en-US"/>
        </w:rPr>
        <w:t>)</w:t>
      </w:r>
    </w:p>
  </w:footnote>
  <w:footnote w:id="5">
    <w:p w:rsidR="00046C44" w:rsidRPr="009F4BF2" w:rsidRDefault="00046C44" w:rsidP="00D8757B">
      <w:pPr>
        <w:pStyle w:val="FootnoteText"/>
        <w:tabs>
          <w:tab w:val="left" w:pos="1418"/>
        </w:tabs>
        <w:spacing w:after="0"/>
        <w:ind w:firstLine="0"/>
        <w:rPr>
          <w:lang w:val="en-US"/>
        </w:rPr>
      </w:pPr>
      <w:r w:rsidRPr="00D1626A">
        <w:rPr>
          <w:rStyle w:val="FootnoteReference"/>
          <w:sz w:val="20"/>
        </w:rPr>
        <w:footnoteRef/>
      </w:r>
      <w:r>
        <w:t xml:space="preserve"> </w:t>
      </w:r>
      <w:r>
        <w:tab/>
      </w:r>
      <w:r w:rsidR="00D8757B" w:rsidRPr="00D8757B">
        <w:t>International Chamber of Shipping</w:t>
      </w:r>
      <w:r w:rsidR="00D8757B" w:rsidRPr="00D8757B">
        <w:rPr>
          <w:lang w:val="en-US"/>
        </w:rPr>
        <w:t xml:space="preserve"> </w:t>
      </w:r>
      <w:r w:rsidR="00D8757B">
        <w:rPr>
          <w:lang w:val="en-US"/>
        </w:rPr>
        <w:t>(ICS</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F84" w:rsidRPr="0009455D" w:rsidRDefault="00652F84">
    <w:pPr>
      <w:pStyle w:val="Header"/>
      <w:rPr>
        <w:lang w:val="fr-CH"/>
      </w:rPr>
    </w:pPr>
    <w:r>
      <w:rPr>
        <w:lang w:val="fr-CH"/>
      </w:rPr>
      <w:t>INF.</w:t>
    </w:r>
    <w:r w:rsidR="00F137E1">
      <w:rPr>
        <w:lang w:val="fr-CH"/>
      </w:rPr>
      <w:t>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F84" w:rsidRPr="00073BC9" w:rsidRDefault="00652F84" w:rsidP="0009455D">
    <w:pPr>
      <w:pStyle w:val="Header"/>
      <w:jc w:val="right"/>
    </w:pPr>
    <w:r>
      <w:t>INF.4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F84" w:rsidRPr="006B2961" w:rsidRDefault="00F137E1" w:rsidP="00652F84">
    <w:pPr>
      <w:pStyle w:val="Header"/>
      <w:jc w:val="right"/>
      <w:rPr>
        <w:sz w:val="28"/>
        <w:szCs w:val="28"/>
        <w:lang w:val="fr-CH"/>
      </w:rPr>
    </w:pPr>
    <w:r>
      <w:rPr>
        <w:sz w:val="28"/>
        <w:szCs w:val="28"/>
        <w:lang w:val="fr-CH"/>
      </w:rPr>
      <w:t>INF.15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8813BC"/>
    <w:multiLevelType w:val="hybridMultilevel"/>
    <w:tmpl w:val="F38032E8"/>
    <w:lvl w:ilvl="0" w:tplc="1DA80068">
      <w:start w:val="1"/>
      <w:numFmt w:val="decimal"/>
      <w:lvlText w:val="%1."/>
      <w:lvlJc w:val="left"/>
      <w:pPr>
        <w:ind w:left="1689" w:hanging="555"/>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FD40E1"/>
    <w:multiLevelType w:val="hybridMultilevel"/>
    <w:tmpl w:val="76F2AF40"/>
    <w:lvl w:ilvl="0" w:tplc="78582788">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0"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1"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2" w15:restartNumberingAfterBreak="0">
    <w:nsid w:val="42A3260A"/>
    <w:multiLevelType w:val="hybridMultilevel"/>
    <w:tmpl w:val="4688412E"/>
    <w:lvl w:ilvl="0" w:tplc="1DA80068">
      <w:start w:val="1"/>
      <w:numFmt w:val="decimal"/>
      <w:lvlText w:val="%1."/>
      <w:lvlJc w:val="left"/>
      <w:pPr>
        <w:ind w:left="1689" w:hanging="555"/>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3" w15:restartNumberingAfterBreak="0">
    <w:nsid w:val="42FE5725"/>
    <w:multiLevelType w:val="hybridMultilevel"/>
    <w:tmpl w:val="DB34E14A"/>
    <w:lvl w:ilvl="0" w:tplc="77A2FC90">
      <w:start w:val="1"/>
      <w:numFmt w:val="lowerLetter"/>
      <w:lvlText w:val="%1)"/>
      <w:lvlJc w:val="left"/>
      <w:pPr>
        <w:ind w:left="1494" w:hanging="360"/>
      </w:pPr>
      <w:rPr>
        <w:rFonts w:hint="default"/>
      </w:rPr>
    </w:lvl>
    <w:lvl w:ilvl="1" w:tplc="0C0A0019">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4"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5"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E743F9"/>
    <w:multiLevelType w:val="hybridMultilevel"/>
    <w:tmpl w:val="DB0E68A0"/>
    <w:lvl w:ilvl="0" w:tplc="0C0A0001">
      <w:start w:val="1"/>
      <w:numFmt w:val="bullet"/>
      <w:lvlText w:val=""/>
      <w:lvlJc w:val="left"/>
      <w:pPr>
        <w:ind w:left="2204" w:hanging="360"/>
      </w:pPr>
      <w:rPr>
        <w:rFonts w:ascii="Symbol" w:hAnsi="Symbol" w:hint="default"/>
      </w:rPr>
    </w:lvl>
    <w:lvl w:ilvl="1" w:tplc="0C0A0003" w:tentative="1">
      <w:start w:val="1"/>
      <w:numFmt w:val="bullet"/>
      <w:lvlText w:val="o"/>
      <w:lvlJc w:val="left"/>
      <w:pPr>
        <w:ind w:left="2924" w:hanging="360"/>
      </w:pPr>
      <w:rPr>
        <w:rFonts w:ascii="Courier New" w:hAnsi="Courier New" w:cs="Courier New" w:hint="default"/>
      </w:rPr>
    </w:lvl>
    <w:lvl w:ilvl="2" w:tplc="0C0A0005" w:tentative="1">
      <w:start w:val="1"/>
      <w:numFmt w:val="bullet"/>
      <w:lvlText w:val=""/>
      <w:lvlJc w:val="left"/>
      <w:pPr>
        <w:ind w:left="3644" w:hanging="360"/>
      </w:pPr>
      <w:rPr>
        <w:rFonts w:ascii="Wingdings" w:hAnsi="Wingdings" w:hint="default"/>
      </w:rPr>
    </w:lvl>
    <w:lvl w:ilvl="3" w:tplc="0C0A0001" w:tentative="1">
      <w:start w:val="1"/>
      <w:numFmt w:val="bullet"/>
      <w:lvlText w:val=""/>
      <w:lvlJc w:val="left"/>
      <w:pPr>
        <w:ind w:left="4364" w:hanging="360"/>
      </w:pPr>
      <w:rPr>
        <w:rFonts w:ascii="Symbol" w:hAnsi="Symbol" w:hint="default"/>
      </w:rPr>
    </w:lvl>
    <w:lvl w:ilvl="4" w:tplc="0C0A0003" w:tentative="1">
      <w:start w:val="1"/>
      <w:numFmt w:val="bullet"/>
      <w:lvlText w:val="o"/>
      <w:lvlJc w:val="left"/>
      <w:pPr>
        <w:ind w:left="5084" w:hanging="360"/>
      </w:pPr>
      <w:rPr>
        <w:rFonts w:ascii="Courier New" w:hAnsi="Courier New" w:cs="Courier New" w:hint="default"/>
      </w:rPr>
    </w:lvl>
    <w:lvl w:ilvl="5" w:tplc="0C0A0005" w:tentative="1">
      <w:start w:val="1"/>
      <w:numFmt w:val="bullet"/>
      <w:lvlText w:val=""/>
      <w:lvlJc w:val="left"/>
      <w:pPr>
        <w:ind w:left="5804" w:hanging="360"/>
      </w:pPr>
      <w:rPr>
        <w:rFonts w:ascii="Wingdings" w:hAnsi="Wingdings" w:hint="default"/>
      </w:rPr>
    </w:lvl>
    <w:lvl w:ilvl="6" w:tplc="0C0A0001" w:tentative="1">
      <w:start w:val="1"/>
      <w:numFmt w:val="bullet"/>
      <w:lvlText w:val=""/>
      <w:lvlJc w:val="left"/>
      <w:pPr>
        <w:ind w:left="6524" w:hanging="360"/>
      </w:pPr>
      <w:rPr>
        <w:rFonts w:ascii="Symbol" w:hAnsi="Symbol" w:hint="default"/>
      </w:rPr>
    </w:lvl>
    <w:lvl w:ilvl="7" w:tplc="0C0A0003" w:tentative="1">
      <w:start w:val="1"/>
      <w:numFmt w:val="bullet"/>
      <w:lvlText w:val="o"/>
      <w:lvlJc w:val="left"/>
      <w:pPr>
        <w:ind w:left="7244" w:hanging="360"/>
      </w:pPr>
      <w:rPr>
        <w:rFonts w:ascii="Courier New" w:hAnsi="Courier New" w:cs="Courier New" w:hint="default"/>
      </w:rPr>
    </w:lvl>
    <w:lvl w:ilvl="8" w:tplc="0C0A0005" w:tentative="1">
      <w:start w:val="1"/>
      <w:numFmt w:val="bullet"/>
      <w:lvlText w:val=""/>
      <w:lvlJc w:val="left"/>
      <w:pPr>
        <w:ind w:left="7964" w:hanging="360"/>
      </w:pPr>
      <w:rPr>
        <w:rFonts w:ascii="Wingdings" w:hAnsi="Wingdings" w:hint="default"/>
      </w:rPr>
    </w:lvl>
  </w:abstractNum>
  <w:abstractNum w:abstractNumId="28"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2"/>
  </w:num>
  <w:num w:numId="15">
    <w:abstractNumId w:val="18"/>
  </w:num>
  <w:num w:numId="16">
    <w:abstractNumId w:val="14"/>
  </w:num>
  <w:num w:numId="17">
    <w:abstractNumId w:val="26"/>
  </w:num>
  <w:num w:numId="18">
    <w:abstractNumId w:val="29"/>
  </w:num>
  <w:num w:numId="19">
    <w:abstractNumId w:val="25"/>
  </w:num>
  <w:num w:numId="20">
    <w:abstractNumId w:val="13"/>
  </w:num>
  <w:num w:numId="21">
    <w:abstractNumId w:val="20"/>
  </w:num>
  <w:num w:numId="22">
    <w:abstractNumId w:val="30"/>
  </w:num>
  <w:num w:numId="23">
    <w:abstractNumId w:val="19"/>
  </w:num>
  <w:num w:numId="24">
    <w:abstractNumId w:val="24"/>
  </w:num>
  <w:num w:numId="25">
    <w:abstractNumId w:val="28"/>
  </w:num>
  <w:num w:numId="26">
    <w:abstractNumId w:val="21"/>
  </w:num>
  <w:num w:numId="27">
    <w:abstractNumId w:val="27"/>
  </w:num>
  <w:num w:numId="28">
    <w:abstractNumId w:val="23"/>
  </w:num>
  <w:num w:numId="29">
    <w:abstractNumId w:val="22"/>
  </w:num>
  <w:num w:numId="30">
    <w:abstractNumId w:val="11"/>
  </w:num>
  <w:num w:numId="3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fr-CH" w:vendorID="64" w:dllVersion="131078"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3C6"/>
    <w:rsid w:val="00002A7D"/>
    <w:rsid w:val="000038A8"/>
    <w:rsid w:val="000041B2"/>
    <w:rsid w:val="00004CB4"/>
    <w:rsid w:val="00006790"/>
    <w:rsid w:val="00006E2C"/>
    <w:rsid w:val="00015D03"/>
    <w:rsid w:val="0002055A"/>
    <w:rsid w:val="00021E68"/>
    <w:rsid w:val="00027624"/>
    <w:rsid w:val="00030AAC"/>
    <w:rsid w:val="00031F0D"/>
    <w:rsid w:val="00044783"/>
    <w:rsid w:val="00046C44"/>
    <w:rsid w:val="00050F6B"/>
    <w:rsid w:val="00056E1C"/>
    <w:rsid w:val="00057D31"/>
    <w:rsid w:val="00060650"/>
    <w:rsid w:val="00060675"/>
    <w:rsid w:val="000616FF"/>
    <w:rsid w:val="00062540"/>
    <w:rsid w:val="000678CD"/>
    <w:rsid w:val="00072C8C"/>
    <w:rsid w:val="00073BC9"/>
    <w:rsid w:val="00075498"/>
    <w:rsid w:val="00076E06"/>
    <w:rsid w:val="0007719F"/>
    <w:rsid w:val="00081CE0"/>
    <w:rsid w:val="00081E5B"/>
    <w:rsid w:val="00084D30"/>
    <w:rsid w:val="00085044"/>
    <w:rsid w:val="00090320"/>
    <w:rsid w:val="000906E6"/>
    <w:rsid w:val="00091148"/>
    <w:rsid w:val="000931C0"/>
    <w:rsid w:val="0009455D"/>
    <w:rsid w:val="00095148"/>
    <w:rsid w:val="00095608"/>
    <w:rsid w:val="00097793"/>
    <w:rsid w:val="000A09D9"/>
    <w:rsid w:val="000A2257"/>
    <w:rsid w:val="000A2E09"/>
    <w:rsid w:val="000A4637"/>
    <w:rsid w:val="000B175B"/>
    <w:rsid w:val="000B3627"/>
    <w:rsid w:val="000B3A0F"/>
    <w:rsid w:val="000B41FA"/>
    <w:rsid w:val="000C2A7D"/>
    <w:rsid w:val="000C6B24"/>
    <w:rsid w:val="000C6FDC"/>
    <w:rsid w:val="000C7DCF"/>
    <w:rsid w:val="000D15B5"/>
    <w:rsid w:val="000E0415"/>
    <w:rsid w:val="000E0A45"/>
    <w:rsid w:val="000E233A"/>
    <w:rsid w:val="000E7EB0"/>
    <w:rsid w:val="000F7715"/>
    <w:rsid w:val="001028BF"/>
    <w:rsid w:val="00102C79"/>
    <w:rsid w:val="00103E99"/>
    <w:rsid w:val="001167E2"/>
    <w:rsid w:val="00117315"/>
    <w:rsid w:val="00122AB9"/>
    <w:rsid w:val="00141702"/>
    <w:rsid w:val="0014401A"/>
    <w:rsid w:val="00147A0B"/>
    <w:rsid w:val="00147FE3"/>
    <w:rsid w:val="00156B99"/>
    <w:rsid w:val="0015713B"/>
    <w:rsid w:val="001634BB"/>
    <w:rsid w:val="001655A6"/>
    <w:rsid w:val="00166124"/>
    <w:rsid w:val="00167F20"/>
    <w:rsid w:val="0017009E"/>
    <w:rsid w:val="00172600"/>
    <w:rsid w:val="001765D7"/>
    <w:rsid w:val="00176739"/>
    <w:rsid w:val="0017700A"/>
    <w:rsid w:val="00184DDA"/>
    <w:rsid w:val="00186129"/>
    <w:rsid w:val="001862B9"/>
    <w:rsid w:val="001900CD"/>
    <w:rsid w:val="00190B54"/>
    <w:rsid w:val="00193D85"/>
    <w:rsid w:val="0019444B"/>
    <w:rsid w:val="0019588A"/>
    <w:rsid w:val="001965AB"/>
    <w:rsid w:val="001A0452"/>
    <w:rsid w:val="001A3481"/>
    <w:rsid w:val="001A5F15"/>
    <w:rsid w:val="001A7832"/>
    <w:rsid w:val="001A7D73"/>
    <w:rsid w:val="001B4B04"/>
    <w:rsid w:val="001B5875"/>
    <w:rsid w:val="001B7093"/>
    <w:rsid w:val="001C3A25"/>
    <w:rsid w:val="001C4B28"/>
    <w:rsid w:val="001C4B9C"/>
    <w:rsid w:val="001C6663"/>
    <w:rsid w:val="001C7895"/>
    <w:rsid w:val="001D15C4"/>
    <w:rsid w:val="001D26DF"/>
    <w:rsid w:val="001D312D"/>
    <w:rsid w:val="001D5626"/>
    <w:rsid w:val="001E0DF6"/>
    <w:rsid w:val="001F12DF"/>
    <w:rsid w:val="001F1599"/>
    <w:rsid w:val="001F1961"/>
    <w:rsid w:val="001F19C4"/>
    <w:rsid w:val="001F50B4"/>
    <w:rsid w:val="001F6B91"/>
    <w:rsid w:val="00202DD6"/>
    <w:rsid w:val="002043F0"/>
    <w:rsid w:val="002060B9"/>
    <w:rsid w:val="00210B66"/>
    <w:rsid w:val="00211E0B"/>
    <w:rsid w:val="00215A1B"/>
    <w:rsid w:val="00216BB2"/>
    <w:rsid w:val="00217EA8"/>
    <w:rsid w:val="00230EF9"/>
    <w:rsid w:val="00232575"/>
    <w:rsid w:val="00234C45"/>
    <w:rsid w:val="0023589F"/>
    <w:rsid w:val="00235FA8"/>
    <w:rsid w:val="00242AFE"/>
    <w:rsid w:val="00243F8C"/>
    <w:rsid w:val="00247258"/>
    <w:rsid w:val="00250356"/>
    <w:rsid w:val="002527C9"/>
    <w:rsid w:val="002565C8"/>
    <w:rsid w:val="002574B9"/>
    <w:rsid w:val="00257CAC"/>
    <w:rsid w:val="002618E6"/>
    <w:rsid w:val="00263911"/>
    <w:rsid w:val="002645CC"/>
    <w:rsid w:val="002734BD"/>
    <w:rsid w:val="0028152B"/>
    <w:rsid w:val="002815FC"/>
    <w:rsid w:val="002821FB"/>
    <w:rsid w:val="002835DD"/>
    <w:rsid w:val="00284862"/>
    <w:rsid w:val="002909F9"/>
    <w:rsid w:val="00294E01"/>
    <w:rsid w:val="00295F1A"/>
    <w:rsid w:val="002974E9"/>
    <w:rsid w:val="002A191F"/>
    <w:rsid w:val="002A214F"/>
    <w:rsid w:val="002A4A97"/>
    <w:rsid w:val="002A6D75"/>
    <w:rsid w:val="002A7F94"/>
    <w:rsid w:val="002B109A"/>
    <w:rsid w:val="002B30F0"/>
    <w:rsid w:val="002C1973"/>
    <w:rsid w:val="002C4661"/>
    <w:rsid w:val="002C57D6"/>
    <w:rsid w:val="002C6D45"/>
    <w:rsid w:val="002D1828"/>
    <w:rsid w:val="002D4CF0"/>
    <w:rsid w:val="002D5A7C"/>
    <w:rsid w:val="002D6E53"/>
    <w:rsid w:val="002D743E"/>
    <w:rsid w:val="002E2296"/>
    <w:rsid w:val="002F046D"/>
    <w:rsid w:val="002F7C84"/>
    <w:rsid w:val="003007E7"/>
    <w:rsid w:val="00301764"/>
    <w:rsid w:val="00302B3E"/>
    <w:rsid w:val="00315552"/>
    <w:rsid w:val="003229D8"/>
    <w:rsid w:val="00323AD2"/>
    <w:rsid w:val="00336080"/>
    <w:rsid w:val="00336C97"/>
    <w:rsid w:val="00337D65"/>
    <w:rsid w:val="00337F88"/>
    <w:rsid w:val="00342432"/>
    <w:rsid w:val="00350B59"/>
    <w:rsid w:val="00352D4B"/>
    <w:rsid w:val="00354724"/>
    <w:rsid w:val="00354AAE"/>
    <w:rsid w:val="00354CED"/>
    <w:rsid w:val="0035638C"/>
    <w:rsid w:val="003564DC"/>
    <w:rsid w:val="00367A04"/>
    <w:rsid w:val="00367F33"/>
    <w:rsid w:val="00370928"/>
    <w:rsid w:val="00370CE5"/>
    <w:rsid w:val="00373041"/>
    <w:rsid w:val="0038056A"/>
    <w:rsid w:val="003806F0"/>
    <w:rsid w:val="0038499B"/>
    <w:rsid w:val="003850BD"/>
    <w:rsid w:val="00386550"/>
    <w:rsid w:val="00387E9A"/>
    <w:rsid w:val="003A1C51"/>
    <w:rsid w:val="003A3FAF"/>
    <w:rsid w:val="003A46BB"/>
    <w:rsid w:val="003A4EC7"/>
    <w:rsid w:val="003A7295"/>
    <w:rsid w:val="003B0EBE"/>
    <w:rsid w:val="003B115E"/>
    <w:rsid w:val="003B1F60"/>
    <w:rsid w:val="003B3A7E"/>
    <w:rsid w:val="003B4643"/>
    <w:rsid w:val="003C05A5"/>
    <w:rsid w:val="003C2CC4"/>
    <w:rsid w:val="003C3176"/>
    <w:rsid w:val="003C7026"/>
    <w:rsid w:val="003D42CE"/>
    <w:rsid w:val="003D4B23"/>
    <w:rsid w:val="003D58A1"/>
    <w:rsid w:val="003D6C76"/>
    <w:rsid w:val="003E1530"/>
    <w:rsid w:val="003E278A"/>
    <w:rsid w:val="003E3D94"/>
    <w:rsid w:val="003E564E"/>
    <w:rsid w:val="004019C8"/>
    <w:rsid w:val="00402B4C"/>
    <w:rsid w:val="004032CF"/>
    <w:rsid w:val="00412C83"/>
    <w:rsid w:val="00413520"/>
    <w:rsid w:val="00414F7A"/>
    <w:rsid w:val="00417C76"/>
    <w:rsid w:val="00431D4D"/>
    <w:rsid w:val="004325CB"/>
    <w:rsid w:val="00433A82"/>
    <w:rsid w:val="00437737"/>
    <w:rsid w:val="00440A07"/>
    <w:rsid w:val="00443A39"/>
    <w:rsid w:val="00444E4E"/>
    <w:rsid w:val="00444E7B"/>
    <w:rsid w:val="004472CB"/>
    <w:rsid w:val="00453060"/>
    <w:rsid w:val="00462880"/>
    <w:rsid w:val="0046547D"/>
    <w:rsid w:val="0047203B"/>
    <w:rsid w:val="0047298C"/>
    <w:rsid w:val="00472FE9"/>
    <w:rsid w:val="0047429E"/>
    <w:rsid w:val="004764F0"/>
    <w:rsid w:val="00476F24"/>
    <w:rsid w:val="00480B89"/>
    <w:rsid w:val="0048402E"/>
    <w:rsid w:val="004909E7"/>
    <w:rsid w:val="00492001"/>
    <w:rsid w:val="004A1BDB"/>
    <w:rsid w:val="004A3C94"/>
    <w:rsid w:val="004A7BDE"/>
    <w:rsid w:val="004B45B0"/>
    <w:rsid w:val="004B74ED"/>
    <w:rsid w:val="004B7EA2"/>
    <w:rsid w:val="004C17F5"/>
    <w:rsid w:val="004C55B0"/>
    <w:rsid w:val="004C695C"/>
    <w:rsid w:val="004D51F6"/>
    <w:rsid w:val="004E0327"/>
    <w:rsid w:val="004E106B"/>
    <w:rsid w:val="004E2ECC"/>
    <w:rsid w:val="004E4179"/>
    <w:rsid w:val="004F3F8F"/>
    <w:rsid w:val="004F65A3"/>
    <w:rsid w:val="004F6BA0"/>
    <w:rsid w:val="004F75D7"/>
    <w:rsid w:val="00503BEA"/>
    <w:rsid w:val="0050410A"/>
    <w:rsid w:val="00522807"/>
    <w:rsid w:val="00533616"/>
    <w:rsid w:val="00535170"/>
    <w:rsid w:val="00535ABA"/>
    <w:rsid w:val="005371A0"/>
    <w:rsid w:val="0053768B"/>
    <w:rsid w:val="005420F2"/>
    <w:rsid w:val="0054285C"/>
    <w:rsid w:val="00547A88"/>
    <w:rsid w:val="0055298A"/>
    <w:rsid w:val="0055514F"/>
    <w:rsid w:val="005566B9"/>
    <w:rsid w:val="00560572"/>
    <w:rsid w:val="005634E3"/>
    <w:rsid w:val="00564BF4"/>
    <w:rsid w:val="00573297"/>
    <w:rsid w:val="005829FF"/>
    <w:rsid w:val="00584173"/>
    <w:rsid w:val="005850DE"/>
    <w:rsid w:val="00595520"/>
    <w:rsid w:val="005A0287"/>
    <w:rsid w:val="005A28C9"/>
    <w:rsid w:val="005A2FA9"/>
    <w:rsid w:val="005A3674"/>
    <w:rsid w:val="005A44B9"/>
    <w:rsid w:val="005A548A"/>
    <w:rsid w:val="005B1BA0"/>
    <w:rsid w:val="005B3DB3"/>
    <w:rsid w:val="005B56E9"/>
    <w:rsid w:val="005B6365"/>
    <w:rsid w:val="005D15CA"/>
    <w:rsid w:val="005D390C"/>
    <w:rsid w:val="005F3066"/>
    <w:rsid w:val="005F3E61"/>
    <w:rsid w:val="005F51F6"/>
    <w:rsid w:val="005F69C7"/>
    <w:rsid w:val="00604DDD"/>
    <w:rsid w:val="0061121F"/>
    <w:rsid w:val="006115CC"/>
    <w:rsid w:val="00611FC4"/>
    <w:rsid w:val="00613302"/>
    <w:rsid w:val="00614EC5"/>
    <w:rsid w:val="006176FB"/>
    <w:rsid w:val="0062380F"/>
    <w:rsid w:val="0062564C"/>
    <w:rsid w:val="006258D0"/>
    <w:rsid w:val="00630FCB"/>
    <w:rsid w:val="00632F10"/>
    <w:rsid w:val="0063330B"/>
    <w:rsid w:val="0064017F"/>
    <w:rsid w:val="00640B26"/>
    <w:rsid w:val="00642502"/>
    <w:rsid w:val="00643BD3"/>
    <w:rsid w:val="00643F05"/>
    <w:rsid w:val="00646BA3"/>
    <w:rsid w:val="006516F3"/>
    <w:rsid w:val="00651A29"/>
    <w:rsid w:val="00652F84"/>
    <w:rsid w:val="006643C6"/>
    <w:rsid w:val="00667D6B"/>
    <w:rsid w:val="006770B2"/>
    <w:rsid w:val="006777E8"/>
    <w:rsid w:val="00685BC6"/>
    <w:rsid w:val="006940E1"/>
    <w:rsid w:val="006A1D39"/>
    <w:rsid w:val="006A3C72"/>
    <w:rsid w:val="006A5F1A"/>
    <w:rsid w:val="006A7392"/>
    <w:rsid w:val="006B03A1"/>
    <w:rsid w:val="006B2961"/>
    <w:rsid w:val="006B2A70"/>
    <w:rsid w:val="006B67D9"/>
    <w:rsid w:val="006B6B73"/>
    <w:rsid w:val="006C5535"/>
    <w:rsid w:val="006D0589"/>
    <w:rsid w:val="006E1D7C"/>
    <w:rsid w:val="006E564B"/>
    <w:rsid w:val="006E7154"/>
    <w:rsid w:val="006F0884"/>
    <w:rsid w:val="007003CD"/>
    <w:rsid w:val="00703A6D"/>
    <w:rsid w:val="00704BBA"/>
    <w:rsid w:val="0070701E"/>
    <w:rsid w:val="0070702F"/>
    <w:rsid w:val="007079EA"/>
    <w:rsid w:val="00714B5C"/>
    <w:rsid w:val="00715BE5"/>
    <w:rsid w:val="00722510"/>
    <w:rsid w:val="0072632A"/>
    <w:rsid w:val="0072668D"/>
    <w:rsid w:val="007271BE"/>
    <w:rsid w:val="0072769E"/>
    <w:rsid w:val="0073482D"/>
    <w:rsid w:val="007358E8"/>
    <w:rsid w:val="00735DC7"/>
    <w:rsid w:val="00736ECE"/>
    <w:rsid w:val="00740052"/>
    <w:rsid w:val="00742A06"/>
    <w:rsid w:val="0074533B"/>
    <w:rsid w:val="00752E41"/>
    <w:rsid w:val="007556B7"/>
    <w:rsid w:val="00762EA6"/>
    <w:rsid w:val="00763642"/>
    <w:rsid w:val="0076432E"/>
    <w:rsid w:val="007643BC"/>
    <w:rsid w:val="0076523B"/>
    <w:rsid w:val="00770846"/>
    <w:rsid w:val="0077300E"/>
    <w:rsid w:val="007810E1"/>
    <w:rsid w:val="007959FE"/>
    <w:rsid w:val="00795E37"/>
    <w:rsid w:val="00795F75"/>
    <w:rsid w:val="007A0CF1"/>
    <w:rsid w:val="007A7652"/>
    <w:rsid w:val="007A7BE3"/>
    <w:rsid w:val="007A7CC0"/>
    <w:rsid w:val="007B6A61"/>
    <w:rsid w:val="007B6BA5"/>
    <w:rsid w:val="007C3390"/>
    <w:rsid w:val="007C42D8"/>
    <w:rsid w:val="007C4F4B"/>
    <w:rsid w:val="007C68C8"/>
    <w:rsid w:val="007D2820"/>
    <w:rsid w:val="007D5759"/>
    <w:rsid w:val="007D7362"/>
    <w:rsid w:val="007D7EBB"/>
    <w:rsid w:val="007E2259"/>
    <w:rsid w:val="007E4914"/>
    <w:rsid w:val="007F2E11"/>
    <w:rsid w:val="007F546E"/>
    <w:rsid w:val="007F5CE2"/>
    <w:rsid w:val="007F6611"/>
    <w:rsid w:val="00803B7F"/>
    <w:rsid w:val="00805651"/>
    <w:rsid w:val="00810BAC"/>
    <w:rsid w:val="00811920"/>
    <w:rsid w:val="008175E9"/>
    <w:rsid w:val="008203B2"/>
    <w:rsid w:val="008242D7"/>
    <w:rsid w:val="00825578"/>
    <w:rsid w:val="0082577B"/>
    <w:rsid w:val="00830D15"/>
    <w:rsid w:val="00831FD0"/>
    <w:rsid w:val="008354DC"/>
    <w:rsid w:val="00840164"/>
    <w:rsid w:val="00840737"/>
    <w:rsid w:val="00843B5C"/>
    <w:rsid w:val="00844E9D"/>
    <w:rsid w:val="00845A2C"/>
    <w:rsid w:val="00850A67"/>
    <w:rsid w:val="00852B7B"/>
    <w:rsid w:val="008541FA"/>
    <w:rsid w:val="008558E7"/>
    <w:rsid w:val="00856C5D"/>
    <w:rsid w:val="0086054B"/>
    <w:rsid w:val="00860F0A"/>
    <w:rsid w:val="00864BB8"/>
    <w:rsid w:val="00866893"/>
    <w:rsid w:val="00866F02"/>
    <w:rsid w:val="00867D18"/>
    <w:rsid w:val="008707F8"/>
    <w:rsid w:val="00871F9A"/>
    <w:rsid w:val="00871FD5"/>
    <w:rsid w:val="00876B8E"/>
    <w:rsid w:val="0088035C"/>
    <w:rsid w:val="0088172E"/>
    <w:rsid w:val="00881EFA"/>
    <w:rsid w:val="00883E28"/>
    <w:rsid w:val="008850DC"/>
    <w:rsid w:val="00890F51"/>
    <w:rsid w:val="0089256A"/>
    <w:rsid w:val="008979B1"/>
    <w:rsid w:val="008A2BE7"/>
    <w:rsid w:val="008A6792"/>
    <w:rsid w:val="008A6B25"/>
    <w:rsid w:val="008A6C4F"/>
    <w:rsid w:val="008A7787"/>
    <w:rsid w:val="008B0699"/>
    <w:rsid w:val="008B09E0"/>
    <w:rsid w:val="008B389E"/>
    <w:rsid w:val="008B59E3"/>
    <w:rsid w:val="008C4B3E"/>
    <w:rsid w:val="008C5B2D"/>
    <w:rsid w:val="008C5BCB"/>
    <w:rsid w:val="008D045E"/>
    <w:rsid w:val="008D3F25"/>
    <w:rsid w:val="008D4D82"/>
    <w:rsid w:val="008E0E09"/>
    <w:rsid w:val="008E0E46"/>
    <w:rsid w:val="008E1665"/>
    <w:rsid w:val="008E45C6"/>
    <w:rsid w:val="008E5A5D"/>
    <w:rsid w:val="008E7116"/>
    <w:rsid w:val="008F130C"/>
    <w:rsid w:val="008F143B"/>
    <w:rsid w:val="008F33C4"/>
    <w:rsid w:val="008F3882"/>
    <w:rsid w:val="008F3C40"/>
    <w:rsid w:val="008F4B7C"/>
    <w:rsid w:val="00901464"/>
    <w:rsid w:val="009022B5"/>
    <w:rsid w:val="00904547"/>
    <w:rsid w:val="00904D63"/>
    <w:rsid w:val="00914DC3"/>
    <w:rsid w:val="00915C95"/>
    <w:rsid w:val="00916B9C"/>
    <w:rsid w:val="00926B1B"/>
    <w:rsid w:val="00926E47"/>
    <w:rsid w:val="009324AE"/>
    <w:rsid w:val="00945AAF"/>
    <w:rsid w:val="00945B24"/>
    <w:rsid w:val="00945E91"/>
    <w:rsid w:val="00946D3D"/>
    <w:rsid w:val="00947162"/>
    <w:rsid w:val="00950735"/>
    <w:rsid w:val="00952D62"/>
    <w:rsid w:val="00953163"/>
    <w:rsid w:val="009601FF"/>
    <w:rsid w:val="0096068B"/>
    <w:rsid w:val="00960D5D"/>
    <w:rsid w:val="009610D0"/>
    <w:rsid w:val="0096314B"/>
    <w:rsid w:val="0096375C"/>
    <w:rsid w:val="009662E6"/>
    <w:rsid w:val="0097095E"/>
    <w:rsid w:val="00974F7C"/>
    <w:rsid w:val="009775AF"/>
    <w:rsid w:val="00980F57"/>
    <w:rsid w:val="00982DDC"/>
    <w:rsid w:val="0098592B"/>
    <w:rsid w:val="00985FC4"/>
    <w:rsid w:val="00990350"/>
    <w:rsid w:val="00990524"/>
    <w:rsid w:val="00990766"/>
    <w:rsid w:val="00991261"/>
    <w:rsid w:val="0099198F"/>
    <w:rsid w:val="00992C68"/>
    <w:rsid w:val="0099552C"/>
    <w:rsid w:val="00995DC4"/>
    <w:rsid w:val="00995FA1"/>
    <w:rsid w:val="009964C4"/>
    <w:rsid w:val="009978D7"/>
    <w:rsid w:val="009A6E5D"/>
    <w:rsid w:val="009A7B81"/>
    <w:rsid w:val="009B4200"/>
    <w:rsid w:val="009B4A92"/>
    <w:rsid w:val="009C59B9"/>
    <w:rsid w:val="009D01C0"/>
    <w:rsid w:val="009D2E01"/>
    <w:rsid w:val="009D6A08"/>
    <w:rsid w:val="009D6C30"/>
    <w:rsid w:val="009E0A16"/>
    <w:rsid w:val="009E65E8"/>
    <w:rsid w:val="009E7970"/>
    <w:rsid w:val="009F2EAC"/>
    <w:rsid w:val="009F57E3"/>
    <w:rsid w:val="00A005C2"/>
    <w:rsid w:val="00A00D3D"/>
    <w:rsid w:val="00A0371A"/>
    <w:rsid w:val="00A07EBB"/>
    <w:rsid w:val="00A10F4F"/>
    <w:rsid w:val="00A11067"/>
    <w:rsid w:val="00A1704A"/>
    <w:rsid w:val="00A20B21"/>
    <w:rsid w:val="00A23E9E"/>
    <w:rsid w:val="00A37D17"/>
    <w:rsid w:val="00A41BB8"/>
    <w:rsid w:val="00A425EB"/>
    <w:rsid w:val="00A42E15"/>
    <w:rsid w:val="00A432D9"/>
    <w:rsid w:val="00A45CB7"/>
    <w:rsid w:val="00A47439"/>
    <w:rsid w:val="00A516D9"/>
    <w:rsid w:val="00A654B9"/>
    <w:rsid w:val="00A72F22"/>
    <w:rsid w:val="00A733BC"/>
    <w:rsid w:val="00A7408E"/>
    <w:rsid w:val="00A748A6"/>
    <w:rsid w:val="00A749C1"/>
    <w:rsid w:val="00A76A69"/>
    <w:rsid w:val="00A77D0C"/>
    <w:rsid w:val="00A820B8"/>
    <w:rsid w:val="00A824E7"/>
    <w:rsid w:val="00A8261C"/>
    <w:rsid w:val="00A84B68"/>
    <w:rsid w:val="00A879A4"/>
    <w:rsid w:val="00A933C6"/>
    <w:rsid w:val="00A96696"/>
    <w:rsid w:val="00A9767A"/>
    <w:rsid w:val="00AA0FF8"/>
    <w:rsid w:val="00AA1880"/>
    <w:rsid w:val="00AA3567"/>
    <w:rsid w:val="00AB2CE7"/>
    <w:rsid w:val="00AC0F2C"/>
    <w:rsid w:val="00AC21F8"/>
    <w:rsid w:val="00AC3846"/>
    <w:rsid w:val="00AC502A"/>
    <w:rsid w:val="00AC7298"/>
    <w:rsid w:val="00AD1902"/>
    <w:rsid w:val="00AD191E"/>
    <w:rsid w:val="00AD64AA"/>
    <w:rsid w:val="00AF1B03"/>
    <w:rsid w:val="00AF3A98"/>
    <w:rsid w:val="00AF58C1"/>
    <w:rsid w:val="00B02C57"/>
    <w:rsid w:val="00B03E68"/>
    <w:rsid w:val="00B0495E"/>
    <w:rsid w:val="00B06643"/>
    <w:rsid w:val="00B15055"/>
    <w:rsid w:val="00B17FC5"/>
    <w:rsid w:val="00B30179"/>
    <w:rsid w:val="00B31A6B"/>
    <w:rsid w:val="00B375FE"/>
    <w:rsid w:val="00B37B15"/>
    <w:rsid w:val="00B402D5"/>
    <w:rsid w:val="00B41523"/>
    <w:rsid w:val="00B4482F"/>
    <w:rsid w:val="00B45C02"/>
    <w:rsid w:val="00B4691D"/>
    <w:rsid w:val="00B57F5C"/>
    <w:rsid w:val="00B609E7"/>
    <w:rsid w:val="00B61908"/>
    <w:rsid w:val="00B66C4B"/>
    <w:rsid w:val="00B67C19"/>
    <w:rsid w:val="00B70F5A"/>
    <w:rsid w:val="00B72A1E"/>
    <w:rsid w:val="00B74DC8"/>
    <w:rsid w:val="00B75CF0"/>
    <w:rsid w:val="00B81E12"/>
    <w:rsid w:val="00B8509D"/>
    <w:rsid w:val="00B978B3"/>
    <w:rsid w:val="00BA339B"/>
    <w:rsid w:val="00BB6148"/>
    <w:rsid w:val="00BC1E7E"/>
    <w:rsid w:val="00BC2E45"/>
    <w:rsid w:val="00BC3E26"/>
    <w:rsid w:val="00BC74E9"/>
    <w:rsid w:val="00BD53F7"/>
    <w:rsid w:val="00BE36A9"/>
    <w:rsid w:val="00BE618E"/>
    <w:rsid w:val="00BE7BEC"/>
    <w:rsid w:val="00BF0A5A"/>
    <w:rsid w:val="00BF0E63"/>
    <w:rsid w:val="00BF103C"/>
    <w:rsid w:val="00BF12A3"/>
    <w:rsid w:val="00BF16D7"/>
    <w:rsid w:val="00BF218C"/>
    <w:rsid w:val="00BF2373"/>
    <w:rsid w:val="00C044E2"/>
    <w:rsid w:val="00C048CB"/>
    <w:rsid w:val="00C066F3"/>
    <w:rsid w:val="00C06865"/>
    <w:rsid w:val="00C07CA9"/>
    <w:rsid w:val="00C10783"/>
    <w:rsid w:val="00C11B07"/>
    <w:rsid w:val="00C15DC2"/>
    <w:rsid w:val="00C178BE"/>
    <w:rsid w:val="00C32868"/>
    <w:rsid w:val="00C36878"/>
    <w:rsid w:val="00C401E7"/>
    <w:rsid w:val="00C43F4C"/>
    <w:rsid w:val="00C44BB0"/>
    <w:rsid w:val="00C454D4"/>
    <w:rsid w:val="00C45BBB"/>
    <w:rsid w:val="00C463DD"/>
    <w:rsid w:val="00C47379"/>
    <w:rsid w:val="00C52F51"/>
    <w:rsid w:val="00C54D91"/>
    <w:rsid w:val="00C564ED"/>
    <w:rsid w:val="00C60D93"/>
    <w:rsid w:val="00C6143E"/>
    <w:rsid w:val="00C70809"/>
    <w:rsid w:val="00C745C3"/>
    <w:rsid w:val="00C805A7"/>
    <w:rsid w:val="00C83923"/>
    <w:rsid w:val="00C853F0"/>
    <w:rsid w:val="00C92C03"/>
    <w:rsid w:val="00C95893"/>
    <w:rsid w:val="00CA2221"/>
    <w:rsid w:val="00CA24A4"/>
    <w:rsid w:val="00CA3137"/>
    <w:rsid w:val="00CA374B"/>
    <w:rsid w:val="00CA44E1"/>
    <w:rsid w:val="00CA53E2"/>
    <w:rsid w:val="00CA739C"/>
    <w:rsid w:val="00CB1D0B"/>
    <w:rsid w:val="00CB263A"/>
    <w:rsid w:val="00CB348D"/>
    <w:rsid w:val="00CB34BE"/>
    <w:rsid w:val="00CB4FCE"/>
    <w:rsid w:val="00CB763D"/>
    <w:rsid w:val="00CC0178"/>
    <w:rsid w:val="00CC1B3A"/>
    <w:rsid w:val="00CD2214"/>
    <w:rsid w:val="00CD2A45"/>
    <w:rsid w:val="00CD3955"/>
    <w:rsid w:val="00CD46F5"/>
    <w:rsid w:val="00CD6598"/>
    <w:rsid w:val="00CD6883"/>
    <w:rsid w:val="00CD6C29"/>
    <w:rsid w:val="00CD74FE"/>
    <w:rsid w:val="00CE2428"/>
    <w:rsid w:val="00CE4A8F"/>
    <w:rsid w:val="00CE52ED"/>
    <w:rsid w:val="00CE7EBE"/>
    <w:rsid w:val="00CF071D"/>
    <w:rsid w:val="00CF116C"/>
    <w:rsid w:val="00CF28F5"/>
    <w:rsid w:val="00D00305"/>
    <w:rsid w:val="00D00745"/>
    <w:rsid w:val="00D03595"/>
    <w:rsid w:val="00D1157C"/>
    <w:rsid w:val="00D11BA6"/>
    <w:rsid w:val="00D15B04"/>
    <w:rsid w:val="00D17298"/>
    <w:rsid w:val="00D177AB"/>
    <w:rsid w:val="00D2031B"/>
    <w:rsid w:val="00D23EAC"/>
    <w:rsid w:val="00D25EC1"/>
    <w:rsid w:val="00D25FE2"/>
    <w:rsid w:val="00D303C8"/>
    <w:rsid w:val="00D315AF"/>
    <w:rsid w:val="00D37DA9"/>
    <w:rsid w:val="00D406A7"/>
    <w:rsid w:val="00D417F8"/>
    <w:rsid w:val="00D43252"/>
    <w:rsid w:val="00D44D86"/>
    <w:rsid w:val="00D4540B"/>
    <w:rsid w:val="00D50B7D"/>
    <w:rsid w:val="00D52012"/>
    <w:rsid w:val="00D64B90"/>
    <w:rsid w:val="00D704E5"/>
    <w:rsid w:val="00D72727"/>
    <w:rsid w:val="00D731DD"/>
    <w:rsid w:val="00D73D7E"/>
    <w:rsid w:val="00D75B13"/>
    <w:rsid w:val="00D821BD"/>
    <w:rsid w:val="00D86425"/>
    <w:rsid w:val="00D86A34"/>
    <w:rsid w:val="00D871AC"/>
    <w:rsid w:val="00D8757B"/>
    <w:rsid w:val="00D90395"/>
    <w:rsid w:val="00D90B35"/>
    <w:rsid w:val="00D96A8C"/>
    <w:rsid w:val="00D978C6"/>
    <w:rsid w:val="00DA0956"/>
    <w:rsid w:val="00DA121A"/>
    <w:rsid w:val="00DA2926"/>
    <w:rsid w:val="00DA357F"/>
    <w:rsid w:val="00DA3E12"/>
    <w:rsid w:val="00DA588A"/>
    <w:rsid w:val="00DB46CF"/>
    <w:rsid w:val="00DB5900"/>
    <w:rsid w:val="00DB66FA"/>
    <w:rsid w:val="00DB7C01"/>
    <w:rsid w:val="00DC18AD"/>
    <w:rsid w:val="00DC21B4"/>
    <w:rsid w:val="00DC36B8"/>
    <w:rsid w:val="00DC4E72"/>
    <w:rsid w:val="00DC584A"/>
    <w:rsid w:val="00DD370D"/>
    <w:rsid w:val="00DD3FE8"/>
    <w:rsid w:val="00DE0CB9"/>
    <w:rsid w:val="00DE1E14"/>
    <w:rsid w:val="00DE2A9D"/>
    <w:rsid w:val="00DE5105"/>
    <w:rsid w:val="00DF1147"/>
    <w:rsid w:val="00DF1A1E"/>
    <w:rsid w:val="00DF37C3"/>
    <w:rsid w:val="00DF3EA4"/>
    <w:rsid w:val="00DF4518"/>
    <w:rsid w:val="00DF5958"/>
    <w:rsid w:val="00DF6A82"/>
    <w:rsid w:val="00DF747C"/>
    <w:rsid w:val="00DF7CAE"/>
    <w:rsid w:val="00E02011"/>
    <w:rsid w:val="00E052F8"/>
    <w:rsid w:val="00E1773B"/>
    <w:rsid w:val="00E17E14"/>
    <w:rsid w:val="00E32033"/>
    <w:rsid w:val="00E324A0"/>
    <w:rsid w:val="00E32FCA"/>
    <w:rsid w:val="00E423C0"/>
    <w:rsid w:val="00E4747D"/>
    <w:rsid w:val="00E5546C"/>
    <w:rsid w:val="00E56A85"/>
    <w:rsid w:val="00E57974"/>
    <w:rsid w:val="00E62965"/>
    <w:rsid w:val="00E632D2"/>
    <w:rsid w:val="00E6414C"/>
    <w:rsid w:val="00E672F0"/>
    <w:rsid w:val="00E7260F"/>
    <w:rsid w:val="00E77FA1"/>
    <w:rsid w:val="00E82C50"/>
    <w:rsid w:val="00E86772"/>
    <w:rsid w:val="00E8702D"/>
    <w:rsid w:val="00E87C7D"/>
    <w:rsid w:val="00E916A9"/>
    <w:rsid w:val="00E916DE"/>
    <w:rsid w:val="00E945C4"/>
    <w:rsid w:val="00E96630"/>
    <w:rsid w:val="00EA5436"/>
    <w:rsid w:val="00EA586A"/>
    <w:rsid w:val="00EA7B12"/>
    <w:rsid w:val="00EB68FA"/>
    <w:rsid w:val="00EB76A0"/>
    <w:rsid w:val="00EC10B9"/>
    <w:rsid w:val="00ED18DC"/>
    <w:rsid w:val="00ED43EF"/>
    <w:rsid w:val="00ED6201"/>
    <w:rsid w:val="00ED7A2A"/>
    <w:rsid w:val="00EE01B4"/>
    <w:rsid w:val="00EE2CBD"/>
    <w:rsid w:val="00EE4832"/>
    <w:rsid w:val="00EE6185"/>
    <w:rsid w:val="00EE65C8"/>
    <w:rsid w:val="00EF1B72"/>
    <w:rsid w:val="00EF1D7F"/>
    <w:rsid w:val="00EF43E4"/>
    <w:rsid w:val="00EF4426"/>
    <w:rsid w:val="00F0002F"/>
    <w:rsid w:val="00F01328"/>
    <w:rsid w:val="00F0137E"/>
    <w:rsid w:val="00F0148F"/>
    <w:rsid w:val="00F02BC7"/>
    <w:rsid w:val="00F07594"/>
    <w:rsid w:val="00F137E1"/>
    <w:rsid w:val="00F16DDB"/>
    <w:rsid w:val="00F17BAB"/>
    <w:rsid w:val="00F21786"/>
    <w:rsid w:val="00F237F4"/>
    <w:rsid w:val="00F347BC"/>
    <w:rsid w:val="00F3742B"/>
    <w:rsid w:val="00F40CCF"/>
    <w:rsid w:val="00F41FDB"/>
    <w:rsid w:val="00F45DEA"/>
    <w:rsid w:val="00F5337D"/>
    <w:rsid w:val="00F5390C"/>
    <w:rsid w:val="00F55493"/>
    <w:rsid w:val="00F56D63"/>
    <w:rsid w:val="00F609A9"/>
    <w:rsid w:val="00F6237D"/>
    <w:rsid w:val="00F62E3B"/>
    <w:rsid w:val="00F632CC"/>
    <w:rsid w:val="00F754D7"/>
    <w:rsid w:val="00F80C99"/>
    <w:rsid w:val="00F867EC"/>
    <w:rsid w:val="00F91B2B"/>
    <w:rsid w:val="00F96FA8"/>
    <w:rsid w:val="00F97405"/>
    <w:rsid w:val="00FA3135"/>
    <w:rsid w:val="00FB5F23"/>
    <w:rsid w:val="00FC03CD"/>
    <w:rsid w:val="00FC0646"/>
    <w:rsid w:val="00FC0826"/>
    <w:rsid w:val="00FC2FC6"/>
    <w:rsid w:val="00FC460D"/>
    <w:rsid w:val="00FC6741"/>
    <w:rsid w:val="00FC68B7"/>
    <w:rsid w:val="00FE1314"/>
    <w:rsid w:val="00FE6985"/>
    <w:rsid w:val="00FF7B9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14:docId w14:val="7AA1990D"/>
  <w15:docId w15:val="{F8068995-EE79-45EA-AE6E-313533D4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3C6"/>
    <w:pPr>
      <w:spacing w:after="240"/>
    </w:pPr>
    <w:rPr>
      <w:lang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eastAsia="en-US"/>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A7652"/>
    <w:pPr>
      <w:spacing w:after="0"/>
    </w:pPr>
    <w:rPr>
      <w:rFonts w:ascii="Tahoma" w:hAnsi="Tahoma" w:cs="Tahoma"/>
      <w:sz w:val="16"/>
      <w:szCs w:val="16"/>
    </w:rPr>
  </w:style>
  <w:style w:type="character" w:customStyle="1" w:styleId="BalloonTextChar">
    <w:name w:val="Balloon Text Char"/>
    <w:link w:val="BalloonText"/>
    <w:rsid w:val="007A7652"/>
    <w:rPr>
      <w:rFonts w:ascii="Tahoma" w:hAnsi="Tahoma" w:cs="Tahoma"/>
      <w:sz w:val="16"/>
      <w:szCs w:val="16"/>
      <w:lang w:eastAsia="en-US"/>
    </w:rPr>
  </w:style>
  <w:style w:type="character" w:customStyle="1" w:styleId="H1GChar">
    <w:name w:val="_ H_1_G Char"/>
    <w:link w:val="H1G"/>
    <w:rsid w:val="002734BD"/>
    <w:rPr>
      <w:b/>
      <w:sz w:val="24"/>
      <w:lang w:eastAsia="en-US"/>
    </w:rPr>
  </w:style>
  <w:style w:type="character" w:customStyle="1" w:styleId="SingleTxtGChar">
    <w:name w:val="_ Single Txt_G Char"/>
    <w:link w:val="SingleTxtG"/>
    <w:rsid w:val="002734BD"/>
    <w:rPr>
      <w:lang w:eastAsia="en-US"/>
    </w:rPr>
  </w:style>
  <w:style w:type="paragraph" w:customStyle="1" w:styleId="ParaNoG">
    <w:name w:val="_ParaNo._G"/>
    <w:basedOn w:val="SingleTxtG"/>
    <w:rsid w:val="00652F84"/>
    <w:pPr>
      <w:suppressAutoHyphens/>
      <w:spacing w:line="240" w:lineRule="atLeast"/>
    </w:pPr>
  </w:style>
  <w:style w:type="character" w:customStyle="1" w:styleId="FootnoteTextChar">
    <w:name w:val="Footnote Text Char"/>
    <w:aliases w:val="5_G Char"/>
    <w:link w:val="FootnoteText"/>
    <w:uiPriority w:val="99"/>
    <w:rsid w:val="00652F84"/>
    <w:rPr>
      <w:sz w:val="18"/>
      <w:lang w:eastAsia="en-US"/>
    </w:rPr>
  </w:style>
  <w:style w:type="paragraph" w:styleId="ListParagraph">
    <w:name w:val="List Paragraph"/>
    <w:basedOn w:val="Normal"/>
    <w:uiPriority w:val="34"/>
    <w:qFormat/>
    <w:rsid w:val="003A3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4B65D-1121-42A7-9198-F6FF1E7AA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841</Words>
  <Characters>4797</Characters>
  <Application>Microsoft Office Word</Application>
  <DocSecurity>0</DocSecurity>
  <Lines>39</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INF</vt:lpstr>
      <vt:lpstr>INF</vt:lpstr>
      <vt:lpstr>INF</vt:lpstr>
    </vt:vector>
  </TitlesOfParts>
  <Company>UNECE</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Berthet</dc:creator>
  <cp:lastModifiedBy>Christine Barrio-Champeau</cp:lastModifiedBy>
  <cp:revision>5</cp:revision>
  <cp:lastPrinted>2017-08-23T14:23:00Z</cp:lastPrinted>
  <dcterms:created xsi:type="dcterms:W3CDTF">2017-08-23T14:20:00Z</dcterms:created>
  <dcterms:modified xsi:type="dcterms:W3CDTF">2017-08-25T08:22:00Z</dcterms:modified>
</cp:coreProperties>
</file>