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818A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818A3" w:rsidP="001818A3">
            <w:pPr>
              <w:jc w:val="right"/>
            </w:pPr>
            <w:r w:rsidRPr="001818A3">
              <w:rPr>
                <w:sz w:val="40"/>
              </w:rPr>
              <w:t>ECE</w:t>
            </w:r>
            <w:r>
              <w:t>/TRANS/WP.15/AC.2/2017/24</w:t>
            </w:r>
          </w:p>
        </w:tc>
      </w:tr>
      <w:tr w:rsidR="002D5AAC" w:rsidRPr="001818A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818A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818A3" w:rsidRDefault="001818A3" w:rsidP="001818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May 2017</w:t>
            </w:r>
          </w:p>
          <w:p w:rsidR="001818A3" w:rsidRDefault="001818A3" w:rsidP="001818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818A3" w:rsidRPr="008D53B6" w:rsidRDefault="001818A3" w:rsidP="001818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8A37C8" w:rsidRDefault="008A37C8" w:rsidP="00346F92">
      <w:pPr>
        <w:spacing w:before="120" w:after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46F92" w:rsidRPr="00346F92" w:rsidRDefault="00346F92" w:rsidP="00346F92">
      <w:pPr>
        <w:spacing w:after="120"/>
        <w:rPr>
          <w:sz w:val="28"/>
          <w:szCs w:val="28"/>
        </w:rPr>
      </w:pPr>
      <w:r w:rsidRPr="00346F92">
        <w:rPr>
          <w:sz w:val="28"/>
          <w:szCs w:val="28"/>
        </w:rPr>
        <w:t>Комитет по внутреннему транспорту</w:t>
      </w:r>
    </w:p>
    <w:p w:rsidR="00346F92" w:rsidRPr="00346F92" w:rsidRDefault="00346F92" w:rsidP="00346F92">
      <w:pPr>
        <w:spacing w:after="120"/>
        <w:rPr>
          <w:b/>
          <w:bCs/>
          <w:sz w:val="24"/>
          <w:szCs w:val="24"/>
        </w:rPr>
      </w:pPr>
      <w:r w:rsidRPr="00346F92">
        <w:rPr>
          <w:b/>
          <w:bCs/>
          <w:sz w:val="24"/>
          <w:szCs w:val="24"/>
        </w:rPr>
        <w:t>Рабочая группа по перевозкам опасных грузов</w:t>
      </w:r>
    </w:p>
    <w:p w:rsidR="00346F92" w:rsidRPr="00346F92" w:rsidRDefault="00346F92" w:rsidP="00346F92">
      <w:pPr>
        <w:rPr>
          <w:b/>
          <w:bCs/>
        </w:rPr>
      </w:pPr>
      <w:r w:rsidRPr="00346F92">
        <w:rPr>
          <w:b/>
          <w:bCs/>
        </w:rPr>
        <w:t xml:space="preserve">Совместное совещание экспертов по Правилам, </w:t>
      </w:r>
      <w:r w:rsidRPr="00346F92"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  <w:lang w:val="en-US"/>
        </w:rPr>
        <w:br/>
      </w:r>
      <w:r w:rsidRPr="00346F92">
        <w:rPr>
          <w:b/>
          <w:bCs/>
        </w:rPr>
        <w:t xml:space="preserve">о международной перевозке опасных грузов </w:t>
      </w:r>
      <w:r w:rsidRPr="00346F92">
        <w:rPr>
          <w:b/>
          <w:bCs/>
        </w:rPr>
        <w:br/>
        <w:t xml:space="preserve">по внутренним водным путям (ВОПОГ) </w:t>
      </w:r>
      <w:r w:rsidRPr="00346F92">
        <w:rPr>
          <w:b/>
          <w:bCs/>
        </w:rPr>
        <w:br/>
        <w:t>(Комитет по вопросам безопасности ВОПОГ)</w:t>
      </w:r>
    </w:p>
    <w:p w:rsidR="00346F92" w:rsidRPr="00346F92" w:rsidRDefault="00346F92" w:rsidP="00346F92">
      <w:pPr>
        <w:spacing w:before="120"/>
        <w:rPr>
          <w:b/>
          <w:bCs/>
        </w:rPr>
      </w:pPr>
      <w:r w:rsidRPr="00346F92">
        <w:rPr>
          <w:b/>
          <w:bCs/>
        </w:rPr>
        <w:t>Тридцать первая сессия</w:t>
      </w:r>
    </w:p>
    <w:p w:rsidR="00346F92" w:rsidRPr="00346F92" w:rsidRDefault="00346F92" w:rsidP="00346F92">
      <w:r w:rsidRPr="00346F92">
        <w:t>Женева, 28–31 августа 2017 года</w:t>
      </w:r>
    </w:p>
    <w:p w:rsidR="00346F92" w:rsidRPr="00346F92" w:rsidRDefault="00346F92" w:rsidP="00346F92">
      <w:r w:rsidRPr="00346F92">
        <w:t>Пункт 4 b) предварительной повестки дня</w:t>
      </w:r>
    </w:p>
    <w:p w:rsidR="00346F92" w:rsidRPr="00346F92" w:rsidRDefault="00346F92" w:rsidP="00346F92">
      <w:pPr>
        <w:rPr>
          <w:b/>
          <w:bCs/>
        </w:rPr>
      </w:pPr>
      <w:r w:rsidRPr="00346F92">
        <w:rPr>
          <w:b/>
          <w:bCs/>
        </w:rPr>
        <w:t xml:space="preserve">Предложения о внесении поправок в Правила, </w:t>
      </w:r>
      <w:r w:rsidRPr="00346F92">
        <w:rPr>
          <w:b/>
          <w:bCs/>
        </w:rPr>
        <w:br/>
        <w:t>прилагаемые к ВОПОГ: другие предложения</w:t>
      </w:r>
    </w:p>
    <w:p w:rsidR="00346F92" w:rsidRPr="00346F92" w:rsidRDefault="00346F92" w:rsidP="00346F92">
      <w:pPr>
        <w:pStyle w:val="HChGR"/>
      </w:pPr>
      <w:r w:rsidRPr="00346F92">
        <w:tab/>
      </w:r>
      <w:r w:rsidRPr="00346F92">
        <w:tab/>
        <w:t>Подраздел 7.2.4.9 ВОПОГ – Операции по перегрузке груза</w:t>
      </w:r>
    </w:p>
    <w:p w:rsidR="00346F92" w:rsidRDefault="00346F92" w:rsidP="007F0DFF">
      <w:pPr>
        <w:pStyle w:val="H1GR"/>
        <w:rPr>
          <w:b w:val="0"/>
          <w:bCs/>
          <w:sz w:val="20"/>
          <w:lang w:val="en-US"/>
        </w:rPr>
      </w:pPr>
      <w:r w:rsidRPr="00346F92">
        <w:tab/>
      </w:r>
      <w:r w:rsidRPr="00346F92">
        <w:tab/>
        <w:t>Передано правительством Германии</w:t>
      </w:r>
      <w:r w:rsidR="007F0DFF" w:rsidRPr="007F0DFF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="007F0DFF" w:rsidRPr="007F0DFF">
        <w:rPr>
          <w:b w:val="0"/>
          <w:bCs/>
          <w:sz w:val="20"/>
          <w:lang w:val="en-US"/>
        </w:rPr>
        <w:t xml:space="preserve"> </w:t>
      </w:r>
      <w:r w:rsidR="007F0DFF" w:rsidRPr="007F0DFF">
        <w:rPr>
          <w:rStyle w:val="FootnoteReference"/>
          <w:b w:val="0"/>
          <w:bCs/>
          <w:sz w:val="20"/>
          <w:vertAlign w:val="baseline"/>
          <w:lang w:val="en-US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8"/>
      </w:tblGrid>
      <w:tr w:rsidR="007F0DFF" w:rsidRPr="007F0DFF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7F0DFF" w:rsidRPr="007F0DFF" w:rsidRDefault="007F0DFF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7F0DFF">
              <w:rPr>
                <w:rFonts w:cs="Times New Roman"/>
              </w:rPr>
              <w:tab/>
            </w:r>
            <w:r w:rsidRPr="007F0DFF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7F0DFF" w:rsidRPr="007F0DFF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7F0DFF" w:rsidRPr="007F0DFF" w:rsidRDefault="007F0DFF" w:rsidP="007F0DFF">
            <w:pPr>
              <w:pStyle w:val="SingleTxtGR"/>
              <w:ind w:left="3969" w:hanging="2835"/>
            </w:pPr>
            <w:r w:rsidRPr="007F0DFF">
              <w:rPr>
                <w:b/>
                <w:bCs/>
              </w:rPr>
              <w:t>Существо предложения:</w:t>
            </w:r>
            <w:r w:rsidRPr="00346F92">
              <w:t xml:space="preserve"> </w:t>
            </w:r>
            <w:r w:rsidRPr="00346F92">
              <w:tab/>
              <w:t>Сохраняется неопределенность в связи с осуществлением подраздела 7.2.4.9 ВОПОГ в том что касается операций по перегрузке груза между двумя грузовыми танками, находящимися на разных судах снабжения.</w:t>
            </w:r>
          </w:p>
        </w:tc>
      </w:tr>
      <w:tr w:rsidR="007F0DFF" w:rsidRPr="007F0DFF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7F0DFF" w:rsidRPr="007F0DFF" w:rsidRDefault="007F0DFF" w:rsidP="009163A8">
            <w:pPr>
              <w:pStyle w:val="SingleTxtGR"/>
              <w:ind w:left="3969" w:hanging="2835"/>
              <w:rPr>
                <w:b/>
                <w:bCs/>
              </w:rPr>
            </w:pPr>
            <w:r w:rsidRPr="009163A8">
              <w:rPr>
                <w:b/>
                <w:bCs/>
              </w:rPr>
              <w:t>Предлагаемое решение:</w:t>
            </w:r>
            <w:r w:rsidRPr="009163A8">
              <w:rPr>
                <w:b/>
                <w:bCs/>
              </w:rPr>
              <w:tab/>
            </w:r>
            <w:r w:rsidR="009163A8" w:rsidRPr="009163A8">
              <w:tab/>
            </w:r>
            <w:r w:rsidRPr="00346F92">
              <w:t>Добавить в конце подраздела 7.2.4.9 ВОПОГ второе примечание. Дополнить пункт 7.2.4.7.2 ВОПОГ, касающийся передачи продуктов, необходимых для эксплуатации судов.</w:t>
            </w:r>
          </w:p>
        </w:tc>
      </w:tr>
      <w:tr w:rsidR="009163A8" w:rsidRPr="007F0DFF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9163A8" w:rsidRPr="009163A8" w:rsidRDefault="009163A8" w:rsidP="009163A8">
            <w:pPr>
              <w:pStyle w:val="SingleTxtGR"/>
              <w:ind w:left="3969" w:hanging="2835"/>
              <w:rPr>
                <w:b/>
                <w:bCs/>
              </w:rPr>
            </w:pPr>
            <w:r w:rsidRPr="009163A8">
              <w:rPr>
                <w:b/>
                <w:bCs/>
              </w:rPr>
              <w:t xml:space="preserve">Справочные документы: </w:t>
            </w:r>
            <w:r w:rsidRPr="00346F92">
              <w:tab/>
              <w:t>Отсутствуют</w:t>
            </w:r>
          </w:p>
        </w:tc>
      </w:tr>
      <w:tr w:rsidR="007F0DFF" w:rsidRPr="007F0DFF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7F0DFF" w:rsidRPr="007F0DFF" w:rsidRDefault="007F0DFF" w:rsidP="00850215">
            <w:pPr>
              <w:rPr>
                <w:rFonts w:cs="Times New Roman"/>
              </w:rPr>
            </w:pPr>
          </w:p>
        </w:tc>
      </w:tr>
    </w:tbl>
    <w:p w:rsidR="007F0DFF" w:rsidRPr="007F0DFF" w:rsidRDefault="007F0DFF" w:rsidP="007F0DFF">
      <w:pPr>
        <w:rPr>
          <w:lang w:eastAsia="ru-RU"/>
        </w:rPr>
      </w:pPr>
    </w:p>
    <w:p w:rsidR="00346F92" w:rsidRPr="009163A8" w:rsidRDefault="009163A8" w:rsidP="009163A8">
      <w:pPr>
        <w:pStyle w:val="HChGR"/>
      </w:pPr>
      <w:r w:rsidRPr="009163A8">
        <w:br w:type="page"/>
      </w:r>
      <w:r w:rsidRPr="009163A8">
        <w:lastRenderedPageBreak/>
        <w:tab/>
      </w:r>
      <w:r w:rsidR="00346F92" w:rsidRPr="00346F92">
        <w:t>I.</w:t>
      </w:r>
      <w:r w:rsidR="00346F92" w:rsidRPr="00346F92">
        <w:tab/>
        <w:t>Введение</w:t>
      </w:r>
    </w:p>
    <w:p w:rsidR="00346F92" w:rsidRPr="00346F92" w:rsidRDefault="00346F92" w:rsidP="009163A8">
      <w:pPr>
        <w:pStyle w:val="SingleTxtGR"/>
      </w:pPr>
      <w:r w:rsidRPr="00346F92">
        <w:t>1.</w:t>
      </w:r>
      <w:r w:rsidRPr="00346F92">
        <w:tab/>
        <w:t>Подразделом 7.2.4.9 ВОПОГ предусматривается запрет на операции по перегрузке опасных грузов с одного судна на другое, кроме как при наличии соответствующего разрешения.</w:t>
      </w:r>
    </w:p>
    <w:p w:rsidR="00346F92" w:rsidRPr="00346F92" w:rsidRDefault="00346F92" w:rsidP="009163A8">
      <w:pPr>
        <w:pStyle w:val="SingleTxtGR"/>
      </w:pPr>
      <w:r w:rsidRPr="00346F92">
        <w:t>2.</w:t>
      </w:r>
      <w:r w:rsidRPr="00346F92">
        <w:tab/>
        <w:t>Известны также толкования, согласно которым это требование не распространяется на операции по перегрузке грузов из грузового танка судна снабжения в грузовой танк другого судна снабжения.</w:t>
      </w:r>
    </w:p>
    <w:p w:rsidR="00346F92" w:rsidRPr="00346F92" w:rsidRDefault="00346F92" w:rsidP="009163A8">
      <w:pPr>
        <w:pStyle w:val="SingleTxtGR"/>
      </w:pPr>
      <w:r w:rsidRPr="00346F92">
        <w:t>3.</w:t>
      </w:r>
      <w:r w:rsidRPr="00346F92">
        <w:tab/>
        <w:t>Германия предлагает прояснить ситуацию путем добавления примечания к подразделу 7.2.4.9 ВОПОГ и дополнения пункта 7.2.4.7.2 ВОПОГ.</w:t>
      </w:r>
    </w:p>
    <w:p w:rsidR="00346F92" w:rsidRPr="009163A8" w:rsidRDefault="009163A8" w:rsidP="009163A8">
      <w:pPr>
        <w:pStyle w:val="HChGR"/>
        <w:rPr>
          <w:lang w:val="en-US"/>
        </w:rPr>
      </w:pPr>
      <w:r>
        <w:rPr>
          <w:lang w:val="en-US"/>
        </w:rPr>
        <w:tab/>
      </w:r>
      <w:r w:rsidR="00346F92" w:rsidRPr="00346F92">
        <w:t>II.</w:t>
      </w:r>
      <w:r w:rsidR="00346F92" w:rsidRPr="00346F92">
        <w:tab/>
        <w:t>Предложение</w:t>
      </w:r>
    </w:p>
    <w:p w:rsidR="00346F92" w:rsidRPr="00346F92" w:rsidRDefault="00346F92" w:rsidP="009163A8">
      <w:pPr>
        <w:pStyle w:val="SingleTxtGR"/>
      </w:pPr>
      <w:r w:rsidRPr="00346F92">
        <w:t>4.</w:t>
      </w:r>
      <w:r w:rsidRPr="00346F92">
        <w:tab/>
        <w:t>Изменить подраздел 7.2.4.9 ВОПОГ следующим образом:</w:t>
      </w:r>
    </w:p>
    <w:p w:rsidR="00346F92" w:rsidRPr="00346F92" w:rsidRDefault="00834268" w:rsidP="00834268">
      <w:pPr>
        <w:pStyle w:val="SingleTxtGR"/>
        <w:ind w:left="1701" w:hanging="567"/>
      </w:pPr>
      <w:r>
        <w:rPr>
          <w:lang w:val="en-US"/>
        </w:rPr>
        <w:tab/>
      </w:r>
      <w:r w:rsidR="00346F92" w:rsidRPr="00346F92">
        <w:t>«</w:t>
      </w:r>
      <w:r w:rsidR="00346F92" w:rsidRPr="003B26C7">
        <w:rPr>
          <w:b/>
          <w:bCs/>
          <w:i/>
          <w:iCs/>
        </w:rPr>
        <w:t xml:space="preserve">ПРИМЕЧАНИЕ </w:t>
      </w:r>
      <w:r w:rsidR="00346F92" w:rsidRPr="003B26C7">
        <w:rPr>
          <w:b/>
          <w:bCs/>
          <w:i/>
          <w:iCs/>
          <w:u w:val="single"/>
        </w:rPr>
        <w:t>1</w:t>
      </w:r>
      <w:r w:rsidR="00346F92" w:rsidRPr="00346F92">
        <w:t>: В отношении перегрузки груза на перевозочные средства другого вида транспорта см. пункт 7.2.4.7.1.</w:t>
      </w:r>
    </w:p>
    <w:p w:rsidR="00346F92" w:rsidRPr="00346F92" w:rsidRDefault="00834268" w:rsidP="00834268">
      <w:pPr>
        <w:pStyle w:val="SingleTxtGR"/>
        <w:ind w:left="1701" w:hanging="567"/>
        <w:rPr>
          <w:b/>
        </w:rPr>
      </w:pPr>
      <w:r>
        <w:rPr>
          <w:lang w:val="en-US"/>
        </w:rPr>
        <w:tab/>
      </w:r>
      <w:r w:rsidR="00346F92" w:rsidRPr="003B26C7">
        <w:rPr>
          <w:b/>
          <w:bCs/>
          <w:i/>
          <w:iCs/>
          <w:u w:val="single"/>
        </w:rPr>
        <w:t>ПРИМЕЧАНИЕ 2</w:t>
      </w:r>
      <w:r w:rsidR="00346F92" w:rsidRPr="003B26C7">
        <w:rPr>
          <w:u w:val="single"/>
        </w:rPr>
        <w:t xml:space="preserve">: Данный запрет распространяется также </w:t>
      </w:r>
      <w:r w:rsidR="001A7F50" w:rsidRPr="003B26C7">
        <w:rPr>
          <w:u w:val="single"/>
        </w:rPr>
        <w:t xml:space="preserve">на </w:t>
      </w:r>
      <w:r w:rsidR="00346F92" w:rsidRPr="003B26C7">
        <w:rPr>
          <w:u w:val="single"/>
        </w:rPr>
        <w:t>перегрузку груза между [грузовыми танками судов снабжения]</w:t>
      </w:r>
      <w:r w:rsidRPr="003B26C7">
        <w:rPr>
          <w:u w:val="single"/>
        </w:rPr>
        <w:t xml:space="preserve"> </w:t>
      </w:r>
      <w:r w:rsidR="00346F92" w:rsidRPr="003B26C7">
        <w:rPr>
          <w:u w:val="single"/>
        </w:rPr>
        <w:t>судами снабжения.</w:t>
      </w:r>
      <w:r w:rsidR="00346F92" w:rsidRPr="00346F92">
        <w:t>».</w:t>
      </w:r>
    </w:p>
    <w:p w:rsidR="00346F92" w:rsidRPr="00346F92" w:rsidRDefault="00346F92" w:rsidP="009163A8">
      <w:pPr>
        <w:pStyle w:val="SingleTxtGR"/>
      </w:pPr>
      <w:r w:rsidRPr="00346F92">
        <w:t>5.</w:t>
      </w:r>
      <w:r w:rsidRPr="00346F92">
        <w:tab/>
        <w:t>Пункт 7.2.4.7.2 изменить следующим образом:</w:t>
      </w:r>
    </w:p>
    <w:p w:rsidR="00346F92" w:rsidRPr="00346F92" w:rsidRDefault="00834268" w:rsidP="00834268">
      <w:pPr>
        <w:pStyle w:val="SingleTxtGR"/>
        <w:ind w:left="1701" w:hanging="567"/>
      </w:pPr>
      <w:r>
        <w:rPr>
          <w:lang w:val="en-US"/>
        </w:rPr>
        <w:tab/>
      </w:r>
      <w:r w:rsidR="00346F92" w:rsidRPr="00346F92">
        <w:t>«</w:t>
      </w:r>
      <w:r w:rsidR="00346F92" w:rsidRPr="003B26C7">
        <w:rPr>
          <w:b/>
          <w:bCs/>
        </w:rPr>
        <w:t>7.2.4.7.2</w:t>
      </w:r>
      <w:r w:rsidR="00346F92" w:rsidRPr="00346F92">
        <w:tab/>
        <w:t>Прием неупакованных маслосодержащих жидких отходов, образующихся при эксплуатации судов</w:t>
      </w:r>
      <w:r w:rsidR="00346F92" w:rsidRPr="003B26C7">
        <w:rPr>
          <w:u w:val="single"/>
        </w:rPr>
        <w:t xml:space="preserve">, </w:t>
      </w:r>
      <w:r w:rsidR="003B26C7" w:rsidRPr="003B26C7">
        <w:rPr>
          <w:u w:val="single"/>
        </w:rPr>
        <w:t>которые поступили с других судов</w:t>
      </w:r>
      <w:r w:rsidR="003B26C7">
        <w:t xml:space="preserve">, </w:t>
      </w:r>
      <w:r w:rsidR="00346F92" w:rsidRPr="00346F92">
        <w:t xml:space="preserve">и передача продуктов, необходимых для эксплуатации судов, </w:t>
      </w:r>
      <w:r w:rsidR="00346F92" w:rsidRPr="003B26C7">
        <w:rPr>
          <w:u w:val="single"/>
        </w:rPr>
        <w:t>в топливные баки других судов</w:t>
      </w:r>
      <w:r w:rsidR="00346F92" w:rsidRPr="00346F92">
        <w:t xml:space="preserve"> не рассматриваются как операции по погрузке или разгрузке по смыслу пункта</w:t>
      </w:r>
      <w:r>
        <w:rPr>
          <w:lang w:val="en-US"/>
        </w:rPr>
        <w:t> </w:t>
      </w:r>
      <w:r w:rsidR="00346F92" w:rsidRPr="00346F92">
        <w:t xml:space="preserve">7.2.4.7.1 выше </w:t>
      </w:r>
      <w:r w:rsidR="00346F92" w:rsidRPr="003B26C7">
        <w:rPr>
          <w:u w:val="single"/>
        </w:rPr>
        <w:t>или операции по пе</w:t>
      </w:r>
      <w:r w:rsidRPr="003B26C7">
        <w:rPr>
          <w:u w:val="single"/>
        </w:rPr>
        <w:t>регрузке груза по смыслу пункта</w:t>
      </w:r>
      <w:r w:rsidRPr="003B26C7">
        <w:rPr>
          <w:u w:val="single"/>
          <w:lang w:val="en-US"/>
        </w:rPr>
        <w:t> </w:t>
      </w:r>
      <w:r w:rsidR="00346F92" w:rsidRPr="003B26C7">
        <w:rPr>
          <w:u w:val="single"/>
        </w:rPr>
        <w:t>7.2.4.9</w:t>
      </w:r>
      <w:r w:rsidR="00346F92" w:rsidRPr="00346F92">
        <w:t>.».</w:t>
      </w:r>
    </w:p>
    <w:p w:rsidR="00346F92" w:rsidRPr="00346F92" w:rsidRDefault="00346F92" w:rsidP="00834268">
      <w:pPr>
        <w:pStyle w:val="SingleTxtGR"/>
      </w:pPr>
      <w:r w:rsidRPr="00346F92">
        <w:t>6.</w:t>
      </w:r>
      <w:r w:rsidRPr="00346F92">
        <w:tab/>
        <w:t>Комитет по вопросам безопасности ВОПОГ мог бы согласовать следующее толкование определе</w:t>
      </w:r>
      <w:r w:rsidR="00834268">
        <w:t>ния «</w:t>
      </w:r>
      <w:r w:rsidRPr="00346F92">
        <w:t>перевозки</w:t>
      </w:r>
      <w:r w:rsidR="00834268">
        <w:t>»</w:t>
      </w:r>
      <w:r w:rsidRPr="00346F92">
        <w:t xml:space="preserve"> в разделе 1.2.1:</w:t>
      </w:r>
    </w:p>
    <w:p w:rsidR="00346F92" w:rsidRPr="00346F92" w:rsidRDefault="00834268" w:rsidP="00834268">
      <w:pPr>
        <w:pStyle w:val="SingleTxtGR"/>
        <w:ind w:left="1701" w:hanging="567"/>
      </w:pPr>
      <w:r>
        <w:tab/>
      </w:r>
      <w:r w:rsidR="00346F92" w:rsidRPr="00346F92">
        <w:t>Перевозка включает также погрузку, разгрузку и дегазацию судов, а также перегрузку груза между судами.</w:t>
      </w:r>
    </w:p>
    <w:p w:rsidR="00346F92" w:rsidRPr="00346F92" w:rsidRDefault="009163A8" w:rsidP="009163A8">
      <w:pPr>
        <w:pStyle w:val="HChGR"/>
      </w:pPr>
      <w:r w:rsidRPr="00834268">
        <w:tab/>
      </w:r>
      <w:r w:rsidR="00346F92" w:rsidRPr="00346F92">
        <w:t>III.</w:t>
      </w:r>
      <w:r w:rsidR="00346F92" w:rsidRPr="00346F92">
        <w:tab/>
        <w:t>Обоснование</w:t>
      </w:r>
    </w:p>
    <w:p w:rsidR="00346F92" w:rsidRPr="00346F92" w:rsidRDefault="00346F92" w:rsidP="009163A8">
      <w:pPr>
        <w:pStyle w:val="SingleTxtGR"/>
      </w:pPr>
      <w:r w:rsidRPr="00346F92">
        <w:t>7.</w:t>
      </w:r>
      <w:r w:rsidRPr="00346F92">
        <w:tab/>
        <w:t>Внесение изменения в подраздел 7.2.4.9 позволяет указать, что запрещение перегрузки груза применяется и к судам снабжения. Последние являются также танкерами по смыслу ВОПОГ, к которым применяются соответствующие требования. Данное положение не действует только в том случае, если суда снабжения прямо исключены в соответствующем предписании, как, например, в пункте 7.2.4.25.4 ВОПОГ.</w:t>
      </w:r>
    </w:p>
    <w:p w:rsidR="00346F92" w:rsidRPr="00346F92" w:rsidRDefault="00346F92" w:rsidP="009163A8">
      <w:pPr>
        <w:pStyle w:val="SingleTxtGR"/>
      </w:pPr>
      <w:r w:rsidRPr="00346F92">
        <w:t>8.</w:t>
      </w:r>
      <w:r w:rsidRPr="00346F92">
        <w:tab/>
        <w:t>Предлагаемое изменение пункта 7.2.4.7.2 ВОПОГ представляет собой сопутствующую поправку. В касающемся перегрузки груза пояснении вновь указывается на то, что понимается под передачей продуктов, необходимых для эксплуатации судна.</w:t>
      </w:r>
    </w:p>
    <w:p w:rsidR="00346F92" w:rsidRPr="00346F92" w:rsidRDefault="009163A8" w:rsidP="009163A8">
      <w:pPr>
        <w:pStyle w:val="HChGR"/>
      </w:pPr>
      <w:r>
        <w:rPr>
          <w:lang w:val="en-US"/>
        </w:rPr>
        <w:tab/>
      </w:r>
      <w:r w:rsidR="00346F92" w:rsidRPr="00346F92">
        <w:t>IV.</w:t>
      </w:r>
      <w:r w:rsidR="00346F92" w:rsidRPr="00346F92">
        <w:tab/>
        <w:t>Безопасность</w:t>
      </w:r>
    </w:p>
    <w:p w:rsidR="00346F92" w:rsidRPr="00346F92" w:rsidRDefault="00346F92" w:rsidP="009163A8">
      <w:pPr>
        <w:pStyle w:val="SingleTxtGR"/>
      </w:pPr>
      <w:r w:rsidRPr="00346F92">
        <w:t>9.</w:t>
      </w:r>
      <w:r w:rsidRPr="00346F92">
        <w:tab/>
        <w:t>Эта поправка обеспечивает безопасность транспорта. Нет оснований считать, что перегрузка между двумя судами снабжения сопровождается более высоким риском, нежели перегрузка груза между двумя танкерами с дедвейтом свыше 300 тонн. Перегрузка груза между судами снабжения может привести к той же опасности взрыва и загрязнения водных ресурсов. Так, 300 тонн дизельного топлива занимают объем более 300 000 литров.</w:t>
      </w:r>
    </w:p>
    <w:p w:rsidR="00346F92" w:rsidRPr="00346F92" w:rsidRDefault="009163A8" w:rsidP="009163A8">
      <w:pPr>
        <w:pStyle w:val="HChGR"/>
      </w:pPr>
      <w:r>
        <w:rPr>
          <w:lang w:val="en-US"/>
        </w:rPr>
        <w:lastRenderedPageBreak/>
        <w:tab/>
      </w:r>
      <w:r w:rsidR="00346F92" w:rsidRPr="00346F92">
        <w:t>V.</w:t>
      </w:r>
      <w:r w:rsidR="00346F92" w:rsidRPr="00346F92">
        <w:tab/>
        <w:t>Осуществление</w:t>
      </w:r>
    </w:p>
    <w:p w:rsidR="00E12C5F" w:rsidRDefault="00346F92" w:rsidP="009163A8">
      <w:pPr>
        <w:pStyle w:val="SingleTxtGR"/>
        <w:rPr>
          <w:lang w:val="en-US"/>
        </w:rPr>
      </w:pPr>
      <w:r w:rsidRPr="00346F92">
        <w:t>10.</w:t>
      </w:r>
      <w:r w:rsidRPr="00346F92">
        <w:tab/>
        <w:t>Данная поправка не должна приводить к техническим изменениям и требовать дополнительных инвестиций, при этом она не должна создавать другие препятствия для данного сектора. Примечание преследует лишь цель прояснить ситуацию. Как и в прошлом, возможность получения разрешения компетентного органа позволяет использовать отступления в тех случаях, когда они надлежащим образом обоснованы.</w:t>
      </w:r>
    </w:p>
    <w:p w:rsidR="009163A8" w:rsidRPr="009163A8" w:rsidRDefault="009163A8" w:rsidP="009163A8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9163A8" w:rsidRPr="009163A8" w:rsidSect="001818A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049" w:rsidRPr="00A312BC" w:rsidRDefault="00A35049" w:rsidP="00A312BC"/>
  </w:endnote>
  <w:endnote w:type="continuationSeparator" w:id="0">
    <w:p w:rsidR="00A35049" w:rsidRPr="00A312BC" w:rsidRDefault="00A3504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8A3" w:rsidRPr="001818A3" w:rsidRDefault="001818A3">
    <w:pPr>
      <w:pStyle w:val="Footer"/>
    </w:pPr>
    <w:r w:rsidRPr="001818A3">
      <w:rPr>
        <w:b/>
        <w:sz w:val="18"/>
      </w:rPr>
      <w:fldChar w:fldCharType="begin"/>
    </w:r>
    <w:r w:rsidRPr="001818A3">
      <w:rPr>
        <w:b/>
        <w:sz w:val="18"/>
      </w:rPr>
      <w:instrText xml:space="preserve"> PAGE  \* MERGEFORMAT </w:instrText>
    </w:r>
    <w:r w:rsidRPr="001818A3">
      <w:rPr>
        <w:b/>
        <w:sz w:val="18"/>
      </w:rPr>
      <w:fldChar w:fldCharType="separate"/>
    </w:r>
    <w:r w:rsidR="00F13AE4">
      <w:rPr>
        <w:b/>
        <w:noProof/>
        <w:sz w:val="18"/>
      </w:rPr>
      <w:t>2</w:t>
    </w:r>
    <w:r w:rsidRPr="001818A3">
      <w:rPr>
        <w:b/>
        <w:sz w:val="18"/>
      </w:rPr>
      <w:fldChar w:fldCharType="end"/>
    </w:r>
    <w:r>
      <w:rPr>
        <w:b/>
        <w:sz w:val="18"/>
      </w:rPr>
      <w:tab/>
    </w:r>
    <w:r>
      <w:t>GE.17-08405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8A3" w:rsidRPr="001818A3" w:rsidRDefault="001818A3" w:rsidP="001818A3">
    <w:pPr>
      <w:pStyle w:val="Footer"/>
      <w:tabs>
        <w:tab w:val="clear" w:pos="9639"/>
        <w:tab w:val="right" w:pos="9638"/>
      </w:tabs>
      <w:rPr>
        <w:b/>
        <w:sz w:val="18"/>
      </w:rPr>
    </w:pPr>
    <w:r>
      <w:t>GE.17-08405</w:t>
    </w:r>
    <w:r>
      <w:tab/>
    </w:r>
    <w:r w:rsidRPr="001818A3">
      <w:rPr>
        <w:b/>
        <w:sz w:val="18"/>
      </w:rPr>
      <w:fldChar w:fldCharType="begin"/>
    </w:r>
    <w:r w:rsidRPr="001818A3">
      <w:rPr>
        <w:b/>
        <w:sz w:val="18"/>
      </w:rPr>
      <w:instrText xml:space="preserve"> PAGE  \* MERGEFORMAT </w:instrText>
    </w:r>
    <w:r w:rsidRPr="001818A3">
      <w:rPr>
        <w:b/>
        <w:sz w:val="18"/>
      </w:rPr>
      <w:fldChar w:fldCharType="separate"/>
    </w:r>
    <w:r w:rsidR="00F13AE4">
      <w:rPr>
        <w:b/>
        <w:noProof/>
        <w:sz w:val="18"/>
      </w:rPr>
      <w:t>3</w:t>
    </w:r>
    <w:r w:rsidRPr="001818A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1818A3" w:rsidRDefault="001818A3" w:rsidP="001818A3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B0D71F6" wp14:editId="1DD99C0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17-08405  (R)</w:t>
    </w:r>
    <w:r>
      <w:rPr>
        <w:lang w:val="en-US"/>
      </w:rPr>
      <w:t xml:space="preserve">  190617  200617</w:t>
    </w:r>
    <w:r>
      <w:br/>
    </w:r>
    <w:r w:rsidRPr="001818A3">
      <w:rPr>
        <w:rFonts w:ascii="C39T30Lfz" w:hAnsi="C39T30Lfz"/>
        <w:spacing w:val="0"/>
        <w:w w:val="100"/>
        <w:sz w:val="56"/>
      </w:rPr>
      <w:t></w:t>
    </w:r>
    <w:r w:rsidRPr="001818A3">
      <w:rPr>
        <w:rFonts w:ascii="C39T30Lfz" w:hAnsi="C39T30Lfz"/>
        <w:spacing w:val="0"/>
        <w:w w:val="100"/>
        <w:sz w:val="56"/>
      </w:rPr>
      <w:t></w:t>
    </w:r>
    <w:r w:rsidRPr="001818A3">
      <w:rPr>
        <w:rFonts w:ascii="C39T30Lfz" w:hAnsi="C39T30Lfz"/>
        <w:spacing w:val="0"/>
        <w:w w:val="100"/>
        <w:sz w:val="56"/>
      </w:rPr>
      <w:t></w:t>
    </w:r>
    <w:r w:rsidRPr="001818A3">
      <w:rPr>
        <w:rFonts w:ascii="C39T30Lfz" w:hAnsi="C39T30Lfz"/>
        <w:spacing w:val="0"/>
        <w:w w:val="100"/>
        <w:sz w:val="56"/>
      </w:rPr>
      <w:t></w:t>
    </w:r>
    <w:r w:rsidRPr="001818A3">
      <w:rPr>
        <w:rFonts w:ascii="C39T30Lfz" w:hAnsi="C39T30Lfz"/>
        <w:spacing w:val="0"/>
        <w:w w:val="100"/>
        <w:sz w:val="56"/>
      </w:rPr>
      <w:t></w:t>
    </w:r>
    <w:r w:rsidRPr="001818A3">
      <w:rPr>
        <w:rFonts w:ascii="C39T30Lfz" w:hAnsi="C39T30Lfz"/>
        <w:spacing w:val="0"/>
        <w:w w:val="100"/>
        <w:sz w:val="56"/>
      </w:rPr>
      <w:t></w:t>
    </w:r>
    <w:r w:rsidRPr="001818A3">
      <w:rPr>
        <w:rFonts w:ascii="C39T30Lfz" w:hAnsi="C39T30Lfz"/>
        <w:spacing w:val="0"/>
        <w:w w:val="100"/>
        <w:sz w:val="56"/>
      </w:rPr>
      <w:t></w:t>
    </w:r>
    <w:r w:rsidRPr="001818A3">
      <w:rPr>
        <w:rFonts w:ascii="C39T30Lfz" w:hAnsi="C39T30Lfz"/>
        <w:spacing w:val="0"/>
        <w:w w:val="100"/>
        <w:sz w:val="56"/>
      </w:rPr>
      <w:t></w:t>
    </w:r>
    <w:r w:rsidRPr="001818A3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7/2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7/2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049" w:rsidRPr="001075E9" w:rsidRDefault="00A3504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35049" w:rsidRDefault="00A3504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F0DFF" w:rsidRPr="007F0DFF" w:rsidRDefault="007F0DFF" w:rsidP="007F0DFF">
      <w:pPr>
        <w:pStyle w:val="FootnoteText"/>
        <w:rPr>
          <w:sz w:val="20"/>
          <w:lang w:val="ru-RU"/>
        </w:rPr>
      </w:pPr>
      <w:r>
        <w:tab/>
      </w:r>
      <w:r w:rsidRPr="007F0DFF">
        <w:rPr>
          <w:rStyle w:val="FootnoteReference"/>
          <w:sz w:val="20"/>
          <w:vertAlign w:val="baseline"/>
          <w:lang w:val="ru-RU"/>
        </w:rPr>
        <w:t>*</w:t>
      </w:r>
      <w:r w:rsidRPr="007F0DFF">
        <w:rPr>
          <w:rStyle w:val="FootnoteReference"/>
          <w:vertAlign w:val="baseline"/>
          <w:lang w:val="ru-RU"/>
        </w:rPr>
        <w:tab/>
      </w:r>
      <w:r>
        <w:rPr>
          <w:lang w:val="ru-RU"/>
        </w:rPr>
        <w:t>Распространено на немецком языке Центральной комиссией судоходства по Рейну (ЦКСР) в качестве документа CCNR-ZKR/ADN/WP.15/AC.2/2017/24</w:t>
      </w:r>
      <w:r w:rsidR="00C36183">
        <w:rPr>
          <w:lang w:val="ru-RU"/>
        </w:rPr>
        <w:t>.</w:t>
      </w:r>
    </w:p>
  </w:footnote>
  <w:footnote w:id="2">
    <w:p w:rsidR="007F0DFF" w:rsidRPr="007F0DFF" w:rsidRDefault="007F0DFF" w:rsidP="007F0DFF">
      <w:pPr>
        <w:pStyle w:val="FootnoteText"/>
        <w:rPr>
          <w:sz w:val="20"/>
          <w:lang w:val="ru-RU"/>
        </w:rPr>
      </w:pPr>
      <w:r w:rsidRPr="00C36183">
        <w:rPr>
          <w:lang w:val="ru-RU"/>
        </w:rPr>
        <w:tab/>
      </w:r>
      <w:r w:rsidRPr="007F0DFF">
        <w:rPr>
          <w:rStyle w:val="FootnoteReference"/>
          <w:sz w:val="20"/>
          <w:vertAlign w:val="baseline"/>
          <w:lang w:val="ru-RU"/>
        </w:rPr>
        <w:t>**</w:t>
      </w:r>
      <w:r w:rsidRPr="007F0DFF">
        <w:rPr>
          <w:rStyle w:val="FootnoteReference"/>
          <w:vertAlign w:val="baseline"/>
          <w:lang w:val="ru-RU"/>
        </w:rPr>
        <w:tab/>
      </w:r>
      <w:r>
        <w:rPr>
          <w:lang w:val="ru-RU"/>
        </w:rPr>
        <w:t xml:space="preserve">В соответствии с программой работы Комитета по внутреннему транспорту </w:t>
      </w:r>
      <w:r w:rsidR="009163A8" w:rsidRPr="009163A8">
        <w:rPr>
          <w:lang w:val="ru-RU"/>
        </w:rPr>
        <w:br/>
      </w:r>
      <w:r>
        <w:rPr>
          <w:lang w:val="ru-RU"/>
        </w:rPr>
        <w:t>на 2016–2017 годы (ECE/TRANS/2016/28/Add.1 (9.3))</w:t>
      </w:r>
      <w:r w:rsidRPr="007F0DFF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8A3" w:rsidRPr="001818A3" w:rsidRDefault="00F13AE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B16EB">
      <w:t>ECE/TRANS/WP.15/AC.2/2017/24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8A3" w:rsidRPr="001818A3" w:rsidRDefault="00F13AE4" w:rsidP="001818A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B16EB">
      <w:t>ECE/TRANS/WP.15/AC.2/2017/24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20873DF"/>
    <w:multiLevelType w:val="hybridMultilevel"/>
    <w:tmpl w:val="AE4C28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4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18A3"/>
    <w:rsid w:val="0018649F"/>
    <w:rsid w:val="00196389"/>
    <w:rsid w:val="001A7F50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41F9"/>
    <w:rsid w:val="003402C2"/>
    <w:rsid w:val="00346F92"/>
    <w:rsid w:val="00381C24"/>
    <w:rsid w:val="00387CD4"/>
    <w:rsid w:val="003958D0"/>
    <w:rsid w:val="003A0D43"/>
    <w:rsid w:val="003A48CE"/>
    <w:rsid w:val="003B00E5"/>
    <w:rsid w:val="003B26C7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F0DFF"/>
    <w:rsid w:val="00806737"/>
    <w:rsid w:val="00825F8D"/>
    <w:rsid w:val="00834268"/>
    <w:rsid w:val="00834B71"/>
    <w:rsid w:val="0086445C"/>
    <w:rsid w:val="00894693"/>
    <w:rsid w:val="008A08D7"/>
    <w:rsid w:val="008A37C8"/>
    <w:rsid w:val="008B6909"/>
    <w:rsid w:val="008D53B6"/>
    <w:rsid w:val="008F045A"/>
    <w:rsid w:val="008F7609"/>
    <w:rsid w:val="00906890"/>
    <w:rsid w:val="00911BE4"/>
    <w:rsid w:val="009163A8"/>
    <w:rsid w:val="00951972"/>
    <w:rsid w:val="009608F3"/>
    <w:rsid w:val="009A24AC"/>
    <w:rsid w:val="009C6FE6"/>
    <w:rsid w:val="00A14DA8"/>
    <w:rsid w:val="00A312BC"/>
    <w:rsid w:val="00A35049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36183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819EB"/>
    <w:rsid w:val="00EA2C9F"/>
    <w:rsid w:val="00EA420E"/>
    <w:rsid w:val="00EB16EB"/>
    <w:rsid w:val="00ED0BDA"/>
    <w:rsid w:val="00EE142A"/>
    <w:rsid w:val="00EF1360"/>
    <w:rsid w:val="00EF3220"/>
    <w:rsid w:val="00F13AE4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3F935EA-2FED-4BA4-9420-1EEC7D1C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3565</Characters>
  <Application>Microsoft Office Word</Application>
  <DocSecurity>0</DocSecurity>
  <Lines>178</Lines>
  <Paragraphs>92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ECE/TRANS/WP.15/AC.2/2017/24</vt:lpstr>
      <vt:lpstr>ECE/TRANS/WP.15/AC.2/2017/24</vt:lpstr>
      <vt:lpstr>A/</vt:lpstr>
    </vt:vector>
  </TitlesOfParts>
  <Company>DCM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ECE/TRANS/WP.15/AC.2/2017/24</dc:title>
  <dc:subject/>
  <dc:creator>Ekaterina SALYNSKAYA</dc:creator>
  <cp:keywords/>
  <cp:lastModifiedBy>Marie-Claude Collet</cp:lastModifiedBy>
  <cp:revision>2</cp:revision>
  <cp:lastPrinted>2017-06-20T09:21:00Z</cp:lastPrinted>
  <dcterms:created xsi:type="dcterms:W3CDTF">2017-06-28T08:32:00Z</dcterms:created>
  <dcterms:modified xsi:type="dcterms:W3CDTF">2017-06-28T08:32:00Z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